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843627"/>
      <w:bookmarkEnd w:id="0"/>
      <w:bookmarkStart w:id="1" w:name="_Hlt101233737"/>
      <w:bookmarkEnd w:id="1"/>
    </w:p>
    <w:p>
      <w:pPr>
        <w:pStyle w:val="33"/>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项目编号：SCZC-202408</w:t>
      </w:r>
      <w:r>
        <w:rPr>
          <w:rFonts w:hint="eastAsia" w:ascii="仿宋" w:hAnsi="仿宋" w:eastAsia="仿宋" w:cs="仿宋"/>
          <w:b/>
          <w:sz w:val="36"/>
          <w:szCs w:val="36"/>
          <w:highlight w:val="none"/>
          <w:lang w:val="en-US" w:eastAsia="zh-CN"/>
        </w:rPr>
        <w:t>20</w:t>
      </w:r>
    </w:p>
    <w:p>
      <w:pPr>
        <w:pStyle w:val="33"/>
        <w:spacing w:before="46" w:after="46"/>
        <w:ind w:left="2409" w:hanging="2409" w:hangingChars="500"/>
        <w:jc w:val="center"/>
        <w:rPr>
          <w:rFonts w:hint="eastAsia" w:ascii="仿宋" w:hAnsi="仿宋" w:eastAsia="仿宋" w:cs="仿宋"/>
          <w:b/>
          <w:bCs/>
          <w:sz w:val="48"/>
          <w:szCs w:val="48"/>
          <w:highlight w:val="none"/>
          <w:lang w:bidi="ar"/>
        </w:rPr>
      </w:pPr>
    </w:p>
    <w:p>
      <w:pPr>
        <w:pStyle w:val="33"/>
        <w:spacing w:before="46" w:after="46"/>
        <w:ind w:firstLine="0" w:firstLineChars="0"/>
        <w:jc w:val="center"/>
        <w:rPr>
          <w:rFonts w:hint="eastAsia" w:ascii="仿宋" w:hAnsi="仿宋" w:eastAsia="仿宋" w:cs="仿宋"/>
          <w:b/>
          <w:bCs/>
          <w:sz w:val="52"/>
          <w:szCs w:val="52"/>
          <w:highlight w:val="none"/>
          <w:lang w:eastAsia="zh-CN" w:bidi="ar"/>
        </w:rPr>
      </w:pPr>
      <w:r>
        <w:rPr>
          <w:rFonts w:hint="eastAsia" w:ascii="仿宋" w:hAnsi="仿宋" w:eastAsia="仿宋" w:cs="仿宋"/>
          <w:b/>
          <w:bCs/>
          <w:sz w:val="52"/>
          <w:szCs w:val="52"/>
          <w:highlight w:val="none"/>
          <w:lang w:eastAsia="zh-CN" w:bidi="ar"/>
        </w:rPr>
        <w:t>富顺县中医医院2024年第六批医疗耗材</w:t>
      </w:r>
    </w:p>
    <w:p>
      <w:pPr>
        <w:pStyle w:val="33"/>
        <w:spacing w:before="46" w:after="46"/>
        <w:ind w:firstLine="0" w:firstLineChars="0"/>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bidi="ar"/>
        </w:rPr>
        <w:t>采购项目</w:t>
      </w:r>
    </w:p>
    <w:p>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pPr>
        <w:pStyle w:val="33"/>
        <w:spacing w:before="46" w:after="46"/>
        <w:ind w:firstLine="0" w:firstLineChars="0"/>
        <w:jc w:val="center"/>
        <w:rPr>
          <w:rFonts w:hint="eastAsia" w:ascii="仿宋" w:hAnsi="仿宋" w:eastAsia="仿宋" w:cs="仿宋"/>
          <w:sz w:val="96"/>
          <w:szCs w:val="96"/>
          <w:highlight w:val="none"/>
        </w:rPr>
      </w:pP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pPr>
        <w:pStyle w:val="33"/>
        <w:spacing w:before="46" w:after="46"/>
        <w:ind w:firstLine="0" w:firstLineChars="0"/>
        <w:rPr>
          <w:rFonts w:hint="eastAsia" w:ascii="仿宋" w:hAnsi="仿宋" w:eastAsia="仿宋" w:cs="仿宋"/>
          <w:b/>
          <w:sz w:val="32"/>
          <w:szCs w:val="32"/>
          <w:highlight w:val="none"/>
        </w:rPr>
      </w:pPr>
    </w:p>
    <w:p>
      <w:pPr>
        <w:pStyle w:val="33"/>
        <w:spacing w:before="46" w:after="46"/>
        <w:ind w:firstLine="640"/>
        <w:rPr>
          <w:rFonts w:hint="eastAsia" w:ascii="仿宋" w:hAnsi="仿宋" w:eastAsia="仿宋" w:cs="仿宋"/>
          <w:sz w:val="32"/>
          <w:szCs w:val="32"/>
          <w:highlight w:val="none"/>
        </w:rPr>
      </w:pP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月</w:t>
      </w:r>
    </w:p>
    <w:p>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pPr>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pPr>
        <w:pStyle w:val="17"/>
        <w:tabs>
          <w:tab w:val="right" w:leader="dot" w:pos="9582"/>
        </w:tabs>
        <w:spacing w:line="360" w:lineRule="auto"/>
        <w:ind w:left="68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pPr>
        <w:pStyle w:val="2"/>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富顺县中医医院2024年第六批医疗耗材采购项目</w:t>
      </w:r>
      <w:r>
        <w:rPr>
          <w:rFonts w:hint="eastAsia" w:ascii="仿宋" w:hAnsi="仿宋" w:eastAsia="仿宋" w:cs="仿宋"/>
          <w:kern w:val="2"/>
          <w:sz w:val="24"/>
          <w:szCs w:val="24"/>
          <w:highlight w:val="none"/>
        </w:rPr>
        <w:t>进行公开招标，兹邀请符合本次招标要求的投标人参加投标。</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SCZC-202408</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富顺县中医医院2024年第六批医疗耗材采购项目</w:t>
      </w:r>
      <w:r>
        <w:rPr>
          <w:rFonts w:hint="eastAsia" w:ascii="仿宋" w:hAnsi="仿宋" w:eastAsia="仿宋" w:cs="仿宋"/>
          <w:sz w:val="24"/>
          <w:szCs w:val="24"/>
          <w:highlight w:val="none"/>
        </w:rPr>
        <w:t>。</w:t>
      </w:r>
    </w:p>
    <w:p>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8307662.6元（大写：捌佰叁拾万零柒仟陆佰陆拾贰元陆角）</w:t>
      </w:r>
    </w:p>
    <w:p>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其中：第一包：584180.00元（大写：伍拾捌万肆仟壹佰捌拾元整）；</w:t>
      </w:r>
    </w:p>
    <w:p>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第二包：1475800.00元（大写：壹佰肆拾柒万伍仟捌佰元整）；</w:t>
      </w:r>
    </w:p>
    <w:p>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第三包：52808.00元（大写：伍万贰仟捌佰零捌元整）；</w:t>
      </w:r>
    </w:p>
    <w:p>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第五包：355356.00元（大写：叁拾伍万伍仟叁佰伍拾陆元整）；</w:t>
      </w:r>
    </w:p>
    <w:p>
      <w:pPr>
        <w:kinsoku w:val="0"/>
        <w:overflowPunct w:val="0"/>
        <w:autoSpaceDE w:val="0"/>
        <w:autoSpaceDN w:val="0"/>
        <w:snapToGrid w:val="0"/>
        <w:spacing w:line="360" w:lineRule="auto"/>
        <w:ind w:firstLine="1200" w:firstLineChars="5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第六包：2650184.60元（大写：贰佰陆拾伍万零壹佰捌拾肆元陆角）；</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2024年第六批医疗耗材</w:t>
      </w:r>
      <w:r>
        <w:rPr>
          <w:rFonts w:hint="eastAsia" w:ascii="仿宋" w:hAnsi="仿宋" w:eastAsia="仿宋" w:cs="仿宋"/>
          <w:sz w:val="24"/>
          <w:szCs w:val="24"/>
          <w:highlight w:val="none"/>
        </w:rPr>
        <w:t>进行采购，供应商应满足采购人物资运输及售后服务等的要求。</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pPr>
        <w:pStyle w:val="30"/>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详见公开招标文件第三章。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09</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09</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09</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09</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（北京时间）在招标地点开启。</w:t>
      </w:r>
    </w:p>
    <w:p>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pPr>
        <w:spacing w:line="360" w:lineRule="auto"/>
        <w:ind w:right="680" w:rightChars="200" w:firstLine="480" w:firstLineChars="200"/>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jc w:val="left"/>
        <w:rPr>
          <w:rFonts w:hint="eastAsia" w:ascii="仿宋" w:hAnsi="仿宋" w:eastAsia="仿宋" w:cs="仿宋"/>
          <w:sz w:val="36"/>
          <w:szCs w:val="36"/>
          <w:highlight w:val="none"/>
        </w:rPr>
      </w:pPr>
      <w:bookmarkStart w:id="3" w:name="_Toc20133"/>
      <w:bookmarkStart w:id="4" w:name="_Toc217446031"/>
      <w:bookmarkStart w:id="5" w:name="_Toc213496267"/>
      <w:bookmarkStart w:id="6" w:name="_Toc213397009"/>
      <w:bookmarkStart w:id="7" w:name="_Toc213396945"/>
      <w:bookmarkStart w:id="8" w:name="_Toc213396759"/>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pPr>
        <w:pStyle w:val="3"/>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681"/>
        <w:gridCol w:w="7395"/>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681"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7395"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7395" w:type="dxa"/>
            <w:tcBorders>
              <w:tl2br w:val="nil"/>
              <w:tr2bl w:val="nil"/>
            </w:tcBorders>
          </w:tcPr>
          <w:p>
            <w:pPr>
              <w:kinsoku w:val="0"/>
              <w:overflowPunct w:val="0"/>
              <w:autoSpaceDE w:val="0"/>
              <w:autoSpaceDN w:val="0"/>
              <w:snapToGri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pPr>
              <w:pStyle w:val="29"/>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8307662.6元（大写：捌佰叁拾万零柒仟陆佰陆拾贰元陆角）</w:t>
            </w:r>
          </w:p>
          <w:p>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其中：第一包：584180.00元（大写：伍拾捌万肆仟壹佰捌拾元整）；第二包：1475800.00元（大写：壹佰肆拾柒万伍仟捌佰元整）；</w:t>
            </w:r>
          </w:p>
          <w:p>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第三包：52808.00元（大写：伍万贰仟捌佰零捌元整）；</w:t>
            </w:r>
          </w:p>
          <w:p>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第五包：355356.00元（大写：叁拾伍万伍仟叁佰伍拾陆元整）；</w:t>
            </w:r>
          </w:p>
          <w:p>
            <w:pPr>
              <w:kinsoku w:val="0"/>
              <w:overflowPunct w:val="0"/>
              <w:autoSpaceDE w:val="0"/>
              <w:autoSpaceDN w:val="0"/>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第六包：2650184.60元（大写：贰佰陆拾伍万零壹佰捌拾肆元陆角）；</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w:t>
            </w:r>
            <w:r>
              <w:rPr>
                <w:rFonts w:hint="eastAsia" w:ascii="仿宋" w:hAnsi="仿宋" w:eastAsia="仿宋" w:cs="仿宋"/>
                <w:color w:val="auto"/>
                <w:sz w:val="24"/>
                <w:szCs w:val="24"/>
                <w:highlight w:val="none"/>
                <w:lang w:eastAsia="zh-CN"/>
              </w:rPr>
              <w:t>中的</w:t>
            </w:r>
            <w:r>
              <w:rPr>
                <w:rFonts w:hint="eastAsia" w:ascii="仿宋" w:hAnsi="仿宋" w:eastAsia="仿宋" w:cs="仿宋"/>
                <w:color w:val="auto"/>
                <w:sz w:val="24"/>
                <w:szCs w:val="24"/>
                <w:highlight w:val="none"/>
              </w:rPr>
              <w:t>限价；</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681"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7395"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7395"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681"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7395" w:type="dxa"/>
            <w:tcBorders>
              <w:tl2br w:val="nil"/>
              <w:tr2bl w:val="nil"/>
            </w:tcBorders>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681"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（第一包：</w:t>
            </w:r>
            <w:r>
              <w:rPr>
                <w:rFonts w:hint="eastAsia" w:ascii="仿宋" w:hAnsi="仿宋" w:eastAsia="仿宋" w:cs="仿宋"/>
                <w:color w:val="auto"/>
                <w:highlight w:val="none"/>
                <w:lang w:val="en-US" w:eastAsia="zh-CN"/>
              </w:rPr>
              <w:t>6133.00</w:t>
            </w:r>
            <w:r>
              <w:rPr>
                <w:rFonts w:hint="eastAsia" w:ascii="仿宋" w:hAnsi="仿宋" w:eastAsia="仿宋" w:cs="仿宋"/>
                <w:color w:val="auto"/>
                <w:highlight w:val="none"/>
                <w:lang w:eastAsia="zh-CN"/>
              </w:rPr>
              <w:t>元，第二包：</w:t>
            </w:r>
            <w:r>
              <w:rPr>
                <w:rFonts w:hint="eastAsia" w:ascii="仿宋" w:hAnsi="仿宋" w:eastAsia="仿宋" w:cs="仿宋"/>
                <w:color w:val="auto"/>
                <w:highlight w:val="none"/>
                <w:lang w:val="en-US" w:eastAsia="zh-CN"/>
              </w:rPr>
              <w:t>14163.00</w:t>
            </w:r>
            <w:r>
              <w:rPr>
                <w:rFonts w:hint="eastAsia" w:ascii="仿宋" w:hAnsi="仿宋" w:eastAsia="仿宋" w:cs="仿宋"/>
                <w:color w:val="auto"/>
                <w:highlight w:val="none"/>
                <w:lang w:eastAsia="zh-CN"/>
              </w:rPr>
              <w:t>元，第三包：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元，第四包：</w:t>
            </w:r>
            <w:r>
              <w:rPr>
                <w:rFonts w:hint="eastAsia" w:ascii="仿宋" w:hAnsi="仿宋" w:eastAsia="仿宋" w:cs="仿宋"/>
                <w:color w:val="auto"/>
                <w:highlight w:val="none"/>
                <w:lang w:val="en-US" w:eastAsia="zh-CN"/>
              </w:rPr>
              <w:t>27357.00</w:t>
            </w:r>
            <w:r>
              <w:rPr>
                <w:rFonts w:hint="eastAsia" w:ascii="仿宋" w:hAnsi="仿宋" w:eastAsia="仿宋" w:cs="仿宋"/>
                <w:color w:val="auto"/>
                <w:highlight w:val="none"/>
                <w:lang w:eastAsia="zh-CN"/>
              </w:rPr>
              <w:t>元，第五包：</w:t>
            </w:r>
            <w:r>
              <w:rPr>
                <w:rFonts w:hint="eastAsia" w:ascii="仿宋" w:hAnsi="仿宋" w:eastAsia="仿宋" w:cs="仿宋"/>
                <w:color w:val="auto"/>
                <w:highlight w:val="none"/>
                <w:lang w:val="en-US" w:eastAsia="zh-CN"/>
              </w:rPr>
              <w:t>3731.00</w:t>
            </w:r>
            <w:r>
              <w:rPr>
                <w:rFonts w:hint="eastAsia" w:ascii="仿宋" w:hAnsi="仿宋" w:eastAsia="仿宋" w:cs="仿宋"/>
                <w:color w:val="auto"/>
                <w:highlight w:val="none"/>
                <w:lang w:eastAsia="zh-CN"/>
              </w:rPr>
              <w:t>元，第六包：</w:t>
            </w:r>
            <w:r>
              <w:rPr>
                <w:rFonts w:hint="eastAsia" w:ascii="仿宋" w:hAnsi="仿宋" w:eastAsia="仿宋" w:cs="仿宋"/>
                <w:color w:val="auto"/>
                <w:highlight w:val="none"/>
                <w:lang w:val="en-US" w:eastAsia="zh-CN"/>
              </w:rPr>
              <w:t>23206.00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81"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第三包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第六包</w:t>
            </w:r>
            <w:r>
              <w:rPr>
                <w:rFonts w:hint="eastAsia" w:ascii="仿宋" w:hAnsi="仿宋" w:eastAsia="仿宋" w:cs="仿宋"/>
                <w:color w:val="auto"/>
                <w:kern w:val="2"/>
              </w:rPr>
              <w:t>没有特别说明的，适用于第一包、第二包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第三包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第六包</w:t>
            </w:r>
            <w:r>
              <w:rPr>
                <w:rFonts w:hint="eastAsia" w:ascii="仿宋" w:hAnsi="仿宋" w:eastAsia="仿宋" w:cs="仿宋"/>
                <w:color w:val="auto"/>
                <w:kern w:val="2"/>
                <w:lang w:eastAsia="zh-CN"/>
              </w:rPr>
              <w:t>，</w:t>
            </w:r>
            <w:r>
              <w:rPr>
                <w:rFonts w:hint="eastAsia" w:ascii="仿宋" w:hAnsi="仿宋" w:eastAsia="仿宋" w:cs="仿宋"/>
                <w:color w:val="auto"/>
                <w:kern w:val="2"/>
              </w:rPr>
              <w:t>对各包有特别说明的，适用于各包。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81"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7395" w:type="dxa"/>
            <w:tcBorders>
              <w:tl2br w:val="nil"/>
              <w:tr2bl w:val="nil"/>
            </w:tcBorders>
            <w:vAlign w:val="center"/>
          </w:tcPr>
          <w:p>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pPr>
              <w:pStyle w:val="29"/>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pPr>
        <w:spacing w:line="360" w:lineRule="auto"/>
        <w:jc w:val="center"/>
        <w:rPr>
          <w:rFonts w:hint="eastAsia" w:ascii="仿宋" w:hAnsi="仿宋" w:eastAsia="仿宋" w:cs="仿宋"/>
          <w:bCs/>
          <w:sz w:val="24"/>
          <w:szCs w:val="24"/>
          <w:highlight w:val="none"/>
        </w:rPr>
      </w:pPr>
    </w:p>
    <w:p>
      <w:pPr>
        <w:spacing w:line="360" w:lineRule="auto"/>
        <w:jc w:val="center"/>
        <w:rPr>
          <w:rFonts w:hint="eastAsia" w:ascii="仿宋" w:hAnsi="仿宋" w:eastAsia="仿宋" w:cs="仿宋"/>
          <w:bCs/>
          <w:sz w:val="24"/>
          <w:szCs w:val="24"/>
          <w:highlight w:val="none"/>
        </w:rPr>
      </w:pPr>
    </w:p>
    <w:p>
      <w:pPr>
        <w:spacing w:line="360" w:lineRule="auto"/>
        <w:rPr>
          <w:rFonts w:hint="eastAsia" w:ascii="仿宋" w:hAnsi="仿宋" w:eastAsia="仿宋" w:cs="仿宋"/>
          <w:sz w:val="32"/>
          <w:highlight w:val="none"/>
        </w:rPr>
      </w:pPr>
    </w:p>
    <w:p>
      <w:pPr>
        <w:pStyle w:val="3"/>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pPr>
        <w:spacing w:line="360" w:lineRule="auto"/>
        <w:ind w:firstLine="480" w:firstLineChars="200"/>
        <w:rPr>
          <w:rFonts w:hint="eastAsia" w:ascii="仿宋" w:hAnsi="仿宋" w:eastAsia="仿宋" w:cs="仿宋"/>
          <w:b/>
          <w:bCs/>
          <w:sz w:val="24"/>
          <w:szCs w:val="24"/>
          <w:highlight w:val="none"/>
        </w:rPr>
      </w:pPr>
      <w:bookmarkStart w:id="11" w:name="_Toc183582205"/>
      <w:bookmarkStart w:id="12" w:name="_Toc183682342"/>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pPr>
        <w:spacing w:line="360" w:lineRule="auto"/>
        <w:ind w:firstLine="480" w:firstLineChars="200"/>
        <w:rPr>
          <w:rFonts w:hint="eastAsia" w:ascii="仿宋" w:hAnsi="仿宋" w:eastAsia="仿宋" w:cs="仿宋"/>
          <w:b/>
          <w:bCs/>
          <w:sz w:val="24"/>
          <w:szCs w:val="24"/>
          <w:highlight w:val="none"/>
        </w:rPr>
      </w:pPr>
      <w:bookmarkStart w:id="14" w:name="_Toc183682343"/>
      <w:bookmarkStart w:id="15" w:name="_Toc217446035"/>
      <w:bookmarkStart w:id="16" w:name="_Toc183582206"/>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bookmarkStart w:id="17" w:name="_Toc183582207"/>
      <w:bookmarkStart w:id="18" w:name="_Toc217446036"/>
      <w:bookmarkStart w:id="19" w:name="_Toc183682344"/>
      <w:bookmarkStart w:id="20" w:name="_Toc217390843"/>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183582208"/>
      <w:bookmarkStart w:id="22" w:name="_Toc217446037"/>
      <w:bookmarkStart w:id="23" w:name="_Toc183682345"/>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pPr>
        <w:pStyle w:val="27"/>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pPr>
        <w:pStyle w:val="3"/>
        <w:keepNext w:val="0"/>
        <w:keepLines w:val="0"/>
        <w:spacing w:before="0" w:after="0" w:line="360" w:lineRule="auto"/>
        <w:jc w:val="center"/>
        <w:rPr>
          <w:rFonts w:hint="eastAsia" w:ascii="仿宋" w:hAnsi="仿宋" w:eastAsia="仿宋" w:cs="仿宋"/>
          <w:bCs w:val="0"/>
          <w:sz w:val="28"/>
          <w:szCs w:val="28"/>
          <w:highlight w:val="none"/>
        </w:rPr>
      </w:pPr>
      <w:bookmarkStart w:id="24" w:name="_Toc217446038"/>
      <w:bookmarkStart w:id="25" w:name="_Toc183582209"/>
      <w:bookmarkStart w:id="26" w:name="_Toc77400779"/>
      <w:bookmarkStart w:id="27" w:name="_Toc89075875"/>
      <w:bookmarkStart w:id="28" w:name="_Toc183682346"/>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pPr>
        <w:spacing w:line="360" w:lineRule="auto"/>
        <w:ind w:firstLine="480" w:firstLineChars="200"/>
        <w:rPr>
          <w:rFonts w:hint="eastAsia" w:ascii="仿宋" w:hAnsi="仿宋" w:eastAsia="仿宋" w:cs="仿宋"/>
          <w:b/>
          <w:bCs/>
          <w:sz w:val="24"/>
          <w:szCs w:val="24"/>
          <w:highlight w:val="none"/>
        </w:rPr>
      </w:pPr>
      <w:bookmarkStart w:id="30" w:name="_Toc183582210"/>
      <w:bookmarkStart w:id="31" w:name="_Toc183682347"/>
      <w:bookmarkStart w:id="32" w:name="_Toc217446039"/>
      <w:r>
        <w:rPr>
          <w:rFonts w:hint="eastAsia" w:ascii="仿宋" w:hAnsi="仿宋" w:eastAsia="仿宋" w:cs="仿宋"/>
          <w:b/>
          <w:bCs/>
          <w:sz w:val="24"/>
          <w:szCs w:val="24"/>
          <w:highlight w:val="none"/>
        </w:rPr>
        <w:t>10．招标文件的构成</w:t>
      </w:r>
      <w:bookmarkEnd w:id="30"/>
      <w:bookmarkEnd w:id="31"/>
      <w:bookmarkEnd w:id="32"/>
    </w:p>
    <w:p>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pPr>
        <w:spacing w:line="360" w:lineRule="auto"/>
        <w:ind w:firstLine="480" w:firstLineChars="200"/>
        <w:rPr>
          <w:rFonts w:hint="eastAsia" w:ascii="仿宋" w:hAnsi="仿宋" w:eastAsia="仿宋" w:cs="仿宋"/>
          <w:b/>
          <w:bCs/>
          <w:sz w:val="24"/>
          <w:szCs w:val="24"/>
          <w:highlight w:val="none"/>
        </w:rPr>
      </w:pPr>
      <w:bookmarkStart w:id="33" w:name="_Toc183682348"/>
      <w:bookmarkStart w:id="34" w:name="_Toc183582211"/>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pPr>
        <w:spacing w:line="360" w:lineRule="auto"/>
        <w:ind w:firstLine="480" w:firstLineChars="200"/>
        <w:rPr>
          <w:rFonts w:hint="eastAsia" w:ascii="仿宋" w:hAnsi="仿宋" w:eastAsia="仿宋" w:cs="仿宋"/>
          <w:b/>
          <w:bCs/>
          <w:sz w:val="24"/>
          <w:szCs w:val="24"/>
          <w:highlight w:val="none"/>
        </w:rPr>
      </w:pPr>
      <w:bookmarkStart w:id="36" w:name="_Toc208848971"/>
      <w:bookmarkStart w:id="37" w:name="_Toc217446041"/>
      <w:r>
        <w:rPr>
          <w:rFonts w:hint="eastAsia" w:ascii="仿宋" w:hAnsi="仿宋" w:eastAsia="仿宋" w:cs="仿宋"/>
          <w:b/>
          <w:bCs/>
          <w:sz w:val="24"/>
          <w:szCs w:val="24"/>
          <w:highlight w:val="none"/>
        </w:rPr>
        <w:t>12. 答疑会和现场考察</w:t>
      </w:r>
      <w:bookmarkEnd w:id="36"/>
      <w:bookmarkEnd w:id="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pPr>
        <w:pStyle w:val="3"/>
        <w:keepNext w:val="0"/>
        <w:keepLines w:val="0"/>
        <w:spacing w:before="0" w:after="0" w:line="360" w:lineRule="auto"/>
        <w:jc w:val="center"/>
        <w:rPr>
          <w:rFonts w:hint="eastAsia" w:ascii="仿宋" w:hAnsi="仿宋" w:eastAsia="仿宋" w:cs="仿宋"/>
          <w:bCs w:val="0"/>
          <w:sz w:val="28"/>
          <w:szCs w:val="28"/>
          <w:highlight w:val="none"/>
        </w:rPr>
      </w:pPr>
      <w:bookmarkStart w:id="38" w:name="_Toc183582214"/>
      <w:bookmarkStart w:id="39" w:name="_Toc7281"/>
      <w:bookmarkStart w:id="40" w:name="_Toc183682351"/>
      <w:bookmarkStart w:id="41" w:name="_Toc217446042"/>
      <w:bookmarkStart w:id="42" w:name="_Toc77400780"/>
      <w:bookmarkStart w:id="43" w:name="_Toc89075876"/>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pPr>
        <w:spacing w:line="360" w:lineRule="auto"/>
        <w:ind w:firstLine="480" w:firstLineChars="200"/>
        <w:rPr>
          <w:rFonts w:hint="eastAsia" w:ascii="仿宋" w:hAnsi="仿宋" w:eastAsia="仿宋" w:cs="仿宋"/>
          <w:b/>
          <w:bCs/>
          <w:sz w:val="24"/>
          <w:szCs w:val="24"/>
          <w:highlight w:val="none"/>
        </w:rPr>
      </w:pPr>
      <w:bookmarkStart w:id="44" w:name="_Toc183682352"/>
      <w:bookmarkStart w:id="45" w:name="_Toc183582215"/>
      <w:bookmarkStart w:id="46" w:name="_Toc217446043"/>
      <w:r>
        <w:rPr>
          <w:rFonts w:hint="eastAsia" w:ascii="仿宋" w:hAnsi="仿宋" w:eastAsia="仿宋" w:cs="仿宋"/>
          <w:b/>
          <w:bCs/>
          <w:sz w:val="24"/>
          <w:szCs w:val="24"/>
          <w:highlight w:val="none"/>
        </w:rPr>
        <w:t>13.投标文件的组成</w:t>
      </w:r>
    </w:p>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pStyle w:val="7"/>
        <w:rPr>
          <w:rFonts w:hint="eastAsia"/>
        </w:rPr>
      </w:pPr>
    </w:p>
    <w:p>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471_WPSOffice_Level2"/>
      <w:bookmarkStart w:id="48" w:name="_Toc10601_WPSOffice_Level2"/>
      <w:r>
        <w:rPr>
          <w:rFonts w:hint="eastAsia" w:ascii="仿宋" w:hAnsi="仿宋" w:eastAsia="仿宋" w:cs="仿宋"/>
          <w:b/>
          <w:bCs/>
          <w:spacing w:val="6"/>
          <w:sz w:val="24"/>
          <w:highlight w:val="none"/>
        </w:rPr>
        <w:t>技术服务性响应文件部分，包括但不限于以下内容：</w:t>
      </w:r>
      <w:bookmarkEnd w:id="47"/>
      <w:bookmarkEnd w:id="48"/>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pPr>
        <w:spacing w:line="360" w:lineRule="auto"/>
        <w:ind w:firstLine="480" w:firstLineChars="200"/>
        <w:rPr>
          <w:rFonts w:hint="eastAsia" w:ascii="仿宋" w:hAnsi="仿宋" w:eastAsia="仿宋" w:cs="仿宋"/>
          <w:b/>
          <w:bCs/>
          <w:sz w:val="24"/>
          <w:szCs w:val="24"/>
          <w:highlight w:val="none"/>
        </w:rPr>
      </w:pPr>
      <w:bookmarkStart w:id="49" w:name="_Toc183682353"/>
      <w:bookmarkStart w:id="50" w:name="_Toc217446044"/>
      <w:bookmarkStart w:id="51" w:name="_Toc183582216"/>
      <w:r>
        <w:rPr>
          <w:rFonts w:hint="eastAsia" w:ascii="仿宋" w:hAnsi="仿宋" w:eastAsia="仿宋" w:cs="仿宋"/>
          <w:b/>
          <w:bCs/>
          <w:sz w:val="24"/>
          <w:szCs w:val="24"/>
          <w:highlight w:val="none"/>
        </w:rPr>
        <w:t>15．计量单位</w:t>
      </w:r>
      <w:bookmarkEnd w:id="49"/>
      <w:bookmarkEnd w:id="50"/>
      <w:bookmarkEnd w:id="51"/>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pPr>
        <w:spacing w:line="360" w:lineRule="auto"/>
        <w:ind w:firstLine="470" w:firstLineChars="196"/>
        <w:rPr>
          <w:rFonts w:hint="eastAsia" w:ascii="仿宋" w:hAnsi="仿宋" w:eastAsia="仿宋" w:cs="仿宋"/>
          <w:b/>
          <w:sz w:val="24"/>
          <w:szCs w:val="24"/>
          <w:highlight w:val="none"/>
        </w:rPr>
      </w:pPr>
      <w:bookmarkStart w:id="53" w:name="_Toc217446051"/>
      <w:bookmarkStart w:id="54" w:name="_Toc183682361"/>
      <w:bookmarkStart w:id="55" w:name="_Toc183582224"/>
      <w:r>
        <w:rPr>
          <w:rFonts w:hint="eastAsia" w:ascii="仿宋" w:hAnsi="仿宋" w:eastAsia="仿宋" w:cs="仿宋"/>
          <w:b/>
          <w:sz w:val="24"/>
          <w:szCs w:val="24"/>
          <w:highlight w:val="none"/>
        </w:rPr>
        <w:t>18.投标文件的编制和签署</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pPr>
        <w:tabs>
          <w:tab w:val="left" w:pos="1080"/>
        </w:tabs>
        <w:spacing w:line="360" w:lineRule="auto"/>
        <w:ind w:firstLine="460" w:firstLineChars="192"/>
        <w:rPr>
          <w:rFonts w:hint="eastAsia" w:ascii="仿宋" w:hAnsi="仿宋" w:eastAsia="仿宋" w:cs="仿宋"/>
          <w:b/>
          <w:sz w:val="24"/>
          <w:szCs w:val="24"/>
          <w:highlight w:val="none"/>
        </w:rPr>
      </w:pPr>
      <w:bookmarkStart w:id="56" w:name="_Toc77400781"/>
      <w:bookmarkStart w:id="57" w:name="_Toc89075877"/>
      <w:bookmarkStart w:id="58" w:name="_Toc183682363"/>
      <w:bookmarkStart w:id="59" w:name="_Toc183582226"/>
      <w:bookmarkStart w:id="60" w:name="_Toc217446053"/>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pPr>
        <w:tabs>
          <w:tab w:val="left" w:pos="1080"/>
        </w:tabs>
        <w:spacing w:line="360" w:lineRule="auto"/>
        <w:ind w:firstLine="460" w:firstLineChars="192"/>
        <w:rPr>
          <w:rFonts w:hint="eastAsia" w:ascii="仿宋" w:hAnsi="仿宋" w:eastAsia="仿宋" w:cs="仿宋"/>
          <w:b/>
          <w:sz w:val="24"/>
          <w:szCs w:val="24"/>
          <w:highlight w:val="none"/>
        </w:rPr>
      </w:pPr>
      <w:bookmarkStart w:id="61" w:name="_Toc183582228"/>
      <w:bookmarkStart w:id="62" w:name="_Toc183682365"/>
      <w:bookmarkStart w:id="63" w:name="_Toc21744605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pPr>
        <w:pStyle w:val="5"/>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pPr>
        <w:pStyle w:val="3"/>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89075878"/>
      <w:bookmarkStart w:id="66" w:name="_Toc77400782"/>
      <w:bookmarkStart w:id="67" w:name="_Toc217446056"/>
      <w:bookmarkStart w:id="68" w:name="_Toc183682368"/>
      <w:bookmarkStart w:id="69" w:name="_Toc183582231"/>
      <w:r>
        <w:rPr>
          <w:rFonts w:hint="eastAsia" w:ascii="仿宋" w:hAnsi="仿宋" w:eastAsia="仿宋" w:cs="仿宋"/>
          <w:sz w:val="28"/>
          <w:szCs w:val="28"/>
          <w:highlight w:val="none"/>
        </w:rPr>
        <w:t>五、评标</w:t>
      </w:r>
      <w:bookmarkEnd w:id="64"/>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pPr>
        <w:pStyle w:val="3"/>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pPr>
        <w:pStyle w:val="3"/>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pPr>
        <w:spacing w:line="360" w:lineRule="auto"/>
        <w:ind w:firstLine="470" w:firstLineChars="196"/>
        <w:rPr>
          <w:rFonts w:hint="eastAsia" w:ascii="仿宋" w:hAnsi="仿宋" w:eastAsia="仿宋" w:cs="仿宋"/>
          <w:b/>
          <w:bCs/>
          <w:sz w:val="24"/>
          <w:szCs w:val="24"/>
          <w:highlight w:val="none"/>
        </w:rPr>
      </w:pPr>
      <w:bookmarkStart w:id="72" w:name="_Toc101250646"/>
      <w:bookmarkStart w:id="73" w:name="_Toc209847069"/>
      <w:bookmarkStart w:id="74" w:name="_Toc101174151"/>
      <w:bookmarkStart w:id="75" w:name="_Toc101338364"/>
      <w:bookmarkStart w:id="76" w:name="_Toc430773927"/>
      <w:r>
        <w:rPr>
          <w:rFonts w:hint="eastAsia" w:ascii="仿宋" w:hAnsi="仿宋" w:eastAsia="仿宋" w:cs="仿宋"/>
          <w:b/>
          <w:bCs/>
          <w:sz w:val="24"/>
          <w:szCs w:val="24"/>
          <w:highlight w:val="none"/>
        </w:rPr>
        <w:t>26.签订合同</w:t>
      </w:r>
      <w:bookmarkEnd w:id="72"/>
      <w:bookmarkEnd w:id="73"/>
      <w:bookmarkEnd w:id="74"/>
      <w:bookmarkEnd w:id="75"/>
      <w:bookmarkEnd w:id="7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pPr>
        <w:pStyle w:val="3"/>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pPr>
        <w:spacing w:line="360" w:lineRule="auto"/>
        <w:rPr>
          <w:rFonts w:hint="eastAsia" w:ascii="仿宋" w:hAnsi="仿宋" w:eastAsia="仿宋" w:cs="仿宋"/>
          <w:sz w:val="24"/>
          <w:szCs w:val="24"/>
          <w:highlight w:val="none"/>
        </w:rPr>
      </w:pPr>
    </w:p>
    <w:p>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pPr>
        <w:spacing w:line="360" w:lineRule="auto"/>
        <w:rPr>
          <w:rFonts w:hint="eastAsia" w:ascii="仿宋" w:hAnsi="仿宋" w:eastAsia="仿宋" w:cs="仿宋"/>
          <w:b/>
          <w:sz w:val="24"/>
          <w:szCs w:val="24"/>
          <w:highlight w:val="none"/>
        </w:rPr>
      </w:pPr>
    </w:p>
    <w:p>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pPr>
        <w:pStyle w:val="3"/>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bookmarkStart w:id="146" w:name="_GoBack"/>
      <w:bookmarkEnd w:id="146"/>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pPr>
        <w:pStyle w:val="7"/>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pPr>
        <w:pStyle w:val="3"/>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pPr>
        <w:rPr>
          <w:rFonts w:hint="eastAsia" w:ascii="仿宋" w:hAnsi="仿宋" w:eastAsia="仿宋" w:cs="仿宋"/>
          <w:color w:val="000000" w:themeColor="text1"/>
          <w:sz w:val="32"/>
          <w:highlight w:val="none"/>
          <w14:textFill>
            <w14:solidFill>
              <w14:schemeClr w14:val="tx1"/>
            </w14:solidFill>
          </w14:textFill>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pPr>
        <w:pStyle w:val="7"/>
        <w:rPr>
          <w:rFonts w:hint="eastAsia" w:ascii="仿宋" w:hAnsi="仿宋" w:eastAsia="仿宋" w:cs="仿宋"/>
          <w:b/>
          <w:bCs/>
          <w:color w:val="auto"/>
          <w:sz w:val="24"/>
          <w:highlight w:val="none"/>
        </w:rPr>
      </w:pPr>
      <w:bookmarkStart w:id="83" w:name="_Toc20053_WPSOffice_Level2"/>
      <w:bookmarkStart w:id="84" w:name="_Toc1792"/>
      <w:bookmarkStart w:id="85" w:name="_Toc183582232"/>
      <w:bookmarkStart w:id="86" w:name="_Toc217446057"/>
      <w:bookmarkStart w:id="87" w:name="_Toc183682369"/>
      <w:r>
        <w:rPr>
          <w:rFonts w:hint="eastAsia" w:ascii="仿宋" w:hAnsi="仿宋" w:eastAsia="仿宋" w:cs="仿宋"/>
          <w:b/>
          <w:bCs/>
          <w:color w:val="auto"/>
          <w:sz w:val="24"/>
          <w:highlight w:val="none"/>
        </w:rPr>
        <w:t>（一）、项目基本情况：</w:t>
      </w:r>
      <w:bookmarkEnd w:id="83"/>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本项目为富顺县中医医院2024年第六批医疗耗材采购项目，预算金额：</w:t>
      </w:r>
      <w:r>
        <w:rPr>
          <w:rFonts w:hint="eastAsia" w:ascii="仿宋" w:hAnsi="仿宋" w:eastAsia="仿宋" w:cs="仿宋"/>
          <w:sz w:val="24"/>
          <w:szCs w:val="24"/>
          <w:highlight w:val="none"/>
          <w:lang w:val="en-US" w:eastAsia="zh-CN"/>
        </w:rPr>
        <w:t>8307662.6元（大写：捌佰叁拾万零柒仟陆佰陆拾贰元陆角）</w:t>
      </w:r>
      <w:r>
        <w:rPr>
          <w:rFonts w:hint="eastAsia" w:ascii="仿宋" w:hAnsi="仿宋" w:eastAsia="仿宋" w:cs="仿宋"/>
          <w:b w:val="0"/>
          <w:bCs w:val="0"/>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项目清单及技术参数要求 （实质性要求）</w:t>
      </w:r>
    </w:p>
    <w:p>
      <w:pPr>
        <w:pStyle w:val="7"/>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各包详见附件。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1、投标人需提供全面、合格的货物:投标人提供的货物必须符合已颁布的中国国家标准或国际标准的有关条款。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1.1、挂网耗材必须在“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获得配送</w:t>
      </w:r>
      <w:r>
        <w:rPr>
          <w:rFonts w:hint="eastAsia" w:ascii="仿宋" w:hAnsi="仿宋" w:eastAsia="仿宋" w:cs="仿宋"/>
          <w:color w:val="auto"/>
          <w:sz w:val="24"/>
          <w:szCs w:val="24"/>
          <w:highlight w:val="none"/>
          <w:lang w:eastAsia="zh-CN"/>
        </w:rPr>
        <w:t>资格，如在采购时无法完成挂网配送将自动终止合同。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必须提供相应产品能获得配送权的承诺函，</w:t>
      </w:r>
      <w:r>
        <w:rPr>
          <w:rFonts w:hint="eastAsia" w:ascii="仿宋" w:hAnsi="仿宋" w:eastAsia="仿宋" w:cs="仿宋"/>
          <w:color w:val="auto"/>
          <w:sz w:val="24"/>
          <w:szCs w:val="24"/>
          <w:highlight w:val="none"/>
        </w:rPr>
        <w:t>格式自拟）；</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1.2、如产品出现了降价的情况配送供应商必须执行新价格（提供承诺函，格式自拟）；</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1.3、采购价不得高于的“</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”中的“我省最高参考价”、“联动参考价”、“截止上月末全省医疗机构采购加权平均价”等价格 ，中标供应商无条件执行价格政策，并在四川药械采购网上进行价格确认生成订单，中标供应商如不执行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我院有权终止合同；（提供承诺函，格式自拟） </w:t>
      </w:r>
    </w:p>
    <w:p>
      <w:pPr>
        <w:pStyle w:val="2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1.4、所有采购产品，出现国家集采范围内，进入国家集采范围内的产品自动中止采购，执行国家集采相关政策</w:t>
      </w:r>
      <w:r>
        <w:rPr>
          <w:rFonts w:hint="eastAsia" w:ascii="仿宋" w:hAnsi="仿宋" w:eastAsia="仿宋" w:cs="仿宋"/>
          <w:color w:val="auto"/>
          <w:sz w:val="24"/>
          <w:szCs w:val="24"/>
          <w:highlight w:val="none"/>
          <w:lang w:eastAsia="zh-CN"/>
        </w:rPr>
        <w:t>。</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2、投标人需向采购人提供及时有效的技术支持。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4、中标人配送及时，一般耗材于2天内送达，急用耗材应根据需要按时送达。（投标人需在售后服务承诺书中明确表述）。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5、产品在使用前若发现有质量问题，应及时免费更换。对合同执行期间产品有效期低于 6 个月的货物中标人应免费更换。其他质量问题在采购合同中约束。</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6、供货期限：合同签订生效后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7、付款方式: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最终采购量以实际需求采购量为准，最终结算金额以中标单价和实际发生的数量结算，按月据实结算（每月供货量经双方确认）并开具完整有效的票据，以票据为准实行滚动付款。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配送履约期间，如因疫情变动或政策调整等不可抗拒因素导致价格变动较大的，双方另行约定。</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7.3 本采购项目明细各单项均设预算单价，单项预算单价详见明细表。投标人必须对各项单价进行报价，且不得高于各项预算单价。单项单价超过预算单价的供货商的报价视为无效投标。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8、交货地点：富顺县中医医院指定地点。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9、质量保证</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中标人保证所提供的产品质量，如出现产品质量问题中标人应负责退换。由于产品质量问题引起的医疗事故均由中标人承担相应责任。 </w:t>
      </w:r>
    </w:p>
    <w:p>
      <w:pPr>
        <w:pStyle w:val="20"/>
        <w:ind w:firstLine="480" w:firstLineChars="200"/>
        <w:jc w:val="left"/>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u w:val="none"/>
        </w:rPr>
        <w:t>9.2 中标人所供货物适用于临床，如临床在使用过程出现</w:t>
      </w:r>
      <w:r>
        <w:rPr>
          <w:rFonts w:hint="eastAsia" w:ascii="仿宋" w:hAnsi="仿宋" w:eastAsia="仿宋" w:cs="仿宋"/>
          <w:strike w:val="0"/>
          <w:dstrike w:val="0"/>
          <w:color w:val="auto"/>
          <w:sz w:val="24"/>
          <w:szCs w:val="24"/>
          <w:highlight w:val="none"/>
          <w:u w:val="none"/>
          <w:lang w:eastAsia="zh-CN"/>
        </w:rPr>
        <w:t>不良事件</w:t>
      </w:r>
      <w:r>
        <w:rPr>
          <w:rFonts w:hint="eastAsia" w:ascii="仿宋" w:hAnsi="仿宋" w:eastAsia="仿宋" w:cs="仿宋"/>
          <w:strike w:val="0"/>
          <w:dstrike w:val="0"/>
          <w:color w:val="auto"/>
          <w:sz w:val="24"/>
          <w:szCs w:val="24"/>
          <w:highlight w:val="none"/>
          <w:u w:val="none"/>
        </w:rPr>
        <w:t>的情况，</w:t>
      </w:r>
      <w:r>
        <w:rPr>
          <w:rFonts w:hint="eastAsia" w:ascii="仿宋" w:hAnsi="仿宋" w:eastAsia="仿宋" w:cs="仿宋"/>
          <w:strike w:val="0"/>
          <w:dstrike w:val="0"/>
          <w:color w:val="auto"/>
          <w:sz w:val="24"/>
          <w:szCs w:val="24"/>
          <w:highlight w:val="none"/>
        </w:rPr>
        <w:t>中标人为采购人更换</w:t>
      </w:r>
      <w:r>
        <w:rPr>
          <w:rFonts w:hint="eastAsia" w:ascii="仿宋" w:hAnsi="仿宋" w:eastAsia="仿宋" w:cs="仿宋"/>
          <w:strike w:val="0"/>
          <w:dstrike w:val="0"/>
          <w:color w:val="auto"/>
          <w:sz w:val="24"/>
          <w:szCs w:val="24"/>
          <w:highlight w:val="none"/>
          <w:lang w:eastAsia="zh-CN"/>
        </w:rPr>
        <w:t>相应的产品</w:t>
      </w:r>
      <w:r>
        <w:rPr>
          <w:rFonts w:hint="eastAsia" w:ascii="仿宋" w:hAnsi="仿宋" w:eastAsia="仿宋" w:cs="仿宋"/>
          <w:strike w:val="0"/>
          <w:dstrike w:val="0"/>
          <w:color w:val="auto"/>
          <w:sz w:val="24"/>
          <w:szCs w:val="24"/>
          <w:highlight w:val="none"/>
        </w:rPr>
        <w:t>，如更换 2 次仍不能达到临床要求，则中标人在</w:t>
      </w:r>
      <w:r>
        <w:rPr>
          <w:rFonts w:hint="eastAsia" w:ascii="仿宋" w:hAnsi="仿宋" w:eastAsia="仿宋" w:cs="仿宋"/>
          <w:strike w:val="0"/>
          <w:dstrike w:val="0"/>
          <w:color w:val="auto"/>
          <w:sz w:val="24"/>
          <w:szCs w:val="24"/>
          <w:highlight w:val="none"/>
          <w:lang w:eastAsia="zh-CN"/>
        </w:rPr>
        <w:t>不高于</w:t>
      </w:r>
      <w:r>
        <w:rPr>
          <w:rFonts w:hint="eastAsia" w:ascii="仿宋" w:hAnsi="仿宋" w:eastAsia="仿宋" w:cs="仿宋"/>
          <w:strike w:val="0"/>
          <w:dstrike w:val="0"/>
          <w:color w:val="auto"/>
          <w:sz w:val="24"/>
          <w:szCs w:val="24"/>
          <w:highlight w:val="none"/>
        </w:rPr>
        <w:t>合同</w:t>
      </w:r>
      <w:r>
        <w:rPr>
          <w:rFonts w:hint="eastAsia" w:ascii="仿宋" w:hAnsi="仿宋" w:eastAsia="仿宋" w:cs="仿宋"/>
          <w:strike w:val="0"/>
          <w:dstrike w:val="0"/>
          <w:color w:val="auto"/>
          <w:sz w:val="24"/>
          <w:szCs w:val="24"/>
          <w:highlight w:val="none"/>
          <w:lang w:eastAsia="zh-CN"/>
        </w:rPr>
        <w:t>单价</w:t>
      </w:r>
      <w:r>
        <w:rPr>
          <w:rFonts w:hint="eastAsia" w:ascii="仿宋" w:hAnsi="仿宋" w:eastAsia="仿宋" w:cs="仿宋"/>
          <w:strike w:val="0"/>
          <w:dstrike w:val="0"/>
          <w:color w:val="auto"/>
          <w:sz w:val="24"/>
          <w:szCs w:val="24"/>
          <w:highlight w:val="none"/>
        </w:rPr>
        <w:t>的前提下为采购人提供</w:t>
      </w:r>
      <w:r>
        <w:rPr>
          <w:rFonts w:hint="eastAsia" w:ascii="仿宋" w:hAnsi="仿宋" w:eastAsia="仿宋" w:cs="仿宋"/>
          <w:strike w:val="0"/>
          <w:dstrike w:val="0"/>
          <w:color w:val="auto"/>
          <w:sz w:val="24"/>
          <w:szCs w:val="24"/>
          <w:highlight w:val="none"/>
          <w:lang w:eastAsia="zh-CN"/>
        </w:rPr>
        <w:t>合格产品</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color w:val="auto"/>
          <w:sz w:val="24"/>
          <w:szCs w:val="24"/>
          <w:highlight w:val="none"/>
        </w:rPr>
        <w:t xml:space="preserve">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10、验收标准：中标人与采购人应严格按照《财政部关于进一步加强政府采购需求和履约验收管理的指导意见》（财库〔2016〕205号）的要求和招标文件以及投标文件进行验收。</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11、售后服务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11.1、中标人提供的产品应符合国家标准。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11.2、响应时间：在接到采购方需求时应在 2 小时响应，</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 xml:space="preserve">小时配送到医院指定位置。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11.3、配送范围：按医院临床需求进行配送。</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11.4、中标人应提供指定的联系人、车辆等相关情况。 </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11.5、对不符合要求的相关物资应进行退还，造成采购方损失的由乙方进行补偿。</w:t>
      </w:r>
    </w:p>
    <w:p>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11.6、产品须提供原装正品并保证使用部门的售后服务。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11.7、纳入阳光采购范围内的医用耗材，产品、价格、数量、生产厂家等信息全方位公开，阳光透明，严禁从非规定渠道采购医用耗材。</w:t>
      </w: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jc w:val="both"/>
        <w:outlineLvl w:val="0"/>
        <w:rPr>
          <w:rFonts w:hint="eastAsia" w:ascii="仿宋" w:hAnsi="仿宋" w:eastAsia="仿宋" w:cs="仿宋"/>
          <w:b/>
          <w:sz w:val="36"/>
          <w:szCs w:val="36"/>
          <w:highlight w:val="none"/>
        </w:rPr>
      </w:pPr>
    </w:p>
    <w:p>
      <w:pPr>
        <w:tabs>
          <w:tab w:val="left" w:pos="7665"/>
        </w:tabs>
        <w:spacing w:line="360" w:lineRule="auto"/>
        <w:jc w:val="both"/>
        <w:outlineLvl w:val="0"/>
        <w:rPr>
          <w:rFonts w:hint="eastAsia" w:ascii="仿宋" w:hAnsi="仿宋" w:eastAsia="仿宋" w:cs="仿宋"/>
          <w:b/>
          <w:sz w:val="36"/>
          <w:szCs w:val="36"/>
          <w:highlight w:val="none"/>
        </w:rPr>
      </w:pPr>
    </w:p>
    <w:p>
      <w:pPr>
        <w:tabs>
          <w:tab w:val="left" w:pos="7665"/>
        </w:tabs>
        <w:spacing w:line="360" w:lineRule="auto"/>
        <w:jc w:val="both"/>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pPr>
        <w:spacing w:line="360" w:lineRule="auto"/>
        <w:rPr>
          <w:rFonts w:hint="eastAsia" w:ascii="仿宋" w:hAnsi="仿宋" w:eastAsia="仿宋" w:cs="仿宋"/>
          <w:b/>
          <w:sz w:val="24"/>
          <w:szCs w:val="24"/>
          <w:highlight w:val="none"/>
        </w:rPr>
      </w:pPr>
    </w:p>
    <w:p>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pPr>
        <w:pStyle w:val="5"/>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pPr>
        <w:pStyle w:val="5"/>
        <w:spacing w:line="360" w:lineRule="auto"/>
        <w:ind w:firstLine="482"/>
        <w:jc w:val="center"/>
        <w:rPr>
          <w:rFonts w:hint="eastAsia" w:ascii="仿宋" w:hAnsi="仿宋" w:eastAsia="仿宋" w:cs="仿宋"/>
          <w:b/>
          <w:sz w:val="24"/>
          <w:szCs w:val="24"/>
          <w:highlight w:val="none"/>
        </w:rPr>
      </w:pPr>
    </w:p>
    <w:p>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spacing w:line="360" w:lineRule="auto"/>
        <w:jc w:val="left"/>
        <w:rPr>
          <w:rFonts w:hint="eastAsia" w:ascii="仿宋" w:hAnsi="仿宋" w:eastAsia="仿宋" w:cs="仿宋"/>
          <w:sz w:val="24"/>
          <w:szCs w:val="24"/>
          <w:highlight w:val="none"/>
        </w:rPr>
      </w:pP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pStyle w:val="7"/>
        <w:rPr>
          <w:rFonts w:hint="eastAsia" w:ascii="仿宋" w:hAnsi="仿宋" w:eastAsia="仿宋" w:cs="仿宋"/>
          <w:highlight w:val="none"/>
        </w:rPr>
      </w:pPr>
    </w:p>
    <w:p>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pPr>
        <w:spacing w:line="360" w:lineRule="auto"/>
        <w:jc w:val="center"/>
        <w:rPr>
          <w:rFonts w:hint="eastAsia" w:ascii="仿宋" w:hAnsi="仿宋" w:eastAsia="仿宋" w:cs="仿宋"/>
          <w:b/>
          <w:bCs/>
          <w:sz w:val="24"/>
          <w:szCs w:val="24"/>
          <w:highlight w:val="none"/>
        </w:rPr>
      </w:pPr>
    </w:p>
    <w:p>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pPr>
              <w:spacing w:line="360" w:lineRule="auto"/>
              <w:jc w:val="center"/>
              <w:rPr>
                <w:rFonts w:hint="eastAsia" w:ascii="仿宋" w:hAnsi="仿宋" w:eastAsia="仿宋" w:cs="仿宋"/>
                <w:bCs/>
                <w:sz w:val="24"/>
                <w:szCs w:val="24"/>
                <w:highlight w:val="none"/>
              </w:rPr>
            </w:pP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5379" w:type="dxa"/>
            <w:gridSpan w:val="8"/>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bl>
    <w:p>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b/>
          <w:sz w:val="24"/>
          <w:szCs w:val="24"/>
          <w:highlight w:val="none"/>
        </w:rPr>
      </w:pPr>
    </w:p>
    <w:p>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pPr>
        <w:pStyle w:val="7"/>
        <w:rPr>
          <w:rFonts w:hint="eastAsia" w:ascii="仿宋" w:hAnsi="仿宋" w:eastAsia="仿宋" w:cs="仿宋"/>
          <w:color w:val="auto"/>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pPr>
        <w:spacing w:line="360" w:lineRule="auto"/>
        <w:jc w:val="left"/>
        <w:outlineLvl w:val="1"/>
        <w:rPr>
          <w:rFonts w:hint="eastAsia" w:ascii="仿宋" w:hAnsi="仿宋" w:eastAsia="仿宋" w:cs="仿宋"/>
          <w:sz w:val="24"/>
          <w:szCs w:val="24"/>
          <w:highlight w:val="none"/>
        </w:rPr>
      </w:pPr>
    </w:p>
    <w:p>
      <w:pPr>
        <w:pStyle w:val="7"/>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pStyle w:val="7"/>
        <w:rPr>
          <w:rFonts w:hint="eastAsia" w:ascii="仿宋" w:hAnsi="仿宋" w:eastAsia="仿宋" w:cs="仿宋"/>
          <w:sz w:val="24"/>
          <w:szCs w:val="24"/>
          <w:highlight w:val="none"/>
        </w:rPr>
      </w:pPr>
    </w:p>
    <w:p>
      <w:pPr>
        <w:rPr>
          <w:rFonts w:hint="eastAsia"/>
        </w:rPr>
      </w:pPr>
    </w:p>
    <w:p>
      <w:pPr>
        <w:pStyle w:val="7"/>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7541"/>
      <w:bookmarkStart w:id="103" w:name="_Toc22408"/>
      <w:bookmarkStart w:id="104" w:name="_Toc11096"/>
      <w:r>
        <w:rPr>
          <w:rFonts w:hint="eastAsia" w:ascii="仿宋" w:hAnsi="仿宋" w:eastAsia="仿宋" w:cs="仿宋"/>
          <w:color w:val="auto"/>
          <w:sz w:val="32"/>
          <w:szCs w:val="32"/>
          <w:highlight w:val="none"/>
        </w:rPr>
        <w:t>分项报价明细表</w:t>
      </w:r>
      <w:bookmarkEnd w:id="102"/>
      <w:bookmarkEnd w:id="103"/>
      <w:bookmarkEnd w:id="104"/>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400" w:lineRule="exact"/>
        <w:ind w:firstLine="480" w:firstLineChars="200"/>
        <w:rPr>
          <w:rFonts w:hint="eastAsia" w:ascii="仿宋" w:hAnsi="仿宋" w:eastAsia="仿宋" w:cs="仿宋"/>
          <w:color w:val="auto"/>
          <w:sz w:val="24"/>
          <w:highlight w:val="none"/>
          <w:lang w:val="en-US" w:eastAsia="zh-CN"/>
        </w:rPr>
      </w:pPr>
    </w:p>
    <w:p>
      <w:pPr>
        <w:pStyle w:val="7"/>
        <w:rPr>
          <w:rFonts w:hint="eastAsia" w:ascii="仿宋" w:hAnsi="仿宋" w:eastAsia="仿宋" w:cs="仿宋"/>
          <w:color w:val="auto"/>
          <w:highlight w:val="none"/>
          <w:lang w:val="en-US" w:eastAsia="zh-CN"/>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pStyle w:val="11"/>
        <w:tabs>
          <w:tab w:val="left" w:pos="0"/>
        </w:tabs>
        <w:spacing w:after="0"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0" w:leftChars="0"/>
        <w:rPr>
          <w:rFonts w:hint="eastAsia" w:ascii="仿宋" w:hAnsi="仿宋" w:eastAsia="仿宋" w:cs="仿宋"/>
          <w:sz w:val="24"/>
          <w:szCs w:val="24"/>
          <w:highlight w:val="none"/>
        </w:rPr>
      </w:pPr>
    </w:p>
    <w:p>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pPr>
              <w:pStyle w:val="5"/>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5"/>
              <w:tabs>
                <w:tab w:val="left" w:pos="6880"/>
              </w:tabs>
              <w:spacing w:line="360" w:lineRule="auto"/>
              <w:ind w:firstLine="480"/>
              <w:jc w:val="center"/>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pPr>
        <w:pStyle w:val="5"/>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pPr>
        <w:pStyle w:val="5"/>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1229"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pPr>
        <w:spacing w:line="360" w:lineRule="auto"/>
        <w:jc w:val="left"/>
        <w:outlineLvl w:val="1"/>
        <w:rPr>
          <w:rFonts w:hint="eastAsia" w:ascii="仿宋" w:hAnsi="仿宋" w:eastAsia="仿宋" w:cs="仿宋"/>
          <w:b/>
          <w:bCs/>
          <w:sz w:val="28"/>
          <w:szCs w:val="28"/>
          <w:highlight w:val="none"/>
        </w:rPr>
      </w:pPr>
      <w:bookmarkStart w:id="116" w:name="_Toc30074"/>
      <w:bookmarkStart w:id="117" w:name="_Toc17041"/>
      <w:bookmarkStart w:id="118" w:name="_Toc21832"/>
      <w:bookmarkStart w:id="119" w:name="_Toc20369"/>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pPr>
        <w:pStyle w:val="33"/>
        <w:spacing w:before="46" w:after="46"/>
        <w:ind w:firstLine="480"/>
        <w:rPr>
          <w:rFonts w:hint="eastAsia" w:ascii="仿宋" w:hAnsi="仿宋" w:eastAsia="仿宋" w:cs="仿宋"/>
          <w:sz w:val="24"/>
          <w:szCs w:val="24"/>
          <w:highlight w:val="none"/>
        </w:rPr>
      </w:pP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240" w:firstLineChars="100"/>
        <w:rPr>
          <w:rFonts w:hint="eastAsia" w:ascii="仿宋" w:hAnsi="仿宋" w:eastAsia="仿宋" w:cs="仿宋"/>
          <w:sz w:val="24"/>
          <w:szCs w:val="24"/>
          <w:highlight w:val="none"/>
        </w:rPr>
      </w:pPr>
    </w:p>
    <w:p>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pPr>
        <w:pStyle w:val="33"/>
        <w:spacing w:before="46" w:after="46"/>
        <w:ind w:firstLine="0" w:firstLineChars="0"/>
        <w:outlineLvl w:val="1"/>
        <w:rPr>
          <w:rFonts w:hint="eastAsia" w:ascii="仿宋" w:hAnsi="仿宋" w:eastAsia="仿宋" w:cs="仿宋"/>
          <w:b/>
          <w:szCs w:val="28"/>
          <w:highlight w:val="none"/>
        </w:rPr>
      </w:pPr>
      <w:bookmarkStart w:id="120" w:name="_Toc7606"/>
      <w:bookmarkStart w:id="121" w:name="_Toc11403"/>
      <w:r>
        <w:rPr>
          <w:rFonts w:hint="eastAsia" w:ascii="仿宋" w:hAnsi="仿宋" w:eastAsia="仿宋" w:cs="仿宋"/>
          <w:b/>
          <w:szCs w:val="28"/>
          <w:highlight w:val="none"/>
        </w:rPr>
        <w:t>格式10 开标一览表封面格式</w:t>
      </w:r>
      <w:bookmarkEnd w:id="120"/>
      <w:bookmarkEnd w:id="121"/>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241" w:firstLineChars="100"/>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0" w:firstLineChars="0"/>
        <w:jc w:val="center"/>
        <w:rPr>
          <w:rFonts w:hint="eastAsia" w:ascii="仿宋" w:hAnsi="仿宋" w:eastAsia="仿宋" w:cs="仿宋"/>
          <w:b/>
          <w:sz w:val="52"/>
          <w:szCs w:val="52"/>
          <w:highlight w:val="none"/>
        </w:rPr>
      </w:pPr>
    </w:p>
    <w:p>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pPr>
        <w:widowControl/>
        <w:spacing w:line="360" w:lineRule="auto"/>
        <w:ind w:firstLine="240" w:firstLineChars="100"/>
        <w:jc w:val="left"/>
        <w:rPr>
          <w:rFonts w:hint="eastAsia" w:ascii="仿宋" w:hAnsi="仿宋" w:eastAsia="仿宋" w:cs="仿宋"/>
          <w:sz w:val="24"/>
          <w:szCs w:val="24"/>
          <w:highlight w:val="none"/>
        </w:rPr>
      </w:pPr>
    </w:p>
    <w:p>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pPr>
        <w:pStyle w:val="33"/>
        <w:spacing w:before="46" w:after="46"/>
        <w:ind w:firstLine="0" w:firstLineChars="0"/>
        <w:rPr>
          <w:rFonts w:hint="eastAsia" w:ascii="仿宋" w:hAnsi="仿宋" w:eastAsia="仿宋" w:cs="仿宋"/>
          <w:b/>
          <w:bCs/>
          <w:sz w:val="24"/>
          <w:szCs w:val="24"/>
          <w:highlight w:val="none"/>
          <w:lang w:bidi="ar"/>
        </w:rPr>
      </w:pPr>
    </w:p>
    <w:p>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pPr>
        <w:widowControl/>
        <w:spacing w:line="360" w:lineRule="auto"/>
        <w:jc w:val="center"/>
        <w:rPr>
          <w:rFonts w:hint="eastAsia" w:ascii="仿宋" w:hAnsi="仿宋" w:eastAsia="仿宋" w:cs="仿宋"/>
          <w:b/>
          <w:bCs/>
          <w:sz w:val="24"/>
          <w:szCs w:val="24"/>
          <w:highlight w:val="none"/>
          <w:lang w:bidi="ar"/>
        </w:rPr>
      </w:pPr>
    </w:p>
    <w:p>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pPr>
        <w:pStyle w:val="33"/>
        <w:spacing w:before="46" w:after="46"/>
        <w:ind w:firstLine="562"/>
        <w:outlineLvl w:val="1"/>
        <w:rPr>
          <w:rFonts w:hint="eastAsia" w:ascii="仿宋" w:hAnsi="仿宋" w:eastAsia="仿宋" w:cs="仿宋"/>
          <w:b/>
          <w:bCs/>
          <w:szCs w:val="28"/>
          <w:highlight w:val="none"/>
        </w:rPr>
      </w:pPr>
      <w:bookmarkStart w:id="123" w:name="_Toc26488"/>
      <w:bookmarkStart w:id="124" w:name="_Toc20059"/>
      <w:bookmarkStart w:id="125" w:name="_Toc8851"/>
      <w:r>
        <w:rPr>
          <w:rFonts w:hint="eastAsia" w:ascii="仿宋" w:hAnsi="仿宋" w:eastAsia="仿宋" w:cs="仿宋"/>
          <w:b/>
          <w:bCs/>
          <w:szCs w:val="28"/>
          <w:highlight w:val="none"/>
        </w:rPr>
        <w:t>格式12 无行贿犯罪记录承诺函</w:t>
      </w:r>
      <w:bookmarkEnd w:id="123"/>
      <w:bookmarkEnd w:id="124"/>
    </w:p>
    <w:p>
      <w:pPr>
        <w:pStyle w:val="33"/>
        <w:spacing w:before="46" w:after="46"/>
        <w:ind w:firstLine="482"/>
        <w:rPr>
          <w:rFonts w:hint="eastAsia" w:ascii="仿宋" w:hAnsi="仿宋" w:eastAsia="仿宋" w:cs="仿宋"/>
          <w:b/>
          <w:bCs/>
          <w:sz w:val="24"/>
          <w:szCs w:val="24"/>
          <w:highlight w:val="none"/>
        </w:rPr>
      </w:pPr>
    </w:p>
    <w:p>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pPr>
        <w:pStyle w:val="33"/>
        <w:spacing w:before="46" w:after="312" w:afterLines="100"/>
        <w:ind w:firstLine="480"/>
        <w:rPr>
          <w:rFonts w:hint="eastAsia" w:ascii="仿宋" w:hAnsi="仿宋" w:eastAsia="仿宋" w:cs="仿宋"/>
          <w:sz w:val="24"/>
          <w:szCs w:val="24"/>
          <w:highlight w:val="none"/>
        </w:rPr>
      </w:pPr>
    </w:p>
    <w:p>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pPr>
        <w:pStyle w:val="2"/>
        <w:spacing w:line="360" w:lineRule="auto"/>
        <w:jc w:val="center"/>
        <w:rPr>
          <w:rFonts w:hint="eastAsia" w:ascii="仿宋" w:hAnsi="仿宋" w:eastAsia="仿宋" w:cs="仿宋"/>
          <w:sz w:val="36"/>
          <w:szCs w:val="36"/>
          <w:highlight w:val="none"/>
        </w:rPr>
      </w:pPr>
    </w:p>
    <w:p>
      <w:pPr>
        <w:pStyle w:val="2"/>
        <w:spacing w:line="360" w:lineRule="auto"/>
        <w:jc w:val="center"/>
        <w:rPr>
          <w:rFonts w:hint="eastAsia" w:ascii="仿宋" w:hAnsi="仿宋" w:eastAsia="仿宋" w:cs="仿宋"/>
          <w:sz w:val="36"/>
          <w:szCs w:val="36"/>
          <w:highlight w:val="none"/>
        </w:rPr>
      </w:pPr>
    </w:p>
    <w:p>
      <w:pPr>
        <w:pStyle w:val="2"/>
        <w:spacing w:line="360" w:lineRule="auto"/>
        <w:rPr>
          <w:rFonts w:hint="eastAsia" w:ascii="仿宋" w:hAnsi="仿宋" w:eastAsia="仿宋" w:cs="仿宋"/>
          <w:sz w:val="36"/>
          <w:szCs w:val="36"/>
          <w:highlight w:val="none"/>
        </w:rPr>
      </w:pPr>
    </w:p>
    <w:p>
      <w:pPr>
        <w:rPr>
          <w:rFonts w:hint="eastAsia" w:ascii="仿宋" w:hAnsi="仿宋" w:eastAsia="仿宋" w:cs="仿宋"/>
          <w:sz w:val="32"/>
          <w:highlight w:val="none"/>
        </w:rPr>
      </w:pPr>
    </w:p>
    <w:p>
      <w:pPr>
        <w:pStyle w:val="2"/>
        <w:spacing w:line="360" w:lineRule="auto"/>
        <w:rPr>
          <w:rFonts w:hint="eastAsia" w:ascii="仿宋" w:hAnsi="仿宋" w:eastAsia="仿宋" w:cs="仿宋"/>
          <w:sz w:val="36"/>
          <w:szCs w:val="36"/>
          <w:highlight w:val="none"/>
        </w:rPr>
      </w:pPr>
    </w:p>
    <w:p>
      <w:pPr>
        <w:rPr>
          <w:rFonts w:hint="eastAsia"/>
        </w:rPr>
      </w:pPr>
    </w:p>
    <w:p>
      <w:pPr>
        <w:rPr>
          <w:rFonts w:hint="eastAsia" w:ascii="仿宋" w:hAnsi="仿宋" w:eastAsia="仿宋" w:cs="仿宋"/>
          <w:sz w:val="32"/>
          <w:highlight w:val="none"/>
        </w:rPr>
      </w:pPr>
    </w:p>
    <w:p>
      <w:pPr>
        <w:pStyle w:val="7"/>
        <w:rPr>
          <w:rFonts w:hint="eastAsia"/>
        </w:rPr>
      </w:pPr>
    </w:p>
    <w:p>
      <w:pPr>
        <w:pStyle w:val="2"/>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pPr>
        <w:spacing w:line="360" w:lineRule="auto"/>
        <w:jc w:val="center"/>
        <w:outlineLvl w:val="1"/>
        <w:rPr>
          <w:rFonts w:hint="eastAsia" w:ascii="仿宋" w:hAnsi="仿宋" w:eastAsia="仿宋" w:cs="仿宋"/>
          <w:b/>
          <w:bCs/>
          <w:sz w:val="28"/>
          <w:szCs w:val="28"/>
          <w:highlight w:val="none"/>
        </w:rPr>
      </w:pPr>
      <w:bookmarkStart w:id="126" w:name="_Toc1262"/>
      <w:bookmarkStart w:id="127" w:name="_Toc101338358"/>
      <w:bookmarkStart w:id="128" w:name="_Toc209847065"/>
      <w:bookmarkStart w:id="129" w:name="_Toc101174146"/>
      <w:bookmarkStart w:id="130" w:name="_Toc101250640"/>
      <w:bookmarkStart w:id="131" w:name="_Toc430773924"/>
      <w:r>
        <w:rPr>
          <w:rFonts w:hint="eastAsia" w:ascii="仿宋" w:hAnsi="仿宋" w:eastAsia="仿宋" w:cs="仿宋"/>
          <w:b/>
          <w:bCs/>
          <w:sz w:val="28"/>
          <w:szCs w:val="28"/>
          <w:highlight w:val="none"/>
        </w:rPr>
        <w:t>一、总则</w:t>
      </w:r>
      <w:bookmarkEnd w:id="126"/>
    </w:p>
    <w:p>
      <w:pPr>
        <w:pStyle w:val="7"/>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pPr>
        <w:spacing w:line="360" w:lineRule="auto"/>
        <w:jc w:val="center"/>
        <w:outlineLvl w:val="1"/>
        <w:rPr>
          <w:rFonts w:hint="eastAsia" w:ascii="仿宋" w:hAnsi="仿宋" w:eastAsia="仿宋" w:cs="仿宋"/>
          <w:b/>
          <w:sz w:val="28"/>
          <w:szCs w:val="28"/>
          <w:highlight w:val="none"/>
        </w:rPr>
      </w:pPr>
      <w:bookmarkStart w:id="132" w:name="_Toc23766"/>
      <w:bookmarkStart w:id="133" w:name="_Toc24313"/>
      <w:r>
        <w:rPr>
          <w:rFonts w:hint="eastAsia" w:ascii="仿宋" w:hAnsi="仿宋" w:eastAsia="仿宋" w:cs="仿宋"/>
          <w:b/>
          <w:sz w:val="28"/>
          <w:szCs w:val="28"/>
          <w:highlight w:val="none"/>
        </w:rPr>
        <w:t>二、评标方法</w:t>
      </w:r>
      <w:bookmarkEnd w:id="132"/>
      <w:bookmarkEnd w:id="133"/>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pPr>
        <w:spacing w:line="360" w:lineRule="auto"/>
        <w:ind w:firstLine="482" w:firstLineChars="200"/>
        <w:rPr>
          <w:rFonts w:hint="eastAsia" w:ascii="仿宋" w:hAnsi="仿宋" w:eastAsia="仿宋" w:cs="仿宋"/>
          <w:b/>
          <w:sz w:val="28"/>
          <w:szCs w:val="28"/>
          <w:highlight w:val="none"/>
        </w:rPr>
      </w:pPr>
      <w:bookmarkStart w:id="135" w:name="_Toc308164807"/>
      <w:bookmarkStart w:id="136" w:name="_Toc217446058"/>
      <w:r>
        <w:rPr>
          <w:rFonts w:hint="eastAsia" w:ascii="仿宋" w:hAnsi="仿宋" w:eastAsia="仿宋" w:cs="仿宋"/>
          <w:b/>
          <w:sz w:val="24"/>
          <w:highlight w:val="none"/>
        </w:rPr>
        <w:t>2.3开标程序</w:t>
      </w:r>
      <w:bookmarkEnd w:id="135"/>
      <w:bookmarkEnd w:id="13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tbl>
      <w:tblPr>
        <w:tblStyle w:val="21"/>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91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w:t>
            </w:r>
          </w:p>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val="0"/>
                <w:bCs w:val="0"/>
                <w:color w:val="auto"/>
                <w:spacing w:val="-10"/>
                <w:sz w:val="22"/>
                <w:szCs w:val="22"/>
                <w:highlight w:val="none"/>
                <w:lang w:bidi="zh-CN"/>
              </w:rPr>
            </w:pP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0分</w:t>
            </w:r>
          </w:p>
        </w:tc>
        <w:tc>
          <w:tcPr>
            <w:tcW w:w="240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color w:val="auto"/>
                <w:sz w:val="22"/>
                <w:szCs w:val="22"/>
                <w:highlight w:val="none"/>
              </w:rPr>
              <w:t>满足采购文件要求且价格最低的</w:t>
            </w:r>
            <w:r>
              <w:rPr>
                <w:rFonts w:hint="eastAsia" w:ascii="仿宋" w:hAnsi="仿宋" w:eastAsia="仿宋" w:cs="仿宋"/>
                <w:color w:val="auto"/>
                <w:sz w:val="22"/>
                <w:szCs w:val="22"/>
                <w:highlight w:val="none"/>
                <w:lang w:eastAsia="zh-CN"/>
              </w:rPr>
              <w:t>有效</w:t>
            </w:r>
            <w:r>
              <w:rPr>
                <w:rFonts w:hint="eastAsia" w:ascii="仿宋" w:hAnsi="仿宋" w:eastAsia="仿宋" w:cs="仿宋"/>
                <w:color w:val="auto"/>
                <w:sz w:val="22"/>
                <w:szCs w:val="22"/>
                <w:highlight w:val="none"/>
              </w:rPr>
              <w:t>报价作为基准价，其价格分为满分，响应报价得分＝(基准价／响应报价)* 50分</w:t>
            </w:r>
            <w:r>
              <w:rPr>
                <w:rFonts w:hint="eastAsia" w:ascii="仿宋" w:hAnsi="仿宋" w:eastAsia="仿宋" w:cs="仿宋"/>
                <w:color w:val="auto"/>
                <w:sz w:val="22"/>
                <w:szCs w:val="22"/>
                <w:highlight w:val="none"/>
                <w:lang w:eastAsia="zh-CN"/>
              </w:rPr>
              <w:t>。</w:t>
            </w:r>
          </w:p>
        </w:tc>
        <w:tc>
          <w:tcPr>
            <w:tcW w:w="888" w:type="pct"/>
            <w:noWrap w:val="0"/>
            <w:vAlign w:val="center"/>
          </w:tcPr>
          <w:p>
            <w:pPr>
              <w:widowControl/>
              <w:wordWrap w:val="0"/>
              <w:spacing w:line="360" w:lineRule="auto"/>
              <w:ind w:right="30" w:rightChars="0"/>
              <w:jc w:val="center"/>
              <w:rPr>
                <w:rFonts w:hint="eastAsia" w:ascii="仿宋" w:hAnsi="仿宋" w:eastAsia="仿宋" w:cs="仿宋"/>
                <w:color w:val="FF0000"/>
                <w:kern w:val="2"/>
                <w:sz w:val="22"/>
                <w:szCs w:val="22"/>
                <w:lang w:val="en-US" w:eastAsia="zh-CN" w:bidi="ar-SA"/>
              </w:rPr>
            </w:pPr>
            <w:r>
              <w:rPr>
                <w:rFonts w:hint="eastAsia" w:ascii="仿宋" w:hAnsi="仿宋" w:eastAsia="仿宋" w:cs="仿宋"/>
                <w:color w:val="auto"/>
                <w:sz w:val="22"/>
                <w:szCs w:val="22"/>
                <w:highlight w:val="none"/>
                <w:lang w:eastAsia="zh-CN"/>
              </w:rPr>
              <w:t>以投标人提供的报价一览表为依据。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trPr>
        <w:tc>
          <w:tcPr>
            <w:tcW w:w="32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91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项目实施方案25%</w:t>
            </w:r>
          </w:p>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p>
        </w:tc>
        <w:tc>
          <w:tcPr>
            <w:tcW w:w="46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25分</w:t>
            </w:r>
          </w:p>
        </w:tc>
        <w:tc>
          <w:tcPr>
            <w:tcW w:w="240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根据投标人提供的针对本项目的项目实施方案（包含：①配送服务计划及响应时限；②公司内部管理制度；③备货方案；④人员配置安排方案；⑤项目服务质量保障措施及安全保障措施。）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kern w:val="0"/>
                <w:sz w:val="22"/>
                <w:szCs w:val="22"/>
                <w:lang w:val="en-US" w:eastAsia="zh-CN" w:bidi="ar"/>
              </w:rPr>
              <w:t xml:space="preserve">  以上5个部分方案要素齐全得25分。每缺少一个部分扣5分，扣完为止，内容描述存在不完整、前后矛盾、不符合项目要求中任何一种情形或其他不足之处的，每有一处扣1分，每个部分最多扣5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val="0"/>
                <w:bCs w:val="0"/>
                <w:color w:val="auto"/>
                <w:sz w:val="22"/>
                <w:szCs w:val="22"/>
                <w:highlight w:val="none"/>
              </w:rPr>
              <w:t>以投标人提供的投标文件为依据。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32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91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38" w:leftChars="70" w:hanging="200" w:hangingChars="91"/>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售后服务方案20%</w:t>
            </w:r>
          </w:p>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both"/>
              <w:textAlignment w:val="auto"/>
              <w:rPr>
                <w:rFonts w:hint="eastAsia" w:ascii="仿宋" w:hAnsi="仿宋" w:eastAsia="仿宋" w:cs="仿宋"/>
                <w:b w:val="0"/>
                <w:bCs w:val="0"/>
                <w:color w:val="auto"/>
                <w:spacing w:val="-10"/>
                <w:sz w:val="22"/>
                <w:szCs w:val="22"/>
                <w:highlight w:val="none"/>
                <w:lang w:bidi="zh-CN"/>
              </w:rPr>
            </w:pPr>
          </w:p>
        </w:tc>
        <w:tc>
          <w:tcPr>
            <w:tcW w:w="46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20分</w:t>
            </w:r>
          </w:p>
        </w:tc>
        <w:tc>
          <w:tcPr>
            <w:tcW w:w="2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根据投标人提供的针对本项目的售后服务方案（包含：①售后服务体系；②不良事件处理方案；③短缺货/紧急采购应急处置流程；④退换货服务方案;⑤设备维护保养技术人员。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 xml:space="preserve">  以上5个部分方案要素齐全得20分。每缺少一个部分扣4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z w:val="22"/>
                <w:szCs w:val="22"/>
                <w:highlight w:val="none"/>
              </w:rPr>
              <w:t>以投标人提供的投标文件为依据。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履约能力5</w:t>
            </w:r>
            <w:r>
              <w:rPr>
                <w:rFonts w:hint="eastAsia" w:ascii="仿宋" w:hAnsi="仿宋" w:eastAsia="仿宋" w:cs="仿宋"/>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40" w:leftChars="0" w:hanging="440" w:hangingChars="200"/>
              <w:jc w:val="center"/>
              <w:textAlignment w:val="auto"/>
              <w:rPr>
                <w:rFonts w:hint="eastAsia" w:ascii="仿宋" w:hAnsi="仿宋" w:eastAsia="仿宋" w:cs="仿宋"/>
                <w:b w:val="0"/>
                <w:bCs w:val="0"/>
                <w:color w:val="auto"/>
                <w:sz w:val="22"/>
                <w:szCs w:val="22"/>
                <w:highlight w:val="none"/>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p>
        </w:tc>
        <w:tc>
          <w:tcPr>
            <w:tcW w:w="2406"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line="360" w:lineRule="auto"/>
              <w:jc w:val="left"/>
              <w:rPr>
                <w:rFonts w:hint="eastAsia" w:ascii="仿宋" w:hAnsi="仿宋" w:eastAsia="仿宋" w:cs="仿宋"/>
                <w:spacing w:val="-10"/>
                <w:sz w:val="22"/>
                <w:szCs w:val="22"/>
                <w:lang w:bidi="zh-CN"/>
              </w:rPr>
            </w:pPr>
            <w:r>
              <w:rPr>
                <w:rFonts w:hint="eastAsia" w:ascii="仿宋" w:hAnsi="仿宋" w:eastAsia="仿宋" w:cs="仿宋"/>
                <w:b w:val="0"/>
                <w:bCs w:val="0"/>
                <w:color w:val="auto"/>
                <w:spacing w:val="-10"/>
                <w:sz w:val="22"/>
                <w:szCs w:val="22"/>
                <w:highlight w:val="none"/>
                <w:lang w:val="en-US" w:eastAsia="zh-CN" w:bidi="zh-CN"/>
              </w:rPr>
              <w:t>投标人</w:t>
            </w:r>
            <w:r>
              <w:rPr>
                <w:rFonts w:hint="eastAsia" w:ascii="仿宋" w:hAnsi="仿宋" w:eastAsia="仿宋" w:cs="仿宋"/>
                <w:spacing w:val="-10"/>
                <w:sz w:val="22"/>
                <w:szCs w:val="22"/>
                <w:highlight w:val="none"/>
                <w:lang w:bidi="zh-CN"/>
              </w:rPr>
              <w:t>自 20</w:t>
            </w:r>
            <w:r>
              <w:rPr>
                <w:rFonts w:hint="eastAsia" w:ascii="仿宋" w:hAnsi="仿宋" w:eastAsia="仿宋" w:cs="仿宋"/>
                <w:spacing w:val="-10"/>
                <w:sz w:val="22"/>
                <w:szCs w:val="22"/>
                <w:highlight w:val="none"/>
                <w:lang w:val="en-US" w:bidi="zh-CN"/>
              </w:rPr>
              <w:t>21</w:t>
            </w:r>
            <w:r>
              <w:rPr>
                <w:rFonts w:hint="eastAsia" w:ascii="仿宋" w:hAnsi="仿宋" w:eastAsia="仿宋" w:cs="仿宋"/>
                <w:spacing w:val="-10"/>
                <w:sz w:val="22"/>
                <w:szCs w:val="22"/>
                <w:highlight w:val="none"/>
                <w:lang w:bidi="zh-CN"/>
              </w:rPr>
              <w:t>年 1 月 1 日（以签订合同时间为准）至今，每提供 1 个类似业绩的得</w:t>
            </w:r>
            <w:r>
              <w:rPr>
                <w:rFonts w:hint="eastAsia" w:ascii="仿宋" w:hAnsi="仿宋" w:eastAsia="仿宋" w:cs="仿宋"/>
                <w:spacing w:val="-10"/>
                <w:sz w:val="22"/>
                <w:szCs w:val="22"/>
                <w:highlight w:val="none"/>
                <w:lang w:val="en-US" w:bidi="zh-CN"/>
              </w:rPr>
              <w:t>2.5</w:t>
            </w:r>
            <w:r>
              <w:rPr>
                <w:rFonts w:hint="eastAsia" w:ascii="仿宋" w:hAnsi="仿宋" w:eastAsia="仿宋" w:cs="仿宋"/>
                <w:spacing w:val="-10"/>
                <w:sz w:val="22"/>
                <w:szCs w:val="22"/>
                <w:highlight w:val="none"/>
                <w:lang w:bidi="zh-CN"/>
              </w:rPr>
              <w:t>分，本项最</w:t>
            </w:r>
            <w:r>
              <w:rPr>
                <w:rFonts w:hint="eastAsia" w:ascii="仿宋" w:hAnsi="仿宋" w:eastAsia="仿宋" w:cs="仿宋"/>
                <w:spacing w:val="-10"/>
                <w:sz w:val="22"/>
                <w:szCs w:val="22"/>
                <w:lang w:bidi="zh-CN"/>
              </w:rPr>
              <w:t>多得</w:t>
            </w:r>
            <w:r>
              <w:rPr>
                <w:rFonts w:hint="eastAsia" w:ascii="仿宋" w:hAnsi="仿宋" w:eastAsia="仿宋" w:cs="仿宋"/>
                <w:spacing w:val="-10"/>
                <w:sz w:val="22"/>
                <w:szCs w:val="22"/>
                <w:lang w:val="en-US" w:bidi="zh-CN"/>
              </w:rPr>
              <w:t>5</w:t>
            </w:r>
            <w:r>
              <w:rPr>
                <w:rFonts w:hint="eastAsia" w:ascii="仿宋" w:hAnsi="仿宋" w:eastAsia="仿宋" w:cs="仿宋"/>
                <w:spacing w:val="-10"/>
                <w:sz w:val="22"/>
                <w:szCs w:val="22"/>
                <w:lang w:bidi="zh-CN"/>
              </w:rPr>
              <w:t>分。</w:t>
            </w:r>
          </w:p>
          <w:p>
            <w:pPr>
              <w:pStyle w:val="7"/>
              <w:spacing w:line="360"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spacing w:val="-10"/>
                <w:sz w:val="22"/>
                <w:szCs w:val="22"/>
                <w:lang w:val="en-US" w:eastAsia="zh-CN" w:bidi="zh-CN"/>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以投标人提供的投标文件为依据。</w:t>
            </w:r>
          </w:p>
        </w:tc>
      </w:tr>
    </w:tbl>
    <w:p>
      <w:pPr>
        <w:spacing w:line="360" w:lineRule="auto"/>
        <w:rPr>
          <w:rFonts w:hint="eastAsia" w:ascii="仿宋" w:hAnsi="仿宋" w:eastAsia="仿宋" w:cs="仿宋"/>
          <w:sz w:val="24"/>
          <w:szCs w:val="24"/>
          <w:highlight w:val="none"/>
        </w:rPr>
      </w:pPr>
    </w:p>
    <w:p>
      <w:pPr>
        <w:pStyle w:val="7"/>
        <w:rPr>
          <w:rFonts w:hint="eastAsia" w:ascii="仿宋" w:hAnsi="仿宋" w:eastAsia="仿宋" w:cs="仿宋"/>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pPr>
        <w:adjustRightInd w:val="0"/>
        <w:snapToGrid w:val="0"/>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b/>
          <w:color w:val="auto"/>
          <w:sz w:val="28"/>
          <w:szCs w:val="28"/>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lang w:eastAsia="zh-CN"/>
        </w:rPr>
        <w:t>第八章</w:t>
      </w:r>
      <w:r>
        <w:rPr>
          <w:rFonts w:hint="eastAsia" w:ascii="仿宋" w:hAnsi="仿宋" w:eastAsia="仿宋" w:cs="仿宋"/>
          <w:b/>
          <w:sz w:val="36"/>
          <w:szCs w:val="36"/>
          <w:highlight w:val="none"/>
        </w:rPr>
        <w:t xml:space="preserve"> </w:t>
      </w:r>
      <w:bookmarkEnd w:id="85"/>
      <w:bookmarkEnd w:id="86"/>
      <w:bookmarkEnd w:id="87"/>
      <w:bookmarkEnd w:id="141"/>
      <w:bookmarkStart w:id="142" w:name="_Toc28817"/>
      <w:r>
        <w:rPr>
          <w:rFonts w:hint="eastAsia" w:asciiTheme="minorEastAsia" w:hAnsiTheme="minorEastAsia" w:eastAsiaTheme="minorEastAsia" w:cstheme="minorEastAsia"/>
          <w:b/>
          <w:color w:val="auto"/>
          <w:sz w:val="32"/>
          <w:szCs w:val="32"/>
          <w:highlight w:val="none"/>
        </w:rPr>
        <w:t>耗材采购合同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color w:val="auto"/>
          <w:sz w:val="24"/>
          <w:szCs w:val="24"/>
          <w:highlight w:val="none"/>
        </w:rPr>
      </w:pPr>
    </w:p>
    <w:p>
      <w:pPr>
        <w:widowControl/>
        <w:spacing w:line="360" w:lineRule="auto"/>
        <w:ind w:firstLine="480" w:firstLineChars="200"/>
        <w:jc w:val="left"/>
        <w:rPr>
          <w:rFonts w:hint="eastAsia"/>
          <w:color w:val="000000"/>
          <w:sz w:val="24"/>
          <w:szCs w:val="24"/>
        </w:rPr>
      </w:pPr>
      <w:r>
        <w:rPr>
          <w:rFonts w:hint="eastAsia"/>
          <w:color w:val="000000"/>
          <w:sz w:val="24"/>
          <w:szCs w:val="24"/>
        </w:rPr>
        <w:t>合同编号：</w:t>
      </w:r>
      <w:r>
        <w:rPr>
          <w:rFonts w:hint="eastAsia"/>
          <w:color w:val="000000"/>
          <w:sz w:val="24"/>
          <w:szCs w:val="24"/>
          <w:u w:val="single"/>
        </w:rPr>
        <w:t xml:space="preserve">                       </w:t>
      </w:r>
    </w:p>
    <w:p>
      <w:pPr>
        <w:widowControl/>
        <w:spacing w:line="360" w:lineRule="auto"/>
        <w:ind w:firstLine="480" w:firstLineChars="200"/>
        <w:jc w:val="left"/>
        <w:rPr>
          <w:rFonts w:hint="eastAsia"/>
          <w:color w:val="000000"/>
          <w:sz w:val="24"/>
          <w:szCs w:val="24"/>
        </w:rPr>
      </w:pPr>
      <w:r>
        <w:rPr>
          <w:rFonts w:hint="eastAsia"/>
          <w:color w:val="000000"/>
          <w:sz w:val="24"/>
          <w:szCs w:val="24"/>
        </w:rPr>
        <w:t>签订地点：</w:t>
      </w:r>
      <w:r>
        <w:rPr>
          <w:rFonts w:hint="eastAsia"/>
          <w:color w:val="000000"/>
          <w:sz w:val="24"/>
          <w:szCs w:val="24"/>
          <w:u w:val="single"/>
        </w:rPr>
        <w:t xml:space="preserve">   富顺县中医医院      </w:t>
      </w:r>
    </w:p>
    <w:p>
      <w:pPr>
        <w:widowControl/>
        <w:spacing w:line="360" w:lineRule="auto"/>
        <w:ind w:firstLine="480" w:firstLineChars="200"/>
        <w:jc w:val="left"/>
        <w:rPr>
          <w:rFonts w:hint="eastAsia"/>
          <w:color w:val="000000"/>
          <w:sz w:val="24"/>
          <w:szCs w:val="24"/>
        </w:rPr>
      </w:pPr>
      <w:r>
        <w:rPr>
          <w:rFonts w:hint="eastAsia"/>
          <w:color w:val="000000"/>
          <w:sz w:val="24"/>
          <w:szCs w:val="24"/>
        </w:rPr>
        <w:t>签订时间：</w:t>
      </w:r>
      <w:r>
        <w:rPr>
          <w:rFonts w:hint="eastAsia"/>
          <w:color w:val="000000"/>
          <w:sz w:val="24"/>
          <w:szCs w:val="24"/>
          <w:u w:val="single"/>
        </w:rPr>
        <w:t xml:space="preserve">  2024年   月    日   </w:t>
      </w:r>
    </w:p>
    <w:p>
      <w:pPr>
        <w:widowControl/>
        <w:spacing w:line="360" w:lineRule="auto"/>
        <w:ind w:firstLine="480" w:firstLineChars="200"/>
        <w:jc w:val="left"/>
        <w:rPr>
          <w:rFonts w:hint="eastAsia"/>
          <w:color w:val="000000"/>
          <w:sz w:val="24"/>
          <w:szCs w:val="24"/>
        </w:rPr>
      </w:pPr>
      <w:r>
        <w:rPr>
          <w:rFonts w:hint="eastAsia"/>
          <w:color w:val="000000"/>
          <w:sz w:val="24"/>
          <w:szCs w:val="24"/>
        </w:rPr>
        <w:t>招标人（甲方）：</w:t>
      </w:r>
      <w:r>
        <w:rPr>
          <w:rFonts w:hint="eastAsia"/>
          <w:color w:val="000000"/>
          <w:sz w:val="24"/>
          <w:szCs w:val="24"/>
          <w:u w:val="single"/>
        </w:rPr>
        <w:t xml:space="preserve">  富顺县中医医院   </w:t>
      </w:r>
      <w:r>
        <w:rPr>
          <w:rFonts w:hint="eastAsia"/>
          <w:color w:val="000000"/>
          <w:sz w:val="24"/>
          <w:szCs w:val="24"/>
        </w:rPr>
        <w:t xml:space="preserve">                              </w:t>
      </w:r>
    </w:p>
    <w:p>
      <w:pPr>
        <w:widowControl/>
        <w:spacing w:line="360" w:lineRule="auto"/>
        <w:ind w:firstLine="480" w:firstLineChars="200"/>
        <w:jc w:val="left"/>
        <w:rPr>
          <w:rFonts w:hint="eastAsia"/>
          <w:sz w:val="24"/>
          <w:szCs w:val="24"/>
        </w:rPr>
      </w:pPr>
      <w:r>
        <w:rPr>
          <w:rFonts w:hint="eastAsia"/>
          <w:color w:val="000000"/>
          <w:sz w:val="24"/>
          <w:szCs w:val="24"/>
        </w:rPr>
        <w:t>投标人（乙方）：</w:t>
      </w:r>
      <w:r>
        <w:rPr>
          <w:rFonts w:hint="eastAsia"/>
          <w:color w:val="000000"/>
          <w:sz w:val="24"/>
          <w:szCs w:val="24"/>
          <w:u w:val="single"/>
        </w:rPr>
        <w:t xml:space="preserve">                   </w:t>
      </w:r>
    </w:p>
    <w:p>
      <w:pPr>
        <w:widowControl/>
        <w:spacing w:line="360" w:lineRule="auto"/>
        <w:jc w:val="left"/>
        <w:rPr>
          <w:rFonts w:hint="eastAsia"/>
          <w:b/>
          <w:color w:val="000000"/>
          <w:sz w:val="24"/>
          <w:szCs w:val="24"/>
          <w:u w:val="single"/>
        </w:rPr>
      </w:pPr>
      <w:r>
        <w:rPr>
          <w:rFonts w:hint="eastAsia"/>
          <w:color w:val="000000"/>
          <w:sz w:val="24"/>
          <w:szCs w:val="24"/>
        </w:rPr>
        <w:t xml:space="preserve">                                         </w:t>
      </w:r>
    </w:p>
    <w:p>
      <w:pPr>
        <w:pStyle w:val="35"/>
        <w:spacing w:before="260" w:line="360" w:lineRule="auto"/>
        <w:ind w:firstLine="480"/>
      </w:pPr>
      <w:r>
        <w:rPr>
          <w:rFonts w:hint="eastAsia"/>
        </w:rPr>
        <w:t>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pPr>
        <w:widowControl/>
        <w:autoSpaceDE w:val="0"/>
        <w:spacing w:line="360" w:lineRule="auto"/>
        <w:jc w:val="left"/>
        <w:rPr>
          <w:rFonts w:ascii="宋体-PUA"/>
          <w:b/>
          <w:color w:val="000000"/>
          <w:sz w:val="24"/>
          <w:szCs w:val="24"/>
        </w:rPr>
      </w:pPr>
      <w:r>
        <w:rPr>
          <w:rFonts w:ascii="Verdana" w:hAnsi="Verdana"/>
          <w:b/>
          <w:color w:val="000000"/>
          <w:sz w:val="24"/>
          <w:szCs w:val="24"/>
        </w:rPr>
        <w:t>一、项目清单及合同金额</w:t>
      </w:r>
      <w:r>
        <w:rPr>
          <w:rFonts w:ascii="Verdana" w:hAnsi="Verdana"/>
          <w:color w:val="000000"/>
          <w:sz w:val="24"/>
          <w:szCs w:val="24"/>
        </w:rPr>
        <w:t>（详见报价表，附后）</w:t>
      </w:r>
      <w:r>
        <w:rPr>
          <w:rFonts w:ascii="宋体-PUA"/>
          <w:color w:val="000000"/>
          <w:sz w:val="24"/>
          <w:szCs w:val="24"/>
        </w:rPr>
        <w:t xml:space="preserve">   </w:t>
      </w:r>
    </w:p>
    <w:p>
      <w:pPr>
        <w:widowControl/>
        <w:autoSpaceDE w:val="0"/>
        <w:spacing w:line="360" w:lineRule="auto"/>
        <w:ind w:firstLine="480" w:firstLineChars="200"/>
        <w:jc w:val="left"/>
        <w:rPr>
          <w:sz w:val="24"/>
          <w:szCs w:val="24"/>
        </w:rPr>
      </w:pPr>
      <w:r>
        <w:rPr>
          <w:rFonts w:ascii="宋体-PUA" w:hAnsi="宋体-PUA"/>
          <w:color w:val="000000"/>
          <w:sz w:val="24"/>
          <w:szCs w:val="24"/>
        </w:rPr>
        <w:t>1.</w:t>
      </w:r>
      <w:r>
        <w:rPr>
          <w:rFonts w:ascii="宋体-PUA" w:hAnsi="Verdana"/>
          <w:color w:val="000000"/>
          <w:sz w:val="24"/>
          <w:szCs w:val="24"/>
        </w:rPr>
        <w:t xml:space="preserve"> </w:t>
      </w:r>
      <w:r>
        <w:rPr>
          <w:rFonts w:ascii="Verdana" w:hAnsi="Verdana"/>
          <w:color w:val="000000"/>
          <w:sz w:val="24"/>
          <w:szCs w:val="24"/>
        </w:rPr>
        <w:t>项目名称：</w:t>
      </w:r>
      <w:r>
        <w:rPr>
          <w:rFonts w:hint="eastAsia"/>
          <w:color w:val="000000"/>
          <w:sz w:val="24"/>
          <w:szCs w:val="24"/>
        </w:rPr>
        <w:t>富顺县中医医院</w:t>
      </w:r>
      <w:r>
        <w:rPr>
          <w:rFonts w:ascii="宋体-PUA" w:hAnsi="宋体-PUA"/>
          <w:color w:val="000000"/>
          <w:sz w:val="24"/>
          <w:szCs w:val="24"/>
        </w:rPr>
        <w:t>****</w:t>
      </w:r>
      <w:r>
        <w:rPr>
          <w:rFonts w:hint="eastAsia"/>
          <w:color w:val="000000"/>
          <w:sz w:val="24"/>
          <w:szCs w:val="24"/>
        </w:rPr>
        <w:t>采购项目</w:t>
      </w:r>
    </w:p>
    <w:p>
      <w:pPr>
        <w:widowControl/>
        <w:autoSpaceDE w:val="0"/>
        <w:spacing w:line="360" w:lineRule="auto"/>
        <w:ind w:firstLine="480" w:firstLineChars="200"/>
        <w:jc w:val="left"/>
        <w:rPr>
          <w:rFonts w:hint="eastAsia" w:ascii="宋体-PUA"/>
          <w:color w:val="000000"/>
          <w:sz w:val="24"/>
          <w:szCs w:val="24"/>
        </w:rPr>
      </w:pPr>
      <w:r>
        <w:rPr>
          <w:rFonts w:hint="eastAsia"/>
          <w:sz w:val="24"/>
          <w:szCs w:val="24"/>
        </w:rPr>
        <w:t>2.项目编号：</w:t>
      </w:r>
    </w:p>
    <w:p>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3.</w:t>
      </w:r>
      <w:r>
        <w:rPr>
          <w:rFonts w:ascii="宋体-PUA" w:hAnsi="Verdana"/>
          <w:color w:val="000000"/>
          <w:sz w:val="24"/>
          <w:szCs w:val="24"/>
        </w:rPr>
        <w:t xml:space="preserve"> </w:t>
      </w:r>
      <w:r>
        <w:rPr>
          <w:rFonts w:ascii="Verdana" w:hAnsi="Verdana"/>
          <w:color w:val="000000"/>
          <w:sz w:val="24"/>
          <w:szCs w:val="24"/>
        </w:rPr>
        <w:t>具体内容：</w:t>
      </w:r>
      <w:r>
        <w:rPr>
          <w:rFonts w:ascii="宋体-PUA" w:hAnsi="Verdana"/>
          <w:color w:val="000000"/>
          <w:sz w:val="24"/>
          <w:szCs w:val="24"/>
        </w:rPr>
        <w:t xml:space="preserve"> </w:t>
      </w:r>
      <w:r>
        <w:rPr>
          <w:rFonts w:ascii="宋体-PUA" w:hAnsi="宋体-PUA"/>
          <w:color w:val="000000"/>
          <w:sz w:val="24"/>
          <w:szCs w:val="24"/>
        </w:rPr>
        <w:t>(</w:t>
      </w:r>
      <w:r>
        <w:rPr>
          <w:rFonts w:ascii="Verdana" w:hAnsi="Verdana"/>
          <w:color w:val="000000"/>
          <w:sz w:val="24"/>
          <w:szCs w:val="24"/>
        </w:rPr>
        <w:t>详见附表</w:t>
      </w:r>
      <w:r>
        <w:rPr>
          <w:rFonts w:ascii="宋体-PUA" w:hAnsi="宋体-PUA"/>
          <w:color w:val="000000"/>
          <w:sz w:val="24"/>
          <w:szCs w:val="24"/>
        </w:rPr>
        <w:t xml:space="preserve">) </w:t>
      </w:r>
    </w:p>
    <w:p>
      <w:pPr>
        <w:pStyle w:val="5"/>
        <w:spacing w:line="360" w:lineRule="auto"/>
        <w:ind w:firstLine="480"/>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该合同附件价格已包括货物设计、材料、制造、包装、运输等所有其他有关各项的含税费用。本合同执行期间采购单价变动参照</w:t>
      </w:r>
      <w:r>
        <w:rPr>
          <w:rFonts w:ascii="宋体-PUA" w:hAnsi="宋体-PUA"/>
          <w:color w:val="000000"/>
          <w:sz w:val="24"/>
          <w:szCs w:val="24"/>
        </w:rPr>
        <w:t>2021</w:t>
      </w:r>
      <w:r>
        <w:rPr>
          <w:rFonts w:ascii="Verdana" w:hAnsi="Verdana"/>
          <w:color w:val="000000"/>
          <w:sz w:val="24"/>
          <w:szCs w:val="24"/>
        </w:rPr>
        <w:t>年</w:t>
      </w:r>
      <w:r>
        <w:rPr>
          <w:rFonts w:ascii="宋体-PUA" w:hAnsi="宋体-PUA"/>
          <w:color w:val="000000"/>
          <w:sz w:val="24"/>
          <w:szCs w:val="24"/>
        </w:rPr>
        <w:t>6</w:t>
      </w:r>
      <w:r>
        <w:rPr>
          <w:rFonts w:ascii="Verdana" w:hAnsi="Verdana"/>
          <w:color w:val="000000"/>
          <w:sz w:val="24"/>
          <w:szCs w:val="24"/>
        </w:rPr>
        <w:t>月</w:t>
      </w:r>
      <w:r>
        <w:rPr>
          <w:rFonts w:ascii="宋体-PUA" w:hAnsi="宋体-PUA"/>
          <w:color w:val="000000"/>
          <w:sz w:val="24"/>
          <w:szCs w:val="24"/>
        </w:rPr>
        <w:t>15</w:t>
      </w:r>
      <w:r>
        <w:rPr>
          <w:rFonts w:ascii="Verdana" w:hAnsi="Verdana"/>
          <w:color w:val="000000"/>
          <w:sz w:val="24"/>
          <w:szCs w:val="24"/>
        </w:rPr>
        <w:t>《四川省医疗保障局关于规范开展药品和医用耗材集中采购工作的通知》执行。采购数量及总金额以每月实际采购计划为准。</w:t>
      </w:r>
    </w:p>
    <w:p>
      <w:pPr>
        <w:widowControl/>
        <w:autoSpaceDE w:val="0"/>
        <w:spacing w:line="360" w:lineRule="auto"/>
        <w:jc w:val="left"/>
      </w:pPr>
      <w:r>
        <w:rPr>
          <w:rFonts w:hint="eastAsia"/>
          <w:b/>
          <w:bCs/>
          <w:color w:val="000000"/>
          <w:sz w:val="24"/>
          <w:szCs w:val="24"/>
        </w:rPr>
        <w:t>二、采购周期</w:t>
      </w:r>
      <w:r>
        <w:rPr>
          <w:rFonts w:hint="eastAsia"/>
          <w:color w:val="000000"/>
          <w:sz w:val="24"/>
          <w:szCs w:val="24"/>
        </w:rPr>
        <w:t>：      年    月 至     年    月</w:t>
      </w:r>
    </w:p>
    <w:p>
      <w:pPr>
        <w:widowControl/>
        <w:autoSpaceDE w:val="0"/>
        <w:spacing w:line="360" w:lineRule="auto"/>
        <w:jc w:val="left"/>
        <w:rPr>
          <w:rFonts w:hint="eastAsia" w:ascii="宋体-PUA"/>
          <w:b/>
          <w:color w:val="000000"/>
          <w:sz w:val="24"/>
          <w:szCs w:val="24"/>
        </w:rPr>
      </w:pPr>
      <w:r>
        <w:rPr>
          <w:rFonts w:ascii="Verdana" w:hAnsi="Verdana"/>
          <w:b/>
          <w:color w:val="000000"/>
          <w:sz w:val="24"/>
          <w:szCs w:val="24"/>
        </w:rPr>
        <w:t>三、交货时间、验收地点及交付方式</w:t>
      </w:r>
    </w:p>
    <w:p>
      <w:pPr>
        <w:widowControl/>
        <w:autoSpaceDE w:val="0"/>
        <w:spacing w:line="360" w:lineRule="auto"/>
        <w:ind w:firstLine="480" w:firstLineChars="200"/>
        <w:jc w:val="left"/>
        <w:rPr>
          <w:rFonts w:ascii="宋体-PUA"/>
          <w:color w:val="000000"/>
          <w:sz w:val="24"/>
          <w:szCs w:val="24"/>
        </w:rPr>
      </w:pPr>
      <w:r>
        <w:rPr>
          <w:rFonts w:hint="eastAsia" w:ascii="宋体-PUA" w:hAnsi="宋体-PUA"/>
          <w:color w:val="000000"/>
          <w:sz w:val="24"/>
          <w:szCs w:val="24"/>
        </w:rPr>
        <w:t>1.</w:t>
      </w:r>
      <w:r>
        <w:rPr>
          <w:rFonts w:hint="eastAsia" w:ascii="宋体-PUA"/>
          <w:color w:val="000000"/>
          <w:sz w:val="24"/>
          <w:szCs w:val="24"/>
        </w:rPr>
        <w:t xml:space="preserve"> </w:t>
      </w:r>
      <w:r>
        <w:rPr>
          <w:rFonts w:hint="eastAsia"/>
          <w:color w:val="000000"/>
          <w:sz w:val="24"/>
          <w:szCs w:val="24"/>
        </w:rPr>
        <w:t>交货时间：在接到甲方的通知（包括并不限于书面、口头、电话、短信、微信等形式）后，</w:t>
      </w:r>
      <w:r>
        <w:rPr>
          <w:rFonts w:hint="eastAsia" w:ascii="宋体-PUA"/>
          <w:color w:val="000000"/>
          <w:sz w:val="24"/>
          <w:szCs w:val="24"/>
          <w:u w:val="single"/>
        </w:rPr>
        <w:t xml:space="preserve">  </w:t>
      </w:r>
      <w:r>
        <w:rPr>
          <w:rFonts w:hint="eastAsia" w:ascii="宋体-PUA" w:hAnsi="宋体-PUA"/>
          <w:color w:val="000000"/>
          <w:sz w:val="24"/>
          <w:szCs w:val="24"/>
          <w:u w:val="single"/>
        </w:rPr>
        <w:t>48</w:t>
      </w:r>
      <w:r>
        <w:rPr>
          <w:rFonts w:hint="eastAsia" w:ascii="宋体-PUA"/>
          <w:color w:val="000000"/>
          <w:sz w:val="24"/>
          <w:szCs w:val="24"/>
          <w:u w:val="single"/>
        </w:rPr>
        <w:t xml:space="preserve">  </w:t>
      </w:r>
      <w:r>
        <w:rPr>
          <w:rFonts w:hint="eastAsia" w:ascii="宋体-PUA"/>
          <w:color w:val="000000"/>
          <w:sz w:val="24"/>
          <w:szCs w:val="24"/>
        </w:rPr>
        <w:t xml:space="preserve"> </w:t>
      </w:r>
      <w:r>
        <w:rPr>
          <w:rFonts w:hint="eastAsia"/>
          <w:color w:val="000000"/>
          <w:sz w:val="24"/>
          <w:szCs w:val="24"/>
        </w:rPr>
        <w:t>小时内。</w:t>
      </w:r>
    </w:p>
    <w:p>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2. </w:t>
      </w:r>
      <w:r>
        <w:rPr>
          <w:rFonts w:hint="eastAsia"/>
          <w:color w:val="000000"/>
          <w:sz w:val="24"/>
          <w:szCs w:val="24"/>
        </w:rPr>
        <w:t>验收地点：甲方指定地点。</w:t>
      </w:r>
    </w:p>
    <w:p>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3. </w:t>
      </w:r>
      <w:r>
        <w:rPr>
          <w:rFonts w:hint="eastAsia"/>
          <w:color w:val="000000"/>
          <w:sz w:val="24"/>
          <w:szCs w:val="24"/>
        </w:rPr>
        <w:t>交付方式：免费送货上门，连同配套工具交付使用，如因甲方手术需要，则厂家技术人员须免费上门指导。</w:t>
      </w:r>
    </w:p>
    <w:p>
      <w:pPr>
        <w:widowControl/>
        <w:autoSpaceDE w:val="0"/>
        <w:spacing w:line="360" w:lineRule="auto"/>
        <w:jc w:val="left"/>
        <w:rPr>
          <w:rFonts w:hint="eastAsia" w:ascii="宋体-PUA"/>
          <w:b/>
          <w:color w:val="000000"/>
          <w:sz w:val="24"/>
          <w:szCs w:val="24"/>
        </w:rPr>
      </w:pPr>
      <w:r>
        <w:rPr>
          <w:rFonts w:ascii="Verdana" w:hAnsi="Verdana"/>
          <w:b/>
          <w:color w:val="000000"/>
          <w:sz w:val="24"/>
          <w:szCs w:val="24"/>
        </w:rPr>
        <w:t>四、履约验收</w:t>
      </w:r>
    </w:p>
    <w:p>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乙方提供的耗材为最新生产的原装正品，各项指标符合出产国检测标准和出厂标准，各项技术参数符合采购文件要求和乙方投递的响应文件承诺。</w:t>
      </w:r>
    </w:p>
    <w:p>
      <w:pPr>
        <w:widowControl/>
        <w:autoSpaceDE w:val="0"/>
        <w:spacing w:line="360" w:lineRule="auto"/>
        <w:ind w:left="384" w:leftChars="113" w:firstLine="120" w:firstLineChars="50"/>
        <w:jc w:val="left"/>
        <w:rPr>
          <w:rFonts w:ascii="宋体-PUA"/>
          <w:color w:val="000000"/>
          <w:sz w:val="24"/>
          <w:szCs w:val="24"/>
        </w:rPr>
      </w:pPr>
      <w:r>
        <w:rPr>
          <w:rFonts w:hint="eastAsia"/>
          <w:color w:val="000000"/>
          <w:sz w:val="24"/>
          <w:szCs w:val="24"/>
        </w:rPr>
        <w:t xml:space="preserve"> 乙方提供的产品若为原装进口产品，还应在验收时提供该耗材属原装进口</w:t>
      </w:r>
    </w:p>
    <w:p>
      <w:pPr>
        <w:widowControl/>
        <w:autoSpaceDE w:val="0"/>
        <w:spacing w:line="360" w:lineRule="auto"/>
        <w:jc w:val="left"/>
        <w:rPr>
          <w:rFonts w:hint="eastAsia" w:ascii="宋体-PUA"/>
          <w:color w:val="000000"/>
          <w:sz w:val="24"/>
          <w:szCs w:val="24"/>
        </w:rPr>
      </w:pPr>
      <w:r>
        <w:rPr>
          <w:rFonts w:hint="eastAsia"/>
          <w:color w:val="000000"/>
          <w:sz w:val="24"/>
          <w:szCs w:val="24"/>
        </w:rPr>
        <w:t>的相关凭据。</w:t>
      </w:r>
      <w:r>
        <w:rPr>
          <w:rFonts w:ascii="宋体-PUA"/>
          <w:color w:val="000000"/>
          <w:sz w:val="24"/>
          <w:szCs w:val="24"/>
        </w:rPr>
        <w:t xml:space="preserve"> </w:t>
      </w:r>
    </w:p>
    <w:p>
      <w:pPr>
        <w:widowControl/>
        <w:autoSpaceDE w:val="0"/>
        <w:spacing w:line="360" w:lineRule="auto"/>
        <w:ind w:left="1255" w:leftChars="228" w:hanging="480" w:hangingChars="200"/>
        <w:jc w:val="left"/>
        <w:rPr>
          <w:rFonts w:ascii="宋体-PUA"/>
          <w:color w:val="000000"/>
          <w:sz w:val="24"/>
          <w:szCs w:val="24"/>
        </w:rPr>
      </w:pPr>
      <w:r>
        <w:rPr>
          <w:rFonts w:hint="eastAsia"/>
          <w:color w:val="000000"/>
          <w:sz w:val="24"/>
          <w:szCs w:val="24"/>
        </w:rPr>
        <w:t>乙方所交产品不符合规定或质量不合格的，由乙方负责包换，并承担换货</w:t>
      </w:r>
    </w:p>
    <w:p>
      <w:pPr>
        <w:widowControl/>
        <w:autoSpaceDE w:val="0"/>
        <w:spacing w:line="360" w:lineRule="auto"/>
        <w:jc w:val="left"/>
        <w:rPr>
          <w:rFonts w:hint="eastAsia" w:ascii="宋体-PUA"/>
          <w:color w:val="000000"/>
          <w:sz w:val="24"/>
          <w:szCs w:val="24"/>
        </w:rPr>
      </w:pPr>
      <w:r>
        <w:rPr>
          <w:rFonts w:hint="eastAsia"/>
          <w:color w:val="000000"/>
          <w:sz w:val="24"/>
          <w:szCs w:val="24"/>
        </w:rPr>
        <w:t>而支付的一切费用。乙方不能调换的，按不能交货处理。</w:t>
      </w:r>
      <w:r>
        <w:rPr>
          <w:rFonts w:ascii="宋体-PUA"/>
          <w:color w:val="000000"/>
          <w:sz w:val="24"/>
          <w:szCs w:val="24"/>
        </w:rPr>
        <w:t xml:space="preserve"> </w:t>
      </w:r>
    </w:p>
    <w:p>
      <w:pPr>
        <w:widowControl/>
        <w:autoSpaceDE w:val="0"/>
        <w:spacing w:line="360" w:lineRule="auto"/>
        <w:jc w:val="left"/>
        <w:rPr>
          <w:rFonts w:ascii="宋体-PUA"/>
          <w:b/>
          <w:color w:val="000000"/>
          <w:sz w:val="24"/>
          <w:szCs w:val="24"/>
        </w:rPr>
      </w:pPr>
      <w:r>
        <w:rPr>
          <w:rFonts w:ascii="Verdana" w:hAnsi="Verdana"/>
          <w:b/>
          <w:color w:val="000000"/>
          <w:sz w:val="24"/>
          <w:szCs w:val="24"/>
        </w:rPr>
        <w:t>五、售后服务</w:t>
      </w:r>
    </w:p>
    <w:p>
      <w:pPr>
        <w:widowControl/>
        <w:autoSpaceDE w:val="0"/>
        <w:spacing w:line="360" w:lineRule="auto"/>
        <w:ind w:left="775" w:leftChars="228"/>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严格遵守售后服务承诺，耗材在使用中出现任何问题，甲方与乙方联系，</w:t>
      </w:r>
    </w:p>
    <w:p>
      <w:pPr>
        <w:widowControl/>
        <w:autoSpaceDE w:val="0"/>
        <w:spacing w:line="360" w:lineRule="auto"/>
        <w:jc w:val="left"/>
        <w:rPr>
          <w:rFonts w:ascii="宋体-PUA"/>
          <w:color w:val="000000"/>
          <w:sz w:val="24"/>
          <w:szCs w:val="24"/>
        </w:rPr>
      </w:pPr>
      <w:r>
        <w:rPr>
          <w:rFonts w:ascii="Verdana" w:hAnsi="Verdana"/>
          <w:color w:val="000000"/>
          <w:sz w:val="24"/>
          <w:szCs w:val="24"/>
        </w:rPr>
        <w:t>乙方在接到电话后</w:t>
      </w:r>
      <w:r>
        <w:rPr>
          <w:rFonts w:ascii="宋体-PUA"/>
          <w:color w:val="000000"/>
          <w:sz w:val="24"/>
          <w:szCs w:val="24"/>
          <w:u w:val="single"/>
        </w:rPr>
        <w:t xml:space="preserve">   </w:t>
      </w:r>
      <w:r>
        <w:rPr>
          <w:rFonts w:ascii="宋体-PUA" w:hAnsi="宋体-PUA"/>
          <w:color w:val="000000"/>
          <w:sz w:val="24"/>
          <w:szCs w:val="24"/>
          <w:u w:val="single"/>
        </w:rPr>
        <w:t xml:space="preserve">4  </w:t>
      </w:r>
      <w:r>
        <w:rPr>
          <w:rFonts w:ascii="Verdana" w:hAnsi="Verdana"/>
          <w:color w:val="000000"/>
          <w:sz w:val="24"/>
          <w:szCs w:val="24"/>
        </w:rPr>
        <w:t>小时内到达现场提供现场服务。有关内容如下：</w:t>
      </w:r>
    </w:p>
    <w:p>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乙方承诺，甲方使用乙方提供的产品，若发生质量问题，乙方将承担全部责任，若乙方不能自已证明该产品无质量问题，或是由非质量问题以外其他原因造成的，同样由乙方承担相应责任。</w:t>
      </w:r>
    </w:p>
    <w:p>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提供相应的备用机及备用机的维护保养，保证备用机的正常运行。</w:t>
      </w:r>
      <w:r>
        <w:rPr>
          <w:rFonts w:ascii="宋体-PUA"/>
          <w:color w:val="000000"/>
          <w:sz w:val="24"/>
          <w:szCs w:val="24"/>
        </w:rPr>
        <w:t xml:space="preserve">    </w:t>
      </w:r>
      <w:r>
        <w:rPr>
          <w:rFonts w:hint="eastAsia"/>
          <w:sz w:val="24"/>
          <w:szCs w:val="24"/>
        </w:rPr>
        <w:t xml:space="preserve">                                        </w:t>
      </w:r>
    </w:p>
    <w:p>
      <w:pPr>
        <w:widowControl/>
        <w:numPr>
          <w:ilvl w:val="0"/>
          <w:numId w:val="4"/>
        </w:numPr>
        <w:spacing w:line="440" w:lineRule="exact"/>
        <w:ind w:firstLine="480" w:firstLineChars="200"/>
        <w:jc w:val="left"/>
        <w:rPr>
          <w:sz w:val="24"/>
          <w:szCs w:val="24"/>
        </w:rPr>
      </w:pPr>
      <w:r>
        <w:rPr>
          <w:rFonts w:hint="eastAsia"/>
          <w:sz w:val="24"/>
          <w:szCs w:val="24"/>
        </w:rPr>
        <w:t>签定合同后耗材价格在四川医保平台子系统-</w:t>
      </w:r>
      <w:r>
        <w:rPr>
          <w:rFonts w:hint="eastAsia" w:cs="Times New Roman"/>
          <w:sz w:val="24"/>
          <w:szCs w:val="24"/>
        </w:rPr>
        <w:t>药品和医用耗材招采管理系统</w:t>
      </w:r>
      <w:r>
        <w:rPr>
          <w:rFonts w:hint="eastAsia"/>
          <w:sz w:val="24"/>
          <w:szCs w:val="24"/>
        </w:rPr>
        <w:t>上如出现了最低采购价的按照最低价格进行采购，中标供应商无条件执行（并在“四川药械采购网”上进行价格确认）生成订单，中标供应商如不执行我院有权终止合同。</w:t>
      </w:r>
    </w:p>
    <w:p>
      <w:pPr>
        <w:widowControl/>
        <w:autoSpaceDE w:val="0"/>
        <w:spacing w:line="360" w:lineRule="auto"/>
        <w:jc w:val="left"/>
        <w:rPr>
          <w:rFonts w:hint="eastAsia" w:ascii="宋体-PUA"/>
          <w:b/>
          <w:sz w:val="24"/>
          <w:szCs w:val="24"/>
        </w:rPr>
      </w:pPr>
      <w:r>
        <w:rPr>
          <w:rFonts w:ascii="Verdana" w:hAnsi="Verdana"/>
          <w:b/>
          <w:sz w:val="24"/>
          <w:szCs w:val="24"/>
        </w:rPr>
        <w:t>六、相关权利及义务</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甲方在验收时对不符合采购文件要求的产品有权拒绝接收和追究违约责任。</w:t>
      </w:r>
      <w:r>
        <w:rPr>
          <w:rFonts w:ascii="宋体-PUA"/>
          <w:color w:val="000000"/>
          <w:sz w:val="24"/>
          <w:szCs w:val="24"/>
        </w:rPr>
        <w:t xml:space="preserve"> </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甲方有权监督乙方的售后服务，并对乙方的售后服务不符合采购文件承诺内容时加以指出乃至追究合同责任。</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3. </w:t>
      </w:r>
      <w:r>
        <w:rPr>
          <w:rFonts w:ascii="Verdana" w:hAnsi="Verdana"/>
          <w:color w:val="000000"/>
          <w:sz w:val="24"/>
          <w:szCs w:val="24"/>
        </w:rPr>
        <w:t>甲方在合同规定期限内协助履行付款责任。</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乙方有权按照合同要求及时、保质、保量交付产品。</w:t>
      </w:r>
    </w:p>
    <w:p>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 xml:space="preserve">5. </w:t>
      </w:r>
      <w:r>
        <w:rPr>
          <w:rFonts w:ascii="Verdana" w:hAnsi="Verdana"/>
          <w:color w:val="000000"/>
          <w:sz w:val="24"/>
          <w:szCs w:val="24"/>
        </w:rPr>
        <w:t>乙方有义务按采购文件及响应文件中的售后服务承诺提供良好的服务。</w:t>
      </w:r>
    </w:p>
    <w:p>
      <w:pPr>
        <w:pStyle w:val="7"/>
        <w:autoSpaceDE w:val="0"/>
        <w:spacing w:line="360" w:lineRule="auto"/>
        <w:ind w:firstLine="480" w:firstLineChars="200"/>
        <w:rPr>
          <w:rFonts w:ascii="宋体-PUA" w:hAnsi="宋体"/>
          <w:kern w:val="0"/>
          <w:sz w:val="24"/>
          <w:szCs w:val="24"/>
        </w:rPr>
      </w:pPr>
      <w:r>
        <w:rPr>
          <w:rFonts w:hint="eastAsia" w:ascii="宋体-PUA" w:hAnsi="宋体-PUA"/>
          <w:kern w:val="0"/>
          <w:sz w:val="24"/>
          <w:szCs w:val="24"/>
        </w:rPr>
        <w:t>6.</w:t>
      </w:r>
      <w:r>
        <w:rPr>
          <w:rFonts w:hint="eastAsia" w:ascii="宋体" w:hAnsi="宋体"/>
          <w:kern w:val="0"/>
          <w:sz w:val="24"/>
          <w:szCs w:val="24"/>
        </w:rPr>
        <w:t>所有中标公司的产品需经临床试用两个月，在试用过程中如临床科室提出异议，应更换产品的生产厂家或者规格。</w:t>
      </w:r>
    </w:p>
    <w:p>
      <w:pPr>
        <w:autoSpaceDE w:val="0"/>
        <w:spacing w:line="360" w:lineRule="auto"/>
        <w:rPr>
          <w:rFonts w:hint="eastAsia"/>
          <w:sz w:val="24"/>
          <w:szCs w:val="24"/>
        </w:rPr>
      </w:pPr>
      <w:r>
        <w:rPr>
          <w:rFonts w:hint="eastAsia" w:ascii="宋体-PUA"/>
          <w:sz w:val="24"/>
          <w:szCs w:val="24"/>
        </w:rPr>
        <w:t xml:space="preserve">     </w:t>
      </w:r>
      <w:r>
        <w:rPr>
          <w:rFonts w:hint="eastAsia" w:ascii="宋体-PUA" w:hAnsi="宋体-PUA"/>
          <w:sz w:val="24"/>
          <w:szCs w:val="24"/>
        </w:rPr>
        <w:t>7.</w:t>
      </w:r>
      <w:r>
        <w:rPr>
          <w:rFonts w:hint="eastAsia"/>
          <w:sz w:val="24"/>
          <w:szCs w:val="24"/>
        </w:rPr>
        <w:t>在合同执行期间，同品种耗材在使用过程中如甲方需采购其他规格型号的，采购价参考“四川药械采购网”上价格。</w:t>
      </w:r>
    </w:p>
    <w:p>
      <w:pPr>
        <w:autoSpaceDE w:val="0"/>
        <w:spacing w:line="360" w:lineRule="auto"/>
        <w:rPr>
          <w:rFonts w:hint="eastAsia"/>
          <w:b/>
          <w:sz w:val="24"/>
          <w:szCs w:val="24"/>
        </w:rPr>
      </w:pPr>
      <w:r>
        <w:rPr>
          <w:rFonts w:hint="eastAsia"/>
          <w:b/>
          <w:sz w:val="24"/>
          <w:szCs w:val="24"/>
        </w:rPr>
        <w:t>七、付款方式</w:t>
      </w:r>
    </w:p>
    <w:p>
      <w:pPr>
        <w:pStyle w:val="35"/>
        <w:autoSpaceDE w:val="0"/>
        <w:spacing w:line="360" w:lineRule="auto"/>
        <w:ind w:firstLine="436" w:firstLineChars="182"/>
        <w:rPr>
          <w:rFonts w:hint="eastAsia"/>
        </w:rPr>
      </w:pPr>
      <w:r>
        <w:rPr>
          <w:rFonts w:hint="eastAsia"/>
        </w:rPr>
        <w:t>1. 乙方每月底须向甲方出具合法有效完整的发票及凭证资料进行支付结算。</w:t>
      </w:r>
    </w:p>
    <w:p>
      <w:pPr>
        <w:pStyle w:val="35"/>
        <w:autoSpaceDE w:val="0"/>
        <w:spacing w:line="360" w:lineRule="auto"/>
        <w:ind w:firstLine="480"/>
        <w:rPr>
          <w:rFonts w:hint="eastAsia" w:ascii="宋体-PUA" w:hAnsi="Verdana"/>
          <w:color w:val="000000"/>
        </w:rPr>
      </w:pPr>
      <w:r>
        <w:rPr>
          <w:rFonts w:hint="eastAsia"/>
        </w:rPr>
        <w:t>2. 甲方财务部门每月按照实际采购金额进行滚动付款。</w:t>
      </w:r>
      <w:r>
        <w:rPr>
          <w:rFonts w:ascii="宋体-PUA" w:hAnsi="Verdana"/>
          <w:color w:val="000000"/>
        </w:rPr>
        <w:t xml:space="preserve"> </w:t>
      </w:r>
    </w:p>
    <w:p>
      <w:pPr>
        <w:widowControl/>
        <w:autoSpaceDE w:val="0"/>
        <w:spacing w:line="360" w:lineRule="auto"/>
        <w:jc w:val="left"/>
        <w:rPr>
          <w:rFonts w:ascii="宋体-PUA"/>
          <w:b/>
          <w:color w:val="000000"/>
          <w:sz w:val="24"/>
          <w:szCs w:val="24"/>
        </w:rPr>
      </w:pPr>
      <w:r>
        <w:rPr>
          <w:rFonts w:ascii="Verdana" w:hAnsi="Verdana"/>
          <w:b/>
          <w:color w:val="000000"/>
          <w:sz w:val="24"/>
          <w:szCs w:val="24"/>
        </w:rPr>
        <w:t>八、违约责任</w:t>
      </w:r>
    </w:p>
    <w:p>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甲乙双方均应遵守本合同，如有违约，将赔偿因违约给对方造成的经济损失，因不可抗拒力所导致的交货及付款延迟等按照《中华人民共和国民法典》有关条文及本合同第九条处理。</w:t>
      </w:r>
    </w:p>
    <w:p>
      <w:pPr>
        <w:widowControl/>
        <w:autoSpaceDE w:val="0"/>
        <w:spacing w:line="360" w:lineRule="auto"/>
        <w:jc w:val="left"/>
        <w:rPr>
          <w:rFonts w:ascii="宋体-PUA"/>
          <w:b/>
          <w:color w:val="000000"/>
          <w:sz w:val="24"/>
          <w:szCs w:val="24"/>
        </w:rPr>
      </w:pPr>
      <w:r>
        <w:rPr>
          <w:rFonts w:ascii="Verdana" w:hAnsi="Verdana"/>
          <w:b/>
          <w:color w:val="000000"/>
          <w:sz w:val="24"/>
          <w:szCs w:val="24"/>
        </w:rPr>
        <w:t>九、不可抗力</w:t>
      </w:r>
      <w:r>
        <w:rPr>
          <w:rFonts w:ascii="宋体-PUA"/>
          <w:b/>
          <w:color w:val="000000"/>
          <w:sz w:val="24"/>
          <w:szCs w:val="24"/>
        </w:rPr>
        <w:t xml:space="preserve"> </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如因政策原因无法继续履行合同，双方无条件终止此合同。</w:t>
      </w:r>
    </w:p>
    <w:p>
      <w:pPr>
        <w:widowControl/>
        <w:autoSpaceDE w:val="0"/>
        <w:spacing w:before="240" w:after="240" w:line="360" w:lineRule="auto"/>
        <w:jc w:val="left"/>
        <w:rPr>
          <w:rFonts w:ascii="宋体-PUA"/>
          <w:color w:val="FF0000"/>
          <w:sz w:val="24"/>
          <w:szCs w:val="24"/>
        </w:rPr>
      </w:pPr>
      <w:r>
        <w:rPr>
          <w:rFonts w:hint="eastAsia"/>
          <w:b/>
          <w:bCs/>
          <w:color w:val="000000"/>
          <w:sz w:val="24"/>
          <w:szCs w:val="24"/>
        </w:rPr>
        <w:t>十、</w:t>
      </w:r>
      <w:r>
        <w:rPr>
          <w:rFonts w:hint="eastAsia"/>
          <w:color w:val="00000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pPr>
        <w:widowControl/>
        <w:autoSpaceDE w:val="0"/>
        <w:spacing w:before="240" w:after="240" w:line="360" w:lineRule="auto"/>
        <w:jc w:val="left"/>
        <w:rPr>
          <w:rFonts w:hint="eastAsia" w:ascii="宋体-PUA"/>
          <w:b/>
          <w:color w:val="000000"/>
          <w:sz w:val="24"/>
          <w:szCs w:val="24"/>
        </w:rPr>
      </w:pPr>
      <w:r>
        <w:rPr>
          <w:rFonts w:ascii="Verdana" w:hAnsi="Verdana"/>
          <w:b/>
          <w:color w:val="000000"/>
          <w:sz w:val="24"/>
          <w:szCs w:val="24"/>
        </w:rPr>
        <w:t>十一、争议</w:t>
      </w:r>
    </w:p>
    <w:p>
      <w:pPr>
        <w:widowControl/>
        <w:autoSpaceDE w:val="0"/>
        <w:spacing w:before="240" w:after="240" w:line="360" w:lineRule="auto"/>
        <w:ind w:firstLine="480" w:firstLineChars="200"/>
        <w:jc w:val="left"/>
        <w:rPr>
          <w:rFonts w:ascii="宋体-PUA" w:hAnsi="Verdana"/>
          <w:color w:val="000000"/>
          <w:sz w:val="32"/>
          <w:szCs w:val="32"/>
        </w:rPr>
      </w:pPr>
      <w:r>
        <w:rPr>
          <w:rFonts w:ascii="Verdana" w:hAnsi="Verdana"/>
          <w:color w:val="000000"/>
          <w:sz w:val="24"/>
          <w:szCs w:val="24"/>
        </w:rPr>
        <w:t>双方本着友好合作的态度，对合同履行过程中发生的违约行为进行及时的协商解决，如不能协商解决可向合同甲方住所地法院通过法律诉讼解决。</w:t>
      </w:r>
    </w:p>
    <w:p>
      <w:pPr>
        <w:widowControl/>
        <w:autoSpaceDE w:val="0"/>
        <w:spacing w:line="360" w:lineRule="auto"/>
        <w:jc w:val="left"/>
        <w:rPr>
          <w:rFonts w:ascii="宋体-PUA"/>
          <w:b/>
          <w:color w:val="000000"/>
          <w:sz w:val="24"/>
          <w:szCs w:val="24"/>
        </w:rPr>
      </w:pPr>
      <w:r>
        <w:rPr>
          <w:rFonts w:ascii="Verdana" w:hAnsi="Verdana"/>
          <w:b/>
          <w:color w:val="000000"/>
          <w:sz w:val="24"/>
          <w:szCs w:val="24"/>
        </w:rPr>
        <w:t>十二、其它</w:t>
      </w:r>
    </w:p>
    <w:p>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本合同一式陆份，甲方四份、乙方一份、代理一份。</w:t>
      </w:r>
    </w:p>
    <w:p>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本合同自签订之日起生效。</w:t>
      </w:r>
    </w:p>
    <w:p>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本项目的采购文件等是本合同的附件，与合同具有同等的法律效力。</w:t>
      </w:r>
    </w:p>
    <w:p>
      <w:pPr>
        <w:widowControl/>
        <w:autoSpaceDE w:val="0"/>
        <w:spacing w:line="360" w:lineRule="auto"/>
        <w:ind w:firstLine="480" w:firstLineChars="200"/>
        <w:jc w:val="left"/>
        <w:rPr>
          <w:color w:val="000000"/>
          <w:sz w:val="24"/>
          <w:szCs w:val="24"/>
        </w:rPr>
      </w:pPr>
      <w:r>
        <w:rPr>
          <w:rFonts w:ascii="Verdana" w:hAnsi="Verdana"/>
          <w:color w:val="000000"/>
          <w:sz w:val="24"/>
          <w:szCs w:val="24"/>
        </w:rPr>
        <w:t>其它未尽事宜，由双方友好协商解决，并参照《中华人民共和国民法典》有关条款执行。</w:t>
      </w:r>
    </w:p>
    <w:p>
      <w:pPr>
        <w:widowControl/>
        <w:spacing w:line="440" w:lineRule="exact"/>
        <w:ind w:firstLine="480" w:firstLineChars="200"/>
        <w:jc w:val="left"/>
        <w:rPr>
          <w:rFonts w:hint="eastAsia" w:ascii="宋体-PUA"/>
          <w:color w:val="000000"/>
          <w:sz w:val="24"/>
          <w:szCs w:val="24"/>
        </w:rPr>
      </w:pPr>
      <w:r>
        <w:rPr>
          <w:rFonts w:hint="eastAsia"/>
          <w:color w:val="000000"/>
          <w:sz w:val="24"/>
          <w:szCs w:val="24"/>
        </w:rPr>
        <w:t>（附：乙方报价表）</w:t>
      </w:r>
    </w:p>
    <w:p>
      <w:pPr>
        <w:widowControl/>
        <w:spacing w:line="420" w:lineRule="exact"/>
        <w:ind w:firstLine="480" w:firstLineChars="200"/>
        <w:jc w:val="left"/>
        <w:rPr>
          <w:rFonts w:ascii="宋体-PUA"/>
          <w:color w:val="000000"/>
          <w:sz w:val="24"/>
          <w:szCs w:val="24"/>
        </w:rPr>
      </w:pPr>
      <w:r>
        <w:rPr>
          <w:rFonts w:hint="eastAsia"/>
          <w:color w:val="000000"/>
          <w:sz w:val="24"/>
          <w:szCs w:val="24"/>
        </w:rPr>
        <w:t>甲方：富顺县中医医院</w:t>
      </w:r>
      <w:r>
        <w:rPr>
          <w:rFonts w:ascii="宋体-PUA"/>
          <w:color w:val="000000"/>
          <w:sz w:val="24"/>
          <w:szCs w:val="24"/>
        </w:rPr>
        <w:t xml:space="preserve"> </w:t>
      </w:r>
      <w:r>
        <w:rPr>
          <w:rFonts w:hint="eastAsia"/>
          <w:color w:val="000000"/>
          <w:sz w:val="24"/>
          <w:szCs w:val="24"/>
        </w:rPr>
        <w:t>（盖章）</w:t>
      </w:r>
      <w:r>
        <w:rPr>
          <w:rFonts w:ascii="宋体-PUA"/>
          <w:color w:val="000000"/>
          <w:sz w:val="24"/>
          <w:szCs w:val="24"/>
        </w:rPr>
        <w:t xml:space="preserve">       </w:t>
      </w:r>
      <w:r>
        <w:rPr>
          <w:rFonts w:hint="eastAsia"/>
          <w:color w:val="000000"/>
          <w:sz w:val="24"/>
          <w:szCs w:val="24"/>
        </w:rPr>
        <w:t>乙方：</w:t>
      </w:r>
      <w:r>
        <w:rPr>
          <w:rFonts w:hint="eastAsia" w:ascii="宋体-PUA" w:hAnsi="宋体-PUA"/>
          <w:color w:val="000000"/>
          <w:sz w:val="24"/>
          <w:szCs w:val="24"/>
        </w:rPr>
        <w:t>*******************</w:t>
      </w:r>
      <w:r>
        <w:rPr>
          <w:rFonts w:hint="eastAsia"/>
          <w:color w:val="000000"/>
          <w:sz w:val="24"/>
          <w:szCs w:val="24"/>
        </w:rPr>
        <w:t>（盖章）</w:t>
      </w:r>
    </w:p>
    <w:p>
      <w:pPr>
        <w:widowControl/>
        <w:spacing w:line="420" w:lineRule="exact"/>
        <w:ind w:firstLine="480" w:firstLineChars="200"/>
        <w:jc w:val="left"/>
        <w:rPr>
          <w:rFonts w:ascii="宋体-PUA"/>
          <w:color w:val="000000"/>
          <w:sz w:val="24"/>
          <w:szCs w:val="24"/>
        </w:rPr>
      </w:pPr>
      <w:r>
        <w:rPr>
          <w:rFonts w:hint="eastAsia"/>
          <w:color w:val="000000"/>
          <w:sz w:val="24"/>
          <w:szCs w:val="24"/>
        </w:rPr>
        <w:t>法定代表人</w:t>
      </w:r>
      <w:r>
        <w:rPr>
          <w:rFonts w:ascii="宋体-PUA" w:hAnsi="宋体-PUA"/>
          <w:color w:val="000000"/>
          <w:sz w:val="24"/>
          <w:szCs w:val="24"/>
        </w:rPr>
        <w:t xml:space="preserve">:                        </w:t>
      </w:r>
      <w:r>
        <w:rPr>
          <w:rFonts w:hint="eastAsia"/>
          <w:color w:val="000000"/>
          <w:sz w:val="24"/>
          <w:szCs w:val="24"/>
        </w:rPr>
        <w:t>法定代表人：</w:t>
      </w:r>
    </w:p>
    <w:p>
      <w:pPr>
        <w:widowControl/>
        <w:spacing w:line="420" w:lineRule="exact"/>
        <w:ind w:firstLine="480" w:firstLineChars="200"/>
        <w:jc w:val="left"/>
        <w:rPr>
          <w:rFonts w:hint="eastAsia" w:ascii="宋体-PUA"/>
          <w:color w:val="000000"/>
          <w:sz w:val="24"/>
          <w:szCs w:val="24"/>
        </w:rPr>
      </w:pPr>
      <w:r>
        <w:rPr>
          <w:rFonts w:hint="eastAsia"/>
          <w:color w:val="000000"/>
          <w:sz w:val="24"/>
          <w:szCs w:val="24"/>
        </w:rPr>
        <w:t>联系人：</w:t>
      </w:r>
      <w:r>
        <w:rPr>
          <w:rFonts w:ascii="宋体-PUA"/>
          <w:color w:val="000000"/>
          <w:sz w:val="24"/>
          <w:szCs w:val="24"/>
        </w:rPr>
        <w:t xml:space="preserve">                           </w:t>
      </w:r>
      <w:r>
        <w:rPr>
          <w:rFonts w:hint="eastAsia"/>
          <w:color w:val="000000"/>
          <w:sz w:val="24"/>
          <w:szCs w:val="24"/>
        </w:rPr>
        <w:t>联系人：</w:t>
      </w:r>
    </w:p>
    <w:p>
      <w:pPr>
        <w:widowControl/>
        <w:spacing w:line="420" w:lineRule="exact"/>
        <w:ind w:left="4316" w:leftChars="140" w:hanging="3840" w:hangingChars="1600"/>
        <w:jc w:val="left"/>
        <w:rPr>
          <w:rFonts w:ascii="宋体-PUA"/>
          <w:color w:val="000000"/>
          <w:sz w:val="24"/>
          <w:szCs w:val="24"/>
        </w:rPr>
      </w:pPr>
      <w:r>
        <w:rPr>
          <w:rFonts w:hint="eastAsia"/>
          <w:color w:val="000000"/>
          <w:sz w:val="24"/>
          <w:szCs w:val="24"/>
        </w:rPr>
        <w:t>地址：</w:t>
      </w:r>
      <w:r>
        <w:rPr>
          <w:rFonts w:hint="eastAsia"/>
          <w:sz w:val="24"/>
          <w:szCs w:val="24"/>
        </w:rPr>
        <w:t>富顺县东湖大道1801号</w:t>
      </w:r>
      <w:r>
        <w:rPr>
          <w:rFonts w:ascii="宋体-PUA"/>
          <w:color w:val="000000"/>
          <w:sz w:val="24"/>
          <w:szCs w:val="24"/>
        </w:rPr>
        <w:t xml:space="preserve">   </w:t>
      </w:r>
      <w:r>
        <w:rPr>
          <w:rFonts w:hint="eastAsia"/>
          <w:color w:val="000000"/>
          <w:sz w:val="24"/>
          <w:szCs w:val="24"/>
        </w:rPr>
        <w:t xml:space="preserve">     地址：</w:t>
      </w:r>
    </w:p>
    <w:p>
      <w:pPr>
        <w:autoSpaceDE w:val="0"/>
        <w:spacing w:line="480" w:lineRule="auto"/>
        <w:ind w:firstLine="480" w:firstLineChars="200"/>
        <w:rPr>
          <w:rFonts w:ascii="宋体-PUA"/>
          <w:color w:val="000000"/>
          <w:sz w:val="24"/>
          <w:szCs w:val="24"/>
        </w:rPr>
      </w:pPr>
      <w:r>
        <w:rPr>
          <w:rFonts w:hint="eastAsia"/>
          <w:color w:val="000000"/>
          <w:sz w:val="24"/>
          <w:szCs w:val="24"/>
        </w:rPr>
        <w:t>开户银行：</w:t>
      </w:r>
      <w:r>
        <w:rPr>
          <w:rFonts w:hint="eastAsia"/>
          <w:sz w:val="24"/>
          <w:szCs w:val="24"/>
        </w:rPr>
        <w:t xml:space="preserve">自贡银行富顺支行         </w:t>
      </w:r>
      <w:r>
        <w:rPr>
          <w:rFonts w:hint="eastAsia"/>
          <w:color w:val="000000"/>
          <w:sz w:val="24"/>
          <w:szCs w:val="24"/>
        </w:rPr>
        <w:t>开户银行：</w:t>
      </w:r>
    </w:p>
    <w:p>
      <w:pPr>
        <w:autoSpaceDE w:val="0"/>
        <w:spacing w:line="480" w:lineRule="auto"/>
        <w:ind w:firstLine="480" w:firstLineChars="200"/>
        <w:rPr>
          <w:rFonts w:hint="eastAsia" w:ascii="宋体-PUA"/>
          <w:color w:val="000000"/>
          <w:sz w:val="24"/>
          <w:szCs w:val="24"/>
        </w:rPr>
      </w:pPr>
      <w:r>
        <w:rPr>
          <w:rFonts w:hint="eastAsia"/>
          <w:color w:val="000000"/>
          <w:sz w:val="24"/>
          <w:szCs w:val="24"/>
        </w:rPr>
        <w:t>开户账号：</w:t>
      </w:r>
      <w:r>
        <w:rPr>
          <w:rFonts w:hint="eastAsia"/>
          <w:sz w:val="24"/>
          <w:szCs w:val="24"/>
        </w:rPr>
        <w:t xml:space="preserve">0000018958103012        </w:t>
      </w:r>
      <w:r>
        <w:rPr>
          <w:rFonts w:hint="eastAsia"/>
          <w:color w:val="000000"/>
          <w:sz w:val="24"/>
          <w:szCs w:val="24"/>
        </w:rPr>
        <w:t xml:space="preserve"> 开户账号：</w:t>
      </w:r>
    </w:p>
    <w:p>
      <w:pPr>
        <w:autoSpaceDE w:val="0"/>
        <w:spacing w:line="480" w:lineRule="auto"/>
        <w:rPr>
          <w:color w:val="000000"/>
          <w:sz w:val="24"/>
          <w:szCs w:val="24"/>
        </w:rPr>
      </w:pP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r>
        <w:rPr>
          <w:rFonts w:hint="eastAsia" w:ascii="宋体-PUA"/>
          <w:color w:val="000000"/>
          <w:sz w:val="24"/>
          <w:szCs w:val="24"/>
        </w:rPr>
        <w:t xml:space="preserve"> </w:t>
      </w:r>
      <w:r>
        <w:rPr>
          <w:rFonts w:hint="eastAsia"/>
          <w:color w:val="000000"/>
          <w:sz w:val="24"/>
          <w:szCs w:val="24"/>
        </w:rPr>
        <w:t>：</w:t>
      </w:r>
      <w:r>
        <w:rPr>
          <w:rFonts w:hint="eastAsia"/>
          <w:sz w:val="24"/>
          <w:szCs w:val="24"/>
        </w:rPr>
        <w:t>0813-5197655</w:t>
      </w:r>
      <w:r>
        <w:rPr>
          <w:rFonts w:hint="eastAsia" w:ascii="宋体-PUA"/>
          <w:color w:val="000000"/>
          <w:sz w:val="24"/>
          <w:szCs w:val="24"/>
        </w:rPr>
        <w:t xml:space="preserve"> </w:t>
      </w:r>
      <w:r>
        <w:rPr>
          <w:rFonts w:ascii="宋体-PUA"/>
          <w:color w:val="000000"/>
          <w:sz w:val="24"/>
          <w:szCs w:val="24"/>
        </w:rPr>
        <w:t xml:space="preserve">    </w:t>
      </w:r>
      <w:r>
        <w:rPr>
          <w:rFonts w:hint="eastAsia"/>
          <w:color w:val="000000"/>
          <w:sz w:val="24"/>
          <w:szCs w:val="24"/>
        </w:rPr>
        <w:t xml:space="preserve">   </w:t>
      </w:r>
      <w:r>
        <w:rPr>
          <w:rFonts w:hint="eastAsia" w:ascii="宋体-PUA"/>
          <w:color w:val="000000"/>
          <w:sz w:val="24"/>
          <w:szCs w:val="24"/>
        </w:rPr>
        <w:t xml:space="preserve">     </w:t>
      </w: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p>
    <w:p>
      <w:pPr>
        <w:widowControl/>
        <w:spacing w:line="480" w:lineRule="exact"/>
        <w:jc w:val="left"/>
        <w:rPr>
          <w:rFonts w:hint="eastAsia" w:ascii="宋体-PUA"/>
          <w:color w:val="000000"/>
          <w:sz w:val="24"/>
          <w:szCs w:val="24"/>
        </w:rPr>
      </w:pP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r>
        <w:rPr>
          <w:rFonts w:ascii="宋体-PUA"/>
          <w:color w:val="000000"/>
          <w:sz w:val="24"/>
          <w:szCs w:val="24"/>
        </w:rPr>
        <w:t xml:space="preserve">   </w:t>
      </w:r>
      <w:r>
        <w:rPr>
          <w:rFonts w:hint="eastAsia"/>
          <w:color w:val="000000"/>
          <w:sz w:val="24"/>
          <w:szCs w:val="24"/>
        </w:rPr>
        <w:t xml:space="preserve">    </w:t>
      </w:r>
      <w:r>
        <w:rPr>
          <w:rFonts w:ascii="宋体-PUA"/>
          <w:color w:val="000000"/>
          <w:sz w:val="24"/>
          <w:szCs w:val="24"/>
        </w:rPr>
        <w:t xml:space="preserve">  </w:t>
      </w: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p>
    <w:p>
      <w:pPr>
        <w:autoSpaceDE w:val="0"/>
        <w:spacing w:beforeLines="100" w:line="480" w:lineRule="auto"/>
        <w:ind w:firstLine="420" w:firstLineChars="150"/>
        <w:rPr>
          <w:rFonts w:hint="eastAsia"/>
          <w:sz w:val="28"/>
          <w:szCs w:val="28"/>
        </w:rPr>
      </w:pPr>
      <w:r>
        <w:rPr>
          <w:rFonts w:hint="eastAsia"/>
          <w:sz w:val="28"/>
          <w:szCs w:val="28"/>
        </w:rPr>
        <w:t xml:space="preserve"> </w:t>
      </w:r>
    </w:p>
    <w:p>
      <w:pPr>
        <w:rPr>
          <w:rFonts w:hint="eastAsia"/>
        </w:rPr>
      </w:pPr>
    </w:p>
    <w:p>
      <w:pPr>
        <w:pStyle w:val="7"/>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7"/>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7"/>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7"/>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7"/>
        <w:rPr>
          <w:rFonts w:hint="eastAsia"/>
          <w:color w:val="auto"/>
        </w:rPr>
      </w:pPr>
    </w:p>
    <w:p>
      <w:pPr>
        <w:pStyle w:val="7"/>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7"/>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rPr>
          <w:rFonts w:hint="eastAsia" w:asciiTheme="minorEastAsia" w:hAnsiTheme="minorEastAsia" w:eastAsiaTheme="minorEastAsia" w:cstheme="minorEastAsia"/>
          <w:color w:val="auto"/>
          <w:sz w:val="24"/>
          <w:szCs w:val="24"/>
          <w:highlight w:val="none"/>
        </w:rPr>
      </w:pPr>
    </w:p>
    <w:p>
      <w:pPr>
        <w:pStyle w:val="20"/>
        <w:ind w:left="0" w:leftChars="0" w:firstLine="0" w:firstLineChars="0"/>
        <w:rPr>
          <w:rFonts w:hint="eastAsia" w:asciiTheme="minorEastAsia" w:hAnsiTheme="minorEastAsia" w:eastAsiaTheme="minorEastAsia" w:cstheme="minorEastAsia"/>
          <w:color w:val="auto"/>
          <w:sz w:val="24"/>
          <w:szCs w:val="24"/>
          <w:highlight w:val="none"/>
        </w:rPr>
      </w:pPr>
    </w:p>
    <w:p>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b/>
          <w:bCs/>
          <w:sz w:val="36"/>
          <w:szCs w:val="36"/>
          <w:highlight w:val="none"/>
        </w:rPr>
        <w:t>第九章 附件</w:t>
      </w:r>
      <w:bookmarkEnd w:id="142"/>
    </w:p>
    <w:p>
      <w:pPr>
        <w:spacing w:before="312" w:beforeLines="100" w:line="360" w:lineRule="auto"/>
        <w:jc w:val="left"/>
        <w:outlineLvl w:val="1"/>
        <w:rPr>
          <w:rFonts w:hint="eastAsia" w:ascii="仿宋" w:hAnsi="仿宋" w:eastAsia="仿宋" w:cs="仿宋"/>
          <w:b/>
          <w:sz w:val="28"/>
          <w:szCs w:val="28"/>
          <w:highlight w:val="none"/>
        </w:rPr>
      </w:pPr>
      <w:bookmarkStart w:id="143" w:name="_Toc1844"/>
      <w:bookmarkStart w:id="144" w:name="_Toc6522"/>
      <w:bookmarkStart w:id="145" w:name="_Toc23165"/>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3"/>
      <w:bookmarkEnd w:id="144"/>
      <w:bookmarkEnd w:id="145"/>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bl>
    <w:p>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1"/>
        <w:tblW w:w="13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90"/>
        <w:gridCol w:w="690"/>
        <w:gridCol w:w="1026"/>
        <w:gridCol w:w="1032"/>
        <w:gridCol w:w="1272"/>
        <w:gridCol w:w="624"/>
        <w:gridCol w:w="1119"/>
        <w:gridCol w:w="855"/>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303" w:type="dxa"/>
            <w:gridSpan w:val="9"/>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附件2：富顺县中医医院2024年第六批医疗耗材采购明细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9"/>
            <w:tcBorders>
              <w:top w:val="nil"/>
              <w:left w:val="nil"/>
              <w:bottom w:val="nil"/>
              <w:right w:val="nil"/>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 一包：骨科耗材类</w:t>
            </w:r>
          </w:p>
        </w:tc>
        <w:tc>
          <w:tcPr>
            <w:tcW w:w="3795" w:type="dxa"/>
            <w:tcBorders>
              <w:top w:val="nil"/>
              <w:left w:val="nil"/>
              <w:bottom w:val="nil"/>
              <w:right w:val="nil"/>
            </w:tcBorders>
            <w:shd w:val="clear" w:color="auto" w:fill="FFFF00"/>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医用几丁糖</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ascii="Lucida Sans" w:hAnsi="Lucida Sans" w:eastAsia="Lucida Sans" w:cs="Lucida Sans"/>
                <w:i w:val="0"/>
                <w:iCs w:val="0"/>
                <w:color w:val="auto"/>
                <w:sz w:val="18"/>
                <w:szCs w:val="18"/>
                <w:u w:val="none"/>
              </w:rPr>
            </w:pPr>
            <w:r>
              <w:rPr>
                <w:rFonts w:hint="default" w:ascii="Lucida Sans" w:hAnsi="Lucida Sans" w:eastAsia="Lucida Sans" w:cs="Lucida Sans"/>
                <w:i w:val="0"/>
                <w:iCs w:val="0"/>
                <w:color w:val="auto"/>
                <w:kern w:val="0"/>
                <w:sz w:val="18"/>
                <w:szCs w:val="18"/>
                <w:u w:val="none"/>
                <w:lang w:val="en-US" w:eastAsia="zh-CN" w:bidi="ar"/>
              </w:rPr>
              <w:t>1ml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可吸收止血流体明胶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pStyle w:val="7"/>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1、8ml</w:t>
            </w:r>
          </w:p>
          <w:p>
            <w:pPr>
              <w:pStyle w:val="7"/>
              <w:jc w:val="left"/>
              <w:rPr>
                <w:rFonts w:hint="eastAsia" w:ascii="宋体" w:hAnsi="宋体" w:eastAsia="宋体" w:cs="宋体"/>
                <w:color w:val="auto"/>
                <w:spacing w:val="4"/>
                <w:sz w:val="18"/>
                <w:szCs w:val="18"/>
              </w:rPr>
            </w:pPr>
            <w:r>
              <w:rPr>
                <w:rFonts w:hint="eastAsia" w:ascii="宋体" w:hAnsi="宋体" w:eastAsia="宋体" w:cs="宋体"/>
                <w:color w:val="auto"/>
                <w:spacing w:val="4"/>
                <w:sz w:val="18"/>
                <w:szCs w:val="18"/>
                <w:lang w:val="en-US" w:eastAsia="zh-CN"/>
              </w:rPr>
              <w:t>2</w:t>
            </w:r>
            <w:r>
              <w:rPr>
                <w:rFonts w:hint="eastAsia" w:ascii="宋体" w:hAnsi="宋体" w:eastAsia="宋体" w:cs="宋体"/>
                <w:color w:val="auto"/>
                <w:spacing w:val="4"/>
                <w:sz w:val="18"/>
                <w:szCs w:val="18"/>
                <w:lang w:eastAsia="zh-CN"/>
              </w:rPr>
              <w:t>、</w:t>
            </w:r>
            <w:r>
              <w:rPr>
                <w:rFonts w:hint="eastAsia" w:ascii="宋体" w:hAnsi="宋体" w:eastAsia="宋体" w:cs="宋体"/>
                <w:color w:val="auto"/>
                <w:spacing w:val="4"/>
                <w:sz w:val="18"/>
                <w:szCs w:val="18"/>
              </w:rPr>
              <w:t>流体性状好，小于1mm颗粒，基质更加粘稠，精确定位及用量。</w:t>
            </w:r>
          </w:p>
          <w:p>
            <w:pPr>
              <w:pStyle w:val="7"/>
              <w:jc w:val="left"/>
              <w:rPr>
                <w:rFonts w:hint="eastAsia" w:ascii="宋体" w:hAnsi="宋体" w:eastAsia="宋体" w:cs="宋体"/>
                <w:color w:val="auto"/>
                <w:spacing w:val="4"/>
                <w:sz w:val="18"/>
                <w:szCs w:val="18"/>
                <w:lang w:eastAsia="zh-CN"/>
              </w:rPr>
            </w:pPr>
            <w:r>
              <w:rPr>
                <w:rFonts w:hint="eastAsia" w:ascii="宋体" w:hAnsi="宋体" w:eastAsia="宋体" w:cs="宋体"/>
                <w:color w:val="auto"/>
                <w:spacing w:val="4"/>
                <w:sz w:val="18"/>
                <w:szCs w:val="18"/>
                <w:lang w:val="en-US" w:eastAsia="zh-CN"/>
              </w:rPr>
              <w:t>3</w:t>
            </w:r>
            <w:r>
              <w:rPr>
                <w:rFonts w:hint="eastAsia" w:ascii="宋体" w:hAnsi="宋体" w:eastAsia="宋体" w:cs="宋体"/>
                <w:color w:val="auto"/>
                <w:spacing w:val="4"/>
                <w:sz w:val="18"/>
                <w:szCs w:val="18"/>
              </w:rPr>
              <w:t>、多孔结构，力学强度，创面接触率</w:t>
            </w:r>
            <w:r>
              <w:rPr>
                <w:rFonts w:hint="eastAsia" w:ascii="宋体" w:hAnsi="宋体" w:eastAsia="宋体" w:cs="宋体"/>
                <w:color w:val="auto"/>
                <w:spacing w:val="4"/>
                <w:sz w:val="18"/>
                <w:szCs w:val="18"/>
                <w:lang w:eastAsia="zh-CN"/>
              </w:rPr>
              <w:t>大。</w:t>
            </w:r>
          </w:p>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color w:val="auto"/>
                <w:spacing w:val="4"/>
                <w:sz w:val="18"/>
                <w:szCs w:val="18"/>
                <w:lang w:val="en-US" w:eastAsia="zh-CN"/>
              </w:rPr>
              <w:t>4</w:t>
            </w:r>
            <w:r>
              <w:rPr>
                <w:rFonts w:hint="eastAsia" w:ascii="宋体" w:hAnsi="宋体" w:eastAsia="宋体" w:cs="宋体"/>
                <w:color w:val="auto"/>
                <w:spacing w:val="4"/>
                <w:sz w:val="18"/>
                <w:szCs w:val="18"/>
              </w:rPr>
              <w:t>、膨胀率</w:t>
            </w:r>
            <w:r>
              <w:rPr>
                <w:rFonts w:hint="eastAsia" w:ascii="宋体" w:hAnsi="宋体" w:eastAsia="宋体" w:cs="宋体"/>
                <w:color w:val="auto"/>
                <w:spacing w:val="4"/>
                <w:sz w:val="18"/>
                <w:szCs w:val="18"/>
                <w:lang w:eastAsia="zh-CN"/>
              </w:rPr>
              <w:t>低</w:t>
            </w:r>
            <w:r>
              <w:rPr>
                <w:rFonts w:hint="eastAsia" w:ascii="宋体" w:hAnsi="宋体" w:eastAsia="宋体" w:cs="宋体"/>
                <w:color w:val="auto"/>
                <w:spacing w:val="4"/>
                <w:sz w:val="18"/>
                <w:szCs w:val="18"/>
              </w:rPr>
              <w:t>，</w:t>
            </w:r>
            <w:r>
              <w:rPr>
                <w:rFonts w:hint="eastAsia" w:ascii="宋体" w:hAnsi="宋体" w:eastAsia="宋体" w:cs="宋体"/>
                <w:color w:val="auto"/>
                <w:spacing w:val="4"/>
                <w:sz w:val="18"/>
                <w:szCs w:val="18"/>
                <w:lang w:eastAsia="zh-CN"/>
              </w:rPr>
              <w:t>无</w:t>
            </w:r>
            <w:r>
              <w:rPr>
                <w:rFonts w:hint="eastAsia" w:ascii="宋体" w:hAnsi="宋体" w:eastAsia="宋体" w:cs="宋体"/>
                <w:color w:val="auto"/>
                <w:spacing w:val="4"/>
                <w:sz w:val="18"/>
                <w:szCs w:val="18"/>
              </w:rPr>
              <w:t>猪源传染病风险。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金属缆索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7600.00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ascii="微软雅黑" w:hAnsi="微软雅黑" w:eastAsia="微软雅黑" w:cs="微软雅黑"/>
                <w:i w:val="0"/>
                <w:iCs w:val="0"/>
                <w:color w:val="auto"/>
                <w:sz w:val="18"/>
                <w:szCs w:val="18"/>
                <w:u w:val="none"/>
              </w:rPr>
            </w:pPr>
            <w:r>
              <w:rPr>
                <w:rStyle w:val="66"/>
                <w:color w:val="auto"/>
                <w:lang w:val="en-US" w:eastAsia="zh-CN" w:bidi="ar"/>
              </w:rPr>
              <w:t>Φ（</w:t>
            </w:r>
            <w:r>
              <w:rPr>
                <w:rStyle w:val="67"/>
                <w:color w:val="auto"/>
                <w:lang w:val="en-US" w:eastAsia="zh-CN" w:bidi="ar"/>
              </w:rPr>
              <w:t>1.0-1.8</w:t>
            </w:r>
            <w:r>
              <w:rPr>
                <w:rStyle w:val="66"/>
                <w:color w:val="auto"/>
                <w:lang w:val="en-US" w:eastAsia="zh-CN" w:bidi="ar"/>
              </w:rPr>
              <w:t>）</w:t>
            </w:r>
            <w:r>
              <w:rPr>
                <w:rStyle w:val="67"/>
                <w:color w:val="auto"/>
                <w:lang w:val="en-US" w:eastAsia="zh-CN" w:bidi="ar"/>
              </w:rPr>
              <w:t>*</w:t>
            </w:r>
            <w:r>
              <w:rPr>
                <w:rStyle w:val="66"/>
                <w:color w:val="auto"/>
                <w:lang w:val="en-US" w:eastAsia="zh-CN" w:bidi="ar"/>
              </w:rPr>
              <w:t>（</w:t>
            </w:r>
            <w:r>
              <w:rPr>
                <w:rStyle w:val="67"/>
                <w:color w:val="auto"/>
                <w:lang w:val="en-US" w:eastAsia="zh-CN" w:bidi="ar"/>
              </w:rPr>
              <w:t>500-520</w:t>
            </w:r>
            <w:r>
              <w:rPr>
                <w:rStyle w:val="66"/>
                <w:color w:val="auto"/>
                <w:lang w:val="en-US" w:eastAsia="zh-CN" w:bidi="ar"/>
              </w:rPr>
              <w:t>）主线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金属缆索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配上述主线卡扣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一次性使用纤维环缝合器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350400.00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骨髓活检针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一次性使用头皮夹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鼻泪道再通管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48640.00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584180.00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第二包：骨科微创耗材类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一次性无菌微创脊柱钻头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314.00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1475800.00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该产品由内钻头和外刀管构成。展开长度L(mm)200-350  刀管直径φD(mm)3.0-4.0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骨生长负压富集器（负压混合器）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4207.50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产品由循环系统、滤过系统等部分组成。在植骨手术中快速将骨髓的干细胞及骨生长因子等有效成分富集到骨修复材料中一次性使用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45"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1475800.00 </w:t>
            </w:r>
          </w:p>
        </w:tc>
        <w:tc>
          <w:tcPr>
            <w:tcW w:w="624"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nil"/>
              <w:right w:val="nil"/>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第三包：骨科创伤耗材类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2556.00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固定块02/Φ3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13380.00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固定块03/Φ3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2907.00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固定块04/Φ5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13400.00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固定块05/Φ3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固定块01/Φ5、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2899.00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固定块25 QZX04-25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桥接组合式内固定系统/固定块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固定块27 QZX04-27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桥接组合式内固定系统/连接棒</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连接棒/Φ5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桥接组合式内固定系统/连接棒</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4808.00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连接棒01 QZX01-01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桥接组合式内固定系统/锁定螺钉-2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4.5*18/5.0*20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桥接组合式内固定系统/锁定螺钉-2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（4.5-5.0）*（22-100）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桥接组合式内固定系统/锁定螺钉-1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桥接组合式内固定系统/普通螺钉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167.40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自锁股骨颈固定钉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944.35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Φ7*85/梅花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桥接组合式内固定系统/锁定螺帽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M4.5*4.0/M6.0*6.0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人工骨修复材料/人工骨膜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3240.00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3.8cm3/盒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人工骨修复材料/人工骨膜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2138.00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2.2cm3/盒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记忆合金钉脚固定器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镍钛形状记忆合金 I（10-30）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记忆合金钉脚固定器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12860.00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镍钛形状记忆合金Ⅱ（20-50）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记忆合金钉脚固定器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13900.00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镍钛形状记忆合金Ⅶ23*（10-30）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记忆合金钉脚固定器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18650.00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镍钛形状记忆合金Ⅷ20*（10-30）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52808.00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第四包：骨科耗材</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75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皮松质骨条2.0cm3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松质骨条3.0g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产品由喷管(淋浴状喷管，刷状喷管、枪体、锁环、扳机）进液管、防溅罩、电源盒、电源线和吸引管组成。其中电源盒、电源、扳机(开关)和电机组成电器部分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2260.00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546920.00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产品由主机(含压缩泵、电机、开关按钮、喷头锁)、喷头(包括:短喷头(选配扇形喷射喷头或花酒喷射喷头)、长喷头(选配股骨喷头或带刷股骨喷头))、负压连接管、冲洗连接管和电池包组成。</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产品预期与药液袋及负压器配套，可用于伤口清创术、软组织清创术和外科手术部位的清洗。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单臂一体式外固定支架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金属骨针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932.00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449224.00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钛合金，1.0mm-3.0mm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14690.00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该产品由主梁、环抱臂及端齿组成，形状为直筒型、锥筒型弯筒型、异型或椭圆型。股骨骨折内固定，镍钛形状记忆合金，干部灭菌，非灭菌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8663.00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51978.00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该产品由主梁、环抱臂及端齿组成，形状为直筒型、锥筒型弯筒型、异型或椭圆型。股骨骨折内固定，镍钛形状记忆合金，短型，非灭菌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986400.00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该产品由主梁、环抱臂及端齿组成，形状为直筒型、锥筒型弯筒型、异型或椭圆型。胸肋骨折内固定，镍钛形状记忆合金，短型，非灭菌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78400.00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该产品由主梁、环抱臂及端齿组成，形状为直筒型、锥筒型弯筒型、异型或椭圆型。肋骨骨折内固定，镍钛形状记忆合金，短型，非灭菌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一次性使用脉冲冲洗系统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针杆夹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2730.00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207480.00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碳素纤维、φ8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同种骨植入材料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14850.00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29700.00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订制骨件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无菌锯片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399960.00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70mm-90mm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骨水泥真空混合系统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2574.00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单臂式外固定系统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可吸收骨折内固定螺钉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1491.00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17892.00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Φ3.5×40-35（大径3.5长度40螺纹长35），该产品采用外消旋的聚-DL-乳酸(PDLLA)制成。该产品适用于非承重部位的骨折内固定术、截骨术、关节融合术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756" w:type="dxa"/>
            <w:tcBorders>
              <w:top w:val="single" w:color="000000" w:sz="4" w:space="0"/>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3189334.00</w:t>
            </w:r>
            <w:r>
              <w:rPr>
                <w:rFonts w:hint="eastAsia" w:ascii="宋体" w:hAnsi="宋体" w:eastAsia="宋体" w:cs="宋体"/>
                <w:i w:val="0"/>
                <w:iCs w:val="0"/>
                <w:color w:val="000000"/>
                <w:kern w:val="0"/>
                <w:sz w:val="18"/>
                <w:szCs w:val="18"/>
                <w:u w:val="none"/>
                <w:lang w:val="en-US" w:eastAsia="zh-CN" w:bidi="ar"/>
              </w:rPr>
              <w:t xml:space="preserve"> </w:t>
            </w:r>
          </w:p>
        </w:tc>
        <w:tc>
          <w:tcPr>
            <w:tcW w:w="624"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第五包：骨科夹板类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195*120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195*175 mm、165*150 mm、140*130 mm、210*170 mm、185*145 mm、 170*130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294.00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290*185 mm、280*160 mm、 260*150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270*175 mm、 250*155 mm、230*135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320×175 mm、310×165 mm、 280×155 mm、290×195 mm、 265×175 mm、240×160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280*300 mm、 270*245 mm、 250*155 mm、250*220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手休息位固定夹板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38880.00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360*210 mm、340*190 mm、 320*180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手功能位固定夹板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350*160 mm、345*150 mm、325*125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3576.00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280*175 mm、255*150 mm、 235*138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上肢固定夹板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KSPC-3011 30*15*3.2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腕肘固定夹板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600*230 mm、550*200 mm、500*155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垂足矫正固定夹板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400*188 mm、380*170 mm、 360*148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踝关节U型固定夹板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610*150 mm、580*140 mm、 590*110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259464.00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570*235 mm、530*215 mm、510*210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665*300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610*295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560*245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1225.00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923*300 mm、 810*311 mm、725*247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下肢固定夹板 KSPC-6020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60*20*3.2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颈胸固定夹板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前片:520*500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后片:518*600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前片:450*480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后片:450*550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前片:422*460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后片:420*500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腰背心固定板1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前片:505*575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后片480*530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前片:430*500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后片:410*460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前片:380*440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后片:360*400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伸肌腱固定夹板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670.00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0.53－0.67kg、0.4－0.43kg、0.10－0.15kg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屈肌腱固定夹板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力度可调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氨纶纱套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28cm*10m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13cm*20m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8cm*20m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海绵内衬  (蓝色带背胶)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FZ-1401 360*25cm*3mm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包边条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699.00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FZ-1302 25mm*25m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355356.00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9"/>
            <w:tcBorders>
              <w:top w:val="nil"/>
              <w:left w:val="nil"/>
              <w:bottom w:val="nil"/>
              <w:right w:val="nil"/>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第六包：注射耗材类</w:t>
            </w:r>
          </w:p>
        </w:tc>
        <w:tc>
          <w:tcPr>
            <w:tcW w:w="3795" w:type="dxa"/>
            <w:tcBorders>
              <w:top w:val="nil"/>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一次性使用高压造影注射器及附件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140400.00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200/单筒及连接管、CT使用，1支200ml针筒，1支单通道连接管，1支穿刺式吸药器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一次性使用高压造影注射器及附件</w:t>
            </w:r>
          </w:p>
        </w:tc>
        <w:tc>
          <w:tcPr>
            <w:tcW w:w="6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03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200*200/双筒及连接管,CT使用，2支200ml针筒，1支三通道连接管，2支穿刺式吸药器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一次性使用高压造影注射器及附件</w:t>
            </w:r>
          </w:p>
        </w:tc>
        <w:tc>
          <w:tcPr>
            <w:tcW w:w="6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03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89.90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7192.00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150/单筒及连接管,DSA使用，1支150ml针筒，1支DSA连接管(耐压700psi），1支J型吸药管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真空采血管（双标签、塑料管）-1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170400.00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90312.00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血常规 紫色 2ml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真空采血管（双标签、塑料管）-2</w:t>
            </w:r>
          </w:p>
        </w:tc>
        <w:tc>
          <w:tcPr>
            <w:tcW w:w="69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c>
          <w:tcPr>
            <w:tcW w:w="103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0.54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2160.00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分离胶 黄色 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真空采血管（双标签、塑料管）-3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159000.00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促凝管 橙色 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真空采血管（双标签、塑料管）-4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55200.00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29256.00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血凝实验 蓝色 2ml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真空采血管（双标签、塑料管）-5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0.54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1404.00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肝素锂 绿色 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真空采血管(双标签、玻璃管)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0.56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8736.00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柠檬酸钠（1：4） 黑色1.6ml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复合橙帽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橙色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采血针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0.55*19mm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采血针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医用钛夹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枚</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一次性无菌腹腔引流导管及附件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218.40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37128.00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弯型8Fr*20cm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一次性压力传感器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由传输管路、压力传感器件、灌注器组成。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一次性使用静脉留置针（配敷贴）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32400.00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8.12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263088.00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Y型22G/成人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一次性使用静脉留置针（配敷贴）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55200.00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8.12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448224.00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Y型24G/儿童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一次性使用静脉留置针（配敷贴）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8.12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16240.00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一次性使用静脉留置针（配敷贴）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11.63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32564.00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20G/22G-直式CT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1ml/0.45*16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62400.00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12480.00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2ml/0.55*20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492000.00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98400.00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5ml（0.6#）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55200.00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16560.00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705600.00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282240.00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20ml（1.6#）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0.55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5280.00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30ml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0.82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50ml、60ml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21600.00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0.85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18360.00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60ml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一次性使用输液器带针（牙科注射器）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5ml（0.5#）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一次性使用输液器 带针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1.24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50ml/16#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一次性使用避光输液器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本产品避光范围为290nm450nm。针头各型号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一次性使用无菌输液器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单袋式/0.55#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一次性使用无菌输液器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337600.00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388240.00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单袋式/7#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一次性使用无菌输液器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0.70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直式/7#(两通）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一次性使用鼻氧管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1.49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26820.00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鼻架式1.8米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一次性使用静脉输液针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0.17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一次性使用静脉输液针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一次性使用静脉输液针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一次性使用无菌注射器（皮试针）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一次性使用无菌注射器（皮试针）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一次性使用无菌注射器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0.3*1.5RWLB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一次性输血器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1.29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3612.00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一次性使用人体动脉血样采集器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3ml 0.7mm×25mm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一次性使用连接管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3.79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13265.00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三通阀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聚酯泡沫敷料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41.60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14976.00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粘性型，14.3*15.6cm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聚酯泡沫敷料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60.30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3015.00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14.3*15.6cm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水胶体敷料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1120.00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1、10*10cm</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2、吸湿性及吸附能力强，减少患者感染风险及疼痛感，进一步提升伤后治疗的安全性和效果。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鼻腔止血海绵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8.0*2.5*1.5cm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鼻腔止血海绵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8.0*2.0*1.5cm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一次性眼科手术刀</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756.00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61236.00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1、3°、15°，2.3mm</w:t>
            </w:r>
          </w:p>
          <w:p>
            <w:pPr>
              <w:pStyle w:val="7"/>
              <w:numPr>
                <w:ilvl w:val="0"/>
                <w:numId w:val="5"/>
              </w:num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锋利</w:t>
            </w:r>
            <w:r>
              <w:rPr>
                <w:rFonts w:hint="eastAsia" w:ascii="宋体" w:hAnsi="宋体" w:eastAsia="宋体" w:cs="宋体"/>
                <w:color w:val="auto"/>
                <w:sz w:val="18"/>
                <w:szCs w:val="18"/>
                <w:highlight w:val="none"/>
                <w:lang w:eastAsia="zh-CN"/>
              </w:rPr>
              <w:t>；</w:t>
            </w:r>
          </w:p>
          <w:p>
            <w:pPr>
              <w:pStyle w:val="7"/>
              <w:numPr>
                <w:ilvl w:val="0"/>
                <w:numId w:val="0"/>
              </w:num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质量可靠。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一次性使用胸腔引流装置(两孔)</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3040.00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一次性使用引流管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F24  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一次性使用引流管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一次性使用活检针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617.10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3702.60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1、18ga*15cm.（5根/盒）活检针由针管、针芯、上膛扳机、手柄、安全锁、激发按钮组成。适用于人体肝、肾、腹部包块等软组织的样本获取。</w:t>
            </w:r>
          </w:p>
          <w:p>
            <w:pPr>
              <w:pStyle w:val="7"/>
              <w:numPr>
                <w:ilvl w:val="0"/>
                <w:numId w:val="0"/>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创伤小，安全且准确率高，</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减轻患者疼痛。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同轴引导活检针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216.00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1296.00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1、17G(1.4mm)*11.8cm.</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360-1580-01用引导针。（5根/盒）</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本产品由带内圆锥锁定接头的针管、带外圆锥锁定接头的针芯、定位器三部分组成。针管材料为304不锈钢、针芯材料为304不锈钢、定位器材料为302不锈钢。产品经环氧乙烷灭菌。活检针用于人体软组织活体检查的引导取样。</w:t>
            </w:r>
          </w:p>
          <w:p>
            <w:pPr>
              <w:pStyle w:val="7"/>
              <w:numPr>
                <w:ilvl w:val="0"/>
                <w:numId w:val="0"/>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创伤小，安全且准确率高，</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减轻患者疼痛。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一次性使用活检针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活检针按产品结构分为旋转自动款活检针和半自动款活检针，均由内针杆、外针管、手柄组件、保护套管、同轴活检针(可选配)和圆头钝针(可选配)组成。经皮穿刺，到达病灶边缘，从人体的肝、肾、前列腺、乳腺、脾、淋巴结织中获得或协助获得细胞或组织。各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一次性使用胸腔穿刺器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一次性负压引流器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2650184.60</w:t>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8307662.60</w:t>
            </w:r>
            <w:r>
              <w:rPr>
                <w:rFonts w:hint="eastAsia" w:ascii="宋体" w:hAnsi="宋体" w:eastAsia="宋体" w:cs="宋体"/>
                <w:i w:val="0"/>
                <w:iCs w:val="0"/>
                <w:color w:val="auto"/>
                <w:kern w:val="0"/>
                <w:sz w:val="24"/>
                <w:szCs w:val="24"/>
                <w:u w:val="none"/>
                <w:lang w:val="en-US" w:eastAsia="zh-CN" w:bidi="ar"/>
              </w:rPr>
              <w:t xml:space="preserve"> </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4"/>
                <w:szCs w:val="24"/>
                <w:u w:val="none"/>
              </w:rPr>
            </w:pPr>
          </w:p>
        </w:tc>
      </w:tr>
    </w:tbl>
    <w:p>
      <w:pPr>
        <w:pStyle w:val="7"/>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宋体-PUA">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end"/>
    </w:r>
  </w:p>
  <w:p>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r>
      <w:rPr>
        <w:rFonts w:hint="eastAsia" w:hAnsi="宋体"/>
      </w:rPr>
      <w:t xml:space="preserve">                             </w:t>
    </w:r>
  </w:p>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F616B"/>
    <w:multiLevelType w:val="multilevel"/>
    <w:tmpl w:val="3CEF616B"/>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6D22AB72"/>
    <w:multiLevelType w:val="singleLevel"/>
    <w:tmpl w:val="6D22AB72"/>
    <w:lvl w:ilvl="0" w:tentative="0">
      <w:start w:val="2"/>
      <w:numFmt w:val="decimal"/>
      <w:suff w:val="nothing"/>
      <w:lvlText w:val="%1、"/>
      <w:lvlJc w:val="left"/>
    </w:lvl>
  </w:abstractNum>
  <w:abstractNum w:abstractNumId="4">
    <w:nsid w:val="72AD47F6"/>
    <w:multiLevelType w:val="singleLevel"/>
    <w:tmpl w:val="72AD47F6"/>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lmMjQ1YmUwYWM0NTE3ODlhNjE3YTlkMzAwOWQ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0993"/>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C646E1"/>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615BFD"/>
    <w:rsid w:val="0A886720"/>
    <w:rsid w:val="0AA55524"/>
    <w:rsid w:val="0AE068BC"/>
    <w:rsid w:val="0B12749D"/>
    <w:rsid w:val="0B2B77D7"/>
    <w:rsid w:val="0B4120B4"/>
    <w:rsid w:val="0B5E52FB"/>
    <w:rsid w:val="0B626029"/>
    <w:rsid w:val="0B794905"/>
    <w:rsid w:val="0B8031F9"/>
    <w:rsid w:val="0BC154F9"/>
    <w:rsid w:val="0BF544FB"/>
    <w:rsid w:val="0C110653"/>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6E04A7"/>
    <w:rsid w:val="0D8644FE"/>
    <w:rsid w:val="0D9231F2"/>
    <w:rsid w:val="0D9870B2"/>
    <w:rsid w:val="0DB90BFE"/>
    <w:rsid w:val="0DCB4633"/>
    <w:rsid w:val="0DDC53E5"/>
    <w:rsid w:val="0E267409"/>
    <w:rsid w:val="0E693BA6"/>
    <w:rsid w:val="0E744560"/>
    <w:rsid w:val="0E7C2AD5"/>
    <w:rsid w:val="0E9438E5"/>
    <w:rsid w:val="0E9B2EC6"/>
    <w:rsid w:val="0EBC032B"/>
    <w:rsid w:val="0EDB6E2A"/>
    <w:rsid w:val="0F021B90"/>
    <w:rsid w:val="0F026AA1"/>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E774F"/>
    <w:rsid w:val="13571A9F"/>
    <w:rsid w:val="13742176"/>
    <w:rsid w:val="13802B86"/>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8747C8"/>
    <w:rsid w:val="15A46ACF"/>
    <w:rsid w:val="15AE7F14"/>
    <w:rsid w:val="15B97FD3"/>
    <w:rsid w:val="15BF56EC"/>
    <w:rsid w:val="15D31D52"/>
    <w:rsid w:val="15D32E19"/>
    <w:rsid w:val="15F420F5"/>
    <w:rsid w:val="15F66C34"/>
    <w:rsid w:val="15F7670D"/>
    <w:rsid w:val="1630150A"/>
    <w:rsid w:val="163333C9"/>
    <w:rsid w:val="16335E07"/>
    <w:rsid w:val="16522B0E"/>
    <w:rsid w:val="16727C48"/>
    <w:rsid w:val="167E17CA"/>
    <w:rsid w:val="16893F4C"/>
    <w:rsid w:val="169E6E26"/>
    <w:rsid w:val="16B103A7"/>
    <w:rsid w:val="16CD5BE6"/>
    <w:rsid w:val="16EB398C"/>
    <w:rsid w:val="1716368C"/>
    <w:rsid w:val="1726179A"/>
    <w:rsid w:val="173A2E01"/>
    <w:rsid w:val="17497F7D"/>
    <w:rsid w:val="178665E1"/>
    <w:rsid w:val="17BD5E6F"/>
    <w:rsid w:val="18003510"/>
    <w:rsid w:val="182362E4"/>
    <w:rsid w:val="183B461C"/>
    <w:rsid w:val="183F48C2"/>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684130"/>
    <w:rsid w:val="1B755B19"/>
    <w:rsid w:val="1B990131"/>
    <w:rsid w:val="1B9A760A"/>
    <w:rsid w:val="1BAD7EA3"/>
    <w:rsid w:val="1BE678CF"/>
    <w:rsid w:val="1BEB731A"/>
    <w:rsid w:val="1C1918CE"/>
    <w:rsid w:val="1C384BFA"/>
    <w:rsid w:val="1CB33FF4"/>
    <w:rsid w:val="1CBF5484"/>
    <w:rsid w:val="1CE4784B"/>
    <w:rsid w:val="1CE852ED"/>
    <w:rsid w:val="1D084161"/>
    <w:rsid w:val="1D2B32BB"/>
    <w:rsid w:val="1D396476"/>
    <w:rsid w:val="1D5F4A6C"/>
    <w:rsid w:val="1D6A3B6D"/>
    <w:rsid w:val="1D8A2A83"/>
    <w:rsid w:val="1DA30650"/>
    <w:rsid w:val="1DAD7BD7"/>
    <w:rsid w:val="1DD306E4"/>
    <w:rsid w:val="1DE560CC"/>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B45B95"/>
    <w:rsid w:val="1FCB2EDF"/>
    <w:rsid w:val="1FEA15B7"/>
    <w:rsid w:val="1FEE5872"/>
    <w:rsid w:val="200472E3"/>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675748"/>
    <w:rsid w:val="227E3B37"/>
    <w:rsid w:val="229E61FE"/>
    <w:rsid w:val="22B820F0"/>
    <w:rsid w:val="22BB4FAD"/>
    <w:rsid w:val="22C00E62"/>
    <w:rsid w:val="22E440F1"/>
    <w:rsid w:val="22E73C46"/>
    <w:rsid w:val="22EC5646"/>
    <w:rsid w:val="22F447D7"/>
    <w:rsid w:val="23287B54"/>
    <w:rsid w:val="236C584B"/>
    <w:rsid w:val="23807620"/>
    <w:rsid w:val="23C11A88"/>
    <w:rsid w:val="23D639D8"/>
    <w:rsid w:val="23E51EB2"/>
    <w:rsid w:val="23F52C20"/>
    <w:rsid w:val="240264F6"/>
    <w:rsid w:val="2406098A"/>
    <w:rsid w:val="24082954"/>
    <w:rsid w:val="247B33E9"/>
    <w:rsid w:val="247D4E92"/>
    <w:rsid w:val="24950967"/>
    <w:rsid w:val="24C12596"/>
    <w:rsid w:val="24C70119"/>
    <w:rsid w:val="24D05044"/>
    <w:rsid w:val="25306D27"/>
    <w:rsid w:val="25323CE3"/>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AB5818"/>
    <w:rsid w:val="26CA45F5"/>
    <w:rsid w:val="26D80329"/>
    <w:rsid w:val="26ED24D5"/>
    <w:rsid w:val="26FD2518"/>
    <w:rsid w:val="27221828"/>
    <w:rsid w:val="27365AC8"/>
    <w:rsid w:val="27636F05"/>
    <w:rsid w:val="27663AD0"/>
    <w:rsid w:val="27A05292"/>
    <w:rsid w:val="27AE6F32"/>
    <w:rsid w:val="27BA5987"/>
    <w:rsid w:val="27C46B92"/>
    <w:rsid w:val="27DF3F77"/>
    <w:rsid w:val="27FE2F69"/>
    <w:rsid w:val="27FF5E1C"/>
    <w:rsid w:val="282F3CB6"/>
    <w:rsid w:val="287700A8"/>
    <w:rsid w:val="28850779"/>
    <w:rsid w:val="288D33CE"/>
    <w:rsid w:val="28AF0613"/>
    <w:rsid w:val="28B5453D"/>
    <w:rsid w:val="28B65CDE"/>
    <w:rsid w:val="28B9421C"/>
    <w:rsid w:val="28D41056"/>
    <w:rsid w:val="290422C4"/>
    <w:rsid w:val="29170DA6"/>
    <w:rsid w:val="292F76D2"/>
    <w:rsid w:val="293D706B"/>
    <w:rsid w:val="29453D0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3207F8"/>
    <w:rsid w:val="2B4006B2"/>
    <w:rsid w:val="2B6743B8"/>
    <w:rsid w:val="2B695B95"/>
    <w:rsid w:val="2BA842E3"/>
    <w:rsid w:val="2BCB0E9C"/>
    <w:rsid w:val="2BCD0144"/>
    <w:rsid w:val="2BE14E17"/>
    <w:rsid w:val="2BEE242F"/>
    <w:rsid w:val="2C093826"/>
    <w:rsid w:val="2C0A2007"/>
    <w:rsid w:val="2C8E1E21"/>
    <w:rsid w:val="2CB82A3D"/>
    <w:rsid w:val="2CB959B8"/>
    <w:rsid w:val="2CBE068F"/>
    <w:rsid w:val="2CD51841"/>
    <w:rsid w:val="2CE33F5E"/>
    <w:rsid w:val="2D091AF9"/>
    <w:rsid w:val="2D2D6986"/>
    <w:rsid w:val="2D3252A7"/>
    <w:rsid w:val="2D3B5B48"/>
    <w:rsid w:val="2D5D7582"/>
    <w:rsid w:val="2D857B89"/>
    <w:rsid w:val="2DE773EA"/>
    <w:rsid w:val="2DF86893"/>
    <w:rsid w:val="2DFE75F8"/>
    <w:rsid w:val="2E12029D"/>
    <w:rsid w:val="2E3963CF"/>
    <w:rsid w:val="2E4B02EB"/>
    <w:rsid w:val="2E7330BF"/>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E0EF2"/>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4C05CF"/>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E01351"/>
    <w:rsid w:val="38F64E8A"/>
    <w:rsid w:val="390D0E71"/>
    <w:rsid w:val="394B61E7"/>
    <w:rsid w:val="39867B07"/>
    <w:rsid w:val="39A13C4E"/>
    <w:rsid w:val="39AC16C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E43C16"/>
    <w:rsid w:val="3AF75524"/>
    <w:rsid w:val="3B014253"/>
    <w:rsid w:val="3B577004"/>
    <w:rsid w:val="3B5B235C"/>
    <w:rsid w:val="3B9B4A38"/>
    <w:rsid w:val="3BA95475"/>
    <w:rsid w:val="3BB2594B"/>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915310"/>
    <w:rsid w:val="3D941A13"/>
    <w:rsid w:val="3DB159B2"/>
    <w:rsid w:val="3DBF2F24"/>
    <w:rsid w:val="3DCD1D3F"/>
    <w:rsid w:val="3DDA2813"/>
    <w:rsid w:val="3DE10C01"/>
    <w:rsid w:val="3DE30EEF"/>
    <w:rsid w:val="3DE92F94"/>
    <w:rsid w:val="3DED4BD4"/>
    <w:rsid w:val="3DFA5509"/>
    <w:rsid w:val="3E303B2A"/>
    <w:rsid w:val="3E46520D"/>
    <w:rsid w:val="3E4C3454"/>
    <w:rsid w:val="3E5527E2"/>
    <w:rsid w:val="3E5F540E"/>
    <w:rsid w:val="3E801F8A"/>
    <w:rsid w:val="3E8941D0"/>
    <w:rsid w:val="3E895FE7"/>
    <w:rsid w:val="3E930B23"/>
    <w:rsid w:val="3EB43064"/>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853221"/>
    <w:rsid w:val="43884ABF"/>
    <w:rsid w:val="43923BC9"/>
    <w:rsid w:val="43AD4526"/>
    <w:rsid w:val="43D0401E"/>
    <w:rsid w:val="43D26872"/>
    <w:rsid w:val="43DA7EC0"/>
    <w:rsid w:val="444415CE"/>
    <w:rsid w:val="444C5967"/>
    <w:rsid w:val="4456581B"/>
    <w:rsid w:val="44720B5F"/>
    <w:rsid w:val="448214F5"/>
    <w:rsid w:val="44907BD9"/>
    <w:rsid w:val="44A913D8"/>
    <w:rsid w:val="44B53849"/>
    <w:rsid w:val="44DF1057"/>
    <w:rsid w:val="44E51300"/>
    <w:rsid w:val="45070D49"/>
    <w:rsid w:val="45071FD1"/>
    <w:rsid w:val="45341D02"/>
    <w:rsid w:val="45497F4B"/>
    <w:rsid w:val="4550160D"/>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06AA9"/>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C861CB"/>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55E16"/>
    <w:rsid w:val="500C40FB"/>
    <w:rsid w:val="506D5769"/>
    <w:rsid w:val="50992DF3"/>
    <w:rsid w:val="50B07D90"/>
    <w:rsid w:val="50D2707A"/>
    <w:rsid w:val="50F43794"/>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2D4387D"/>
    <w:rsid w:val="53395334"/>
    <w:rsid w:val="534231A6"/>
    <w:rsid w:val="53490E74"/>
    <w:rsid w:val="53881311"/>
    <w:rsid w:val="538A03E0"/>
    <w:rsid w:val="539C4E4C"/>
    <w:rsid w:val="53BD49F5"/>
    <w:rsid w:val="53C07CF7"/>
    <w:rsid w:val="53C57444"/>
    <w:rsid w:val="53D247C4"/>
    <w:rsid w:val="54004A43"/>
    <w:rsid w:val="546B7846"/>
    <w:rsid w:val="54832F6F"/>
    <w:rsid w:val="54BE47A2"/>
    <w:rsid w:val="54C33844"/>
    <w:rsid w:val="550A5A2C"/>
    <w:rsid w:val="553D0C14"/>
    <w:rsid w:val="55506CDC"/>
    <w:rsid w:val="55570796"/>
    <w:rsid w:val="55582170"/>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392849"/>
    <w:rsid w:val="57A5754C"/>
    <w:rsid w:val="57EE6263"/>
    <w:rsid w:val="58037447"/>
    <w:rsid w:val="580F601F"/>
    <w:rsid w:val="581562F3"/>
    <w:rsid w:val="583E0119"/>
    <w:rsid w:val="584A3B76"/>
    <w:rsid w:val="585E232B"/>
    <w:rsid w:val="58726012"/>
    <w:rsid w:val="58750C94"/>
    <w:rsid w:val="588C6486"/>
    <w:rsid w:val="58917198"/>
    <w:rsid w:val="58952F0A"/>
    <w:rsid w:val="58A35E18"/>
    <w:rsid w:val="58A9385C"/>
    <w:rsid w:val="58B927B6"/>
    <w:rsid w:val="58BA76C0"/>
    <w:rsid w:val="58C16D0D"/>
    <w:rsid w:val="58C3675C"/>
    <w:rsid w:val="58FA7F49"/>
    <w:rsid w:val="590B66AD"/>
    <w:rsid w:val="59253085"/>
    <w:rsid w:val="5929493D"/>
    <w:rsid w:val="595B0854"/>
    <w:rsid w:val="59814033"/>
    <w:rsid w:val="598708D6"/>
    <w:rsid w:val="59992E81"/>
    <w:rsid w:val="59AE6F18"/>
    <w:rsid w:val="59B825A1"/>
    <w:rsid w:val="59BC2F41"/>
    <w:rsid w:val="59F0318B"/>
    <w:rsid w:val="59F7288F"/>
    <w:rsid w:val="5A0C4909"/>
    <w:rsid w:val="5A19373C"/>
    <w:rsid w:val="5A1B0463"/>
    <w:rsid w:val="5A3014AB"/>
    <w:rsid w:val="5A317807"/>
    <w:rsid w:val="5A9009D2"/>
    <w:rsid w:val="5A924FBC"/>
    <w:rsid w:val="5AC65DB5"/>
    <w:rsid w:val="5ADB64F9"/>
    <w:rsid w:val="5B07023D"/>
    <w:rsid w:val="5B12571D"/>
    <w:rsid w:val="5B3E2D68"/>
    <w:rsid w:val="5B4903C3"/>
    <w:rsid w:val="5B4B62A5"/>
    <w:rsid w:val="5B521467"/>
    <w:rsid w:val="5BA16930"/>
    <w:rsid w:val="5BA8229B"/>
    <w:rsid w:val="5BDA20F2"/>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6957C1"/>
    <w:rsid w:val="5EB84E29"/>
    <w:rsid w:val="5EE13589"/>
    <w:rsid w:val="5EF274CA"/>
    <w:rsid w:val="5F081069"/>
    <w:rsid w:val="5F2B0BA3"/>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A713B"/>
    <w:rsid w:val="6935606D"/>
    <w:rsid w:val="69447CCB"/>
    <w:rsid w:val="696804A5"/>
    <w:rsid w:val="6981643B"/>
    <w:rsid w:val="69C73183"/>
    <w:rsid w:val="69D5188A"/>
    <w:rsid w:val="69E30063"/>
    <w:rsid w:val="69E77FC7"/>
    <w:rsid w:val="69F20C9E"/>
    <w:rsid w:val="69F66377"/>
    <w:rsid w:val="6A222CC8"/>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3E831D5"/>
    <w:rsid w:val="741E5B9F"/>
    <w:rsid w:val="7426152C"/>
    <w:rsid w:val="74670AAE"/>
    <w:rsid w:val="746D3546"/>
    <w:rsid w:val="74770299"/>
    <w:rsid w:val="747856D4"/>
    <w:rsid w:val="74A7176B"/>
    <w:rsid w:val="74DE5E7E"/>
    <w:rsid w:val="750F12F1"/>
    <w:rsid w:val="75212CF4"/>
    <w:rsid w:val="752B3379"/>
    <w:rsid w:val="755A1EB0"/>
    <w:rsid w:val="756C662F"/>
    <w:rsid w:val="756D1BE3"/>
    <w:rsid w:val="758145AF"/>
    <w:rsid w:val="758E41D2"/>
    <w:rsid w:val="75F81E78"/>
    <w:rsid w:val="75FE0A8D"/>
    <w:rsid w:val="762A6019"/>
    <w:rsid w:val="762E6D85"/>
    <w:rsid w:val="76345870"/>
    <w:rsid w:val="76360FF8"/>
    <w:rsid w:val="7645695C"/>
    <w:rsid w:val="76684159"/>
    <w:rsid w:val="766F6734"/>
    <w:rsid w:val="767D7C04"/>
    <w:rsid w:val="768066A7"/>
    <w:rsid w:val="768123BF"/>
    <w:rsid w:val="76822B3B"/>
    <w:rsid w:val="76932E96"/>
    <w:rsid w:val="76B942D3"/>
    <w:rsid w:val="76DE1FB1"/>
    <w:rsid w:val="770450F5"/>
    <w:rsid w:val="7730491C"/>
    <w:rsid w:val="77305B95"/>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093CE8"/>
    <w:rsid w:val="7C1E443B"/>
    <w:rsid w:val="7C2E27AE"/>
    <w:rsid w:val="7C34657C"/>
    <w:rsid w:val="7C456155"/>
    <w:rsid w:val="7C69156E"/>
    <w:rsid w:val="7CBF7583"/>
    <w:rsid w:val="7CC707EA"/>
    <w:rsid w:val="7CD31240"/>
    <w:rsid w:val="7CFA4031"/>
    <w:rsid w:val="7D00480E"/>
    <w:rsid w:val="7D006083"/>
    <w:rsid w:val="7D0272D3"/>
    <w:rsid w:val="7D3D7FAB"/>
    <w:rsid w:val="7D446E5F"/>
    <w:rsid w:val="7D545437"/>
    <w:rsid w:val="7D6033A4"/>
    <w:rsid w:val="7D84123B"/>
    <w:rsid w:val="7DAA5057"/>
    <w:rsid w:val="7DC23E3E"/>
    <w:rsid w:val="7DEE13E8"/>
    <w:rsid w:val="7DF045F8"/>
    <w:rsid w:val="7E1F4C43"/>
    <w:rsid w:val="7E394C16"/>
    <w:rsid w:val="7E4B2F47"/>
    <w:rsid w:val="7E766902"/>
    <w:rsid w:val="7E776777"/>
    <w:rsid w:val="7E786F03"/>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ind w:firstLine="420" w:firstLineChars="200"/>
    </w:pPr>
  </w:style>
  <w:style w:type="paragraph" w:styleId="6">
    <w:name w:val="annotation text"/>
    <w:basedOn w:val="1"/>
    <w:link w:val="47"/>
    <w:qFormat/>
    <w:uiPriority w:val="0"/>
    <w:pPr>
      <w:jc w:val="left"/>
    </w:pPr>
    <w:rPr>
      <w:sz w:val="18"/>
    </w:rPr>
  </w:style>
  <w:style w:type="paragraph" w:styleId="7">
    <w:name w:val="Body Text"/>
    <w:basedOn w:val="1"/>
    <w:next w:val="1"/>
    <w:qFormat/>
    <w:uiPriority w:val="0"/>
    <w:pPr>
      <w:spacing w:after="120"/>
    </w:pPr>
    <w:rPr>
      <w:rFonts w:ascii="Times New Roman"/>
      <w:kern w:val="2"/>
      <w:sz w:val="21"/>
      <w:szCs w:val="24"/>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6"/>
    <w:next w:val="6"/>
    <w:link w:val="46"/>
    <w:qFormat/>
    <w:uiPriority w:val="0"/>
    <w:rPr>
      <w:b/>
      <w:bCs/>
      <w:sz w:val="21"/>
      <w:szCs w:val="24"/>
    </w:rPr>
  </w:style>
  <w:style w:type="paragraph" w:styleId="20">
    <w:name w:val="Body Text First Indent"/>
    <w:basedOn w:val="7"/>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6"/>
    <w:qFormat/>
    <w:uiPriority w:val="0"/>
    <w:rPr>
      <w:kern w:val="2"/>
      <w:sz w:val="18"/>
      <w:lang w:bidi="ar-SA"/>
    </w:rPr>
  </w:style>
  <w:style w:type="character" w:customStyle="1" w:styleId="48">
    <w:name w:val="正文缩进 字符"/>
    <w:link w:val="5"/>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 w:type="character" w:customStyle="1" w:styleId="66">
    <w:name w:val="font151"/>
    <w:basedOn w:val="23"/>
    <w:qFormat/>
    <w:uiPriority w:val="0"/>
    <w:rPr>
      <w:rFonts w:hint="eastAsia" w:ascii="微软雅黑" w:hAnsi="微软雅黑" w:eastAsia="微软雅黑" w:cs="微软雅黑"/>
      <w:color w:val="000000"/>
      <w:sz w:val="18"/>
      <w:szCs w:val="18"/>
      <w:u w:val="none"/>
    </w:rPr>
  </w:style>
  <w:style w:type="character" w:customStyle="1" w:styleId="67">
    <w:name w:val="font8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65</Pages>
  <Words>32159</Words>
  <Characters>36696</Characters>
  <Lines>238</Lines>
  <Paragraphs>67</Paragraphs>
  <TotalTime>32</TotalTime>
  <ScaleCrop>false</ScaleCrop>
  <LinksUpToDate>false</LinksUpToDate>
  <CharactersWithSpaces>38488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Administrator</cp:lastModifiedBy>
  <cp:lastPrinted>2019-09-04T01:10:00Z</cp:lastPrinted>
  <dcterms:modified xsi:type="dcterms:W3CDTF">2024-08-16T06:15:38Z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54DB632D25C9460FA37B26E7624B3614_13</vt:lpwstr>
  </property>
</Properties>
</file>