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072" w:tblpY="3928"/>
        <w:tblOverlap w:val="never"/>
        <w:tblW w:w="9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4"/>
        <w:gridCol w:w="6954"/>
        <w:gridCol w:w="927"/>
        <w:gridCol w:w="1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973"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富顺县中医医院污水药剂采购项目清单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污水药剂（二氧化氯消毒剂）</w:t>
            </w:r>
          </w:p>
        </w:tc>
        <w:tc>
          <w:tcPr>
            <w:tcW w:w="92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c>
          <w:tcPr>
            <w:tcW w:w="102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污水COD在线检测仪分析药剂</w:t>
            </w:r>
          </w:p>
        </w:tc>
        <w:tc>
          <w:tcPr>
            <w:tcW w:w="92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污水氨氮在线检测仪分析药剂</w:t>
            </w:r>
          </w:p>
        </w:tc>
        <w:tc>
          <w:tcPr>
            <w:tcW w:w="9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余氯在线检测仪电解液</w:t>
            </w:r>
          </w:p>
        </w:tc>
        <w:tc>
          <w:tcPr>
            <w:tcW w:w="9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7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专业资质：供应商应具备《危险化学品经营许可证》</w:t>
            </w:r>
          </w:p>
        </w:tc>
      </w:tr>
    </w:tbl>
    <w:p>
      <w:pPr>
        <w:numPr>
          <w:ilvl w:val="0"/>
          <w:numId w:val="1"/>
        </w:numPr>
        <w:jc w:val="both"/>
        <w:rPr>
          <w:rFonts w:hint="eastAsia" w:ascii="宋体" w:hAnsi="宋体" w:eastAsia="宋体" w:cs="宋体"/>
          <w:i w:val="0"/>
          <w:iCs w:val="0"/>
          <w:color w:val="000000"/>
          <w:kern w:val="0"/>
          <w:sz w:val="32"/>
          <w:szCs w:val="32"/>
          <w:u w:val="none"/>
          <w:lang w:val="en-US" w:eastAsia="zh-CN" w:bidi="ar"/>
        </w:rPr>
      </w:pPr>
      <w:r>
        <w:rPr>
          <w:rFonts w:hint="eastAsia" w:ascii="宋体" w:hAnsi="宋体"/>
          <w:sz w:val="28"/>
          <w:szCs w:val="28"/>
          <w:lang w:eastAsia="zh-CN"/>
        </w:rPr>
        <w:t>项目名称：</w:t>
      </w:r>
      <w:r>
        <w:rPr>
          <w:rFonts w:hint="eastAsia" w:ascii="宋体" w:hAnsi="宋体" w:eastAsia="宋体" w:cs="宋体"/>
          <w:i w:val="0"/>
          <w:iCs w:val="0"/>
          <w:color w:val="000000"/>
          <w:kern w:val="0"/>
          <w:sz w:val="32"/>
          <w:szCs w:val="32"/>
          <w:u w:val="none"/>
          <w:lang w:val="en-US" w:eastAsia="zh-CN" w:bidi="ar"/>
        </w:rPr>
        <w:t>富顺县中医医院污水药剂采购项目</w:t>
      </w:r>
    </w:p>
    <w:p>
      <w:pPr>
        <w:numPr>
          <w:ilvl w:val="0"/>
          <w:numId w:val="0"/>
        </w:numPr>
        <w:jc w:val="both"/>
        <w:rPr>
          <w:rFonts w:hint="eastAsia" w:ascii="宋体" w:hAnsi="宋体" w:cs="宋体"/>
          <w:i w:val="0"/>
          <w:iCs w:val="0"/>
          <w:color w:val="000000"/>
          <w:kern w:val="0"/>
          <w:sz w:val="32"/>
          <w:szCs w:val="32"/>
          <w:u w:val="none"/>
          <w:lang w:val="en-US" w:eastAsia="zh-CN" w:bidi="ar"/>
        </w:rPr>
      </w:pPr>
    </w:p>
    <w:p>
      <w:pPr>
        <w:numPr>
          <w:ilvl w:val="0"/>
          <w:numId w:val="0"/>
        </w:numPr>
        <w:jc w:val="both"/>
        <w:rPr>
          <w:rFonts w:hint="eastAsia"/>
          <w:lang w:eastAsia="zh-CN"/>
        </w:rPr>
      </w:pPr>
      <w:r>
        <w:rPr>
          <w:rFonts w:hint="eastAsia" w:ascii="宋体" w:hAnsi="宋体" w:cs="宋体"/>
          <w:i w:val="0"/>
          <w:iCs w:val="0"/>
          <w:color w:val="000000"/>
          <w:kern w:val="0"/>
          <w:sz w:val="32"/>
          <w:szCs w:val="32"/>
          <w:u w:val="none"/>
          <w:lang w:val="en-US" w:eastAsia="zh-CN" w:bidi="ar"/>
        </w:rPr>
        <w:t>二、项目清单</w:t>
      </w: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pStyle w:val="2"/>
        <w:rPr>
          <w:rFonts w:hint="eastAsia"/>
        </w:rPr>
      </w:pPr>
    </w:p>
    <w:p>
      <w:pPr>
        <w:jc w:val="both"/>
        <w:rPr>
          <w:rFonts w:hint="eastAsia" w:ascii="宋体" w:hAnsi="宋体"/>
          <w:sz w:val="28"/>
          <w:szCs w:val="28"/>
        </w:rPr>
      </w:pPr>
    </w:p>
    <w:p>
      <w:pPr>
        <w:jc w:val="both"/>
        <w:rPr>
          <w:rFonts w:hint="eastAsia" w:ascii="宋体" w:hAnsi="宋体"/>
          <w:sz w:val="28"/>
          <w:szCs w:val="28"/>
        </w:rPr>
      </w:pPr>
    </w:p>
    <w:p>
      <w:pPr>
        <w:jc w:val="both"/>
        <w:rPr>
          <w:rFonts w:ascii="宋体" w:hAnsi="宋体"/>
          <w:b/>
          <w:bCs/>
          <w:sz w:val="28"/>
          <w:szCs w:val="28"/>
        </w:rPr>
      </w:pPr>
      <w:r>
        <w:rPr>
          <w:rFonts w:hint="eastAsia" w:ascii="宋体" w:hAnsi="宋体"/>
          <w:b/>
          <w:bCs/>
          <w:sz w:val="28"/>
          <w:szCs w:val="28"/>
          <w:lang w:eastAsia="zh-CN"/>
        </w:rPr>
        <w:t>三、</w:t>
      </w:r>
      <w:r>
        <w:rPr>
          <w:rFonts w:hint="eastAsia" w:ascii="宋体" w:hAnsi="宋体"/>
          <w:b/>
          <w:bCs/>
          <w:sz w:val="28"/>
          <w:szCs w:val="28"/>
        </w:rPr>
        <w:t>采购需求</w:t>
      </w:r>
    </w:p>
    <w:p>
      <w:pPr>
        <w:rPr>
          <w:rFonts w:hint="eastAsia" w:ascii="宋体" w:hAnsi="宋体"/>
          <w:color w:val="FF0000"/>
          <w:sz w:val="28"/>
          <w:szCs w:val="28"/>
        </w:rPr>
      </w:pPr>
      <w:r>
        <w:rPr>
          <w:rFonts w:hint="eastAsia" w:ascii="宋体" w:hAnsi="宋体"/>
          <w:color w:val="FF0000"/>
          <w:sz w:val="28"/>
          <w:szCs w:val="28"/>
        </w:rPr>
        <w:t>专业资质：供应商应具备《危险化学品经营许可证》</w:t>
      </w:r>
    </w:p>
    <w:p>
      <w:pPr>
        <w:pStyle w:val="7"/>
        <w:numPr>
          <w:ilvl w:val="0"/>
          <w:numId w:val="0"/>
        </w:numP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技术要求</w:t>
      </w:r>
    </w:p>
    <w:p>
      <w:pPr>
        <w:pStyle w:val="7"/>
        <w:numPr>
          <w:ilvl w:val="0"/>
          <w:numId w:val="2"/>
        </w:numPr>
        <w:ind w:left="420"/>
        <w:rPr>
          <w:rFonts w:ascii="宋体" w:hAnsi="宋体" w:cs="宋体"/>
          <w:color w:val="000000"/>
          <w:sz w:val="24"/>
        </w:rPr>
      </w:pPr>
      <w:r>
        <w:rPr>
          <w:rFonts w:hint="eastAsia" w:ascii="宋体" w:hAnsi="宋体" w:cs="宋体"/>
          <w:color w:val="000000"/>
          <w:sz w:val="24"/>
        </w:rPr>
        <w:t>污水药剂（二氧化氯消毒剂）</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序号</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名称</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指标</w:t>
            </w:r>
          </w:p>
        </w:tc>
        <w:tc>
          <w:tcPr>
            <w:tcW w:w="2462" w:type="dxa"/>
            <w:vMerge w:val="restart"/>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参数证明须提供第三方检测机构出具的产品检验报告并加盖供应商鲜章。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1</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稳定性二氧化氯溶液</w:t>
            </w:r>
          </w:p>
        </w:tc>
        <w:tc>
          <w:tcPr>
            <w:tcW w:w="2462" w:type="dxa"/>
            <w:vMerge w:val="continue"/>
            <w:noWrap/>
            <w:vAlign w:val="center"/>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2</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外观</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无色或略带黄色透明液体</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3</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二氧化氯（ClO2含量）/%</w:t>
            </w:r>
          </w:p>
        </w:tc>
        <w:tc>
          <w:tcPr>
            <w:tcW w:w="3670"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szCs w:val="24"/>
              </w:rPr>
              <w:t>≥2%</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4</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As</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≤0.0002％</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tcPr>
          <w:p>
            <w:pPr>
              <w:widowControl/>
              <w:spacing w:line="360" w:lineRule="auto"/>
              <w:jc w:val="center"/>
              <w:rPr>
                <w:rFonts w:ascii="宋体" w:hAnsi="宋体" w:cs="宋体"/>
                <w:color w:val="000000"/>
                <w:sz w:val="24"/>
              </w:rPr>
            </w:pPr>
            <w:r>
              <w:rPr>
                <w:rFonts w:hint="eastAsia" w:ascii="宋体" w:hAnsi="宋体" w:cs="宋体"/>
                <w:color w:val="000000"/>
                <w:sz w:val="24"/>
              </w:rPr>
              <w:t>5</w:t>
            </w:r>
          </w:p>
        </w:tc>
        <w:tc>
          <w:tcPr>
            <w:tcW w:w="2903"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重金属（以Pb计）</w:t>
            </w:r>
          </w:p>
        </w:tc>
        <w:tc>
          <w:tcPr>
            <w:tcW w:w="3670" w:type="dxa"/>
            <w:noWrap/>
          </w:tcPr>
          <w:p>
            <w:pPr>
              <w:widowControl/>
              <w:spacing w:line="360" w:lineRule="auto"/>
              <w:jc w:val="center"/>
              <w:rPr>
                <w:rFonts w:ascii="宋体" w:hAnsi="宋体" w:cs="宋体"/>
                <w:color w:val="000000"/>
                <w:sz w:val="24"/>
              </w:rPr>
            </w:pPr>
            <w:r>
              <w:rPr>
                <w:rFonts w:hint="eastAsia" w:ascii="宋体" w:hAnsi="宋体" w:cs="宋体"/>
                <w:color w:val="000000"/>
                <w:sz w:val="24"/>
                <w:szCs w:val="24"/>
              </w:rPr>
              <w:t>≤0.001％</w:t>
            </w:r>
          </w:p>
        </w:tc>
        <w:tc>
          <w:tcPr>
            <w:tcW w:w="2462" w:type="dxa"/>
            <w:vMerge w:val="continue"/>
            <w:noWrap/>
          </w:tcPr>
          <w:p>
            <w:pPr>
              <w:widowControl/>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000000"/>
                <w:sz w:val="24"/>
              </w:rPr>
            </w:pPr>
            <w:r>
              <w:rPr>
                <w:rFonts w:hint="eastAsia" w:ascii="宋体" w:hAnsi="宋体" w:cs="宋体"/>
                <w:color w:val="000000"/>
                <w:sz w:val="24"/>
              </w:rPr>
              <w:t>6</w:t>
            </w:r>
          </w:p>
        </w:tc>
        <w:tc>
          <w:tcPr>
            <w:tcW w:w="9035" w:type="dxa"/>
            <w:gridSpan w:val="3"/>
            <w:noWrap/>
            <w:vAlign w:val="center"/>
          </w:tcPr>
          <w:p>
            <w:pPr>
              <w:widowControl/>
              <w:spacing w:line="360" w:lineRule="auto"/>
              <w:rPr>
                <w:rFonts w:ascii="宋体" w:hAnsi="宋体" w:cs="宋体"/>
                <w:color w:val="000000"/>
                <w:sz w:val="24"/>
              </w:rPr>
            </w:pPr>
            <w:r>
              <w:rPr>
                <w:rFonts w:hint="eastAsia" w:ascii="宋体" w:hAnsi="宋体" w:cs="宋体"/>
                <w:color w:val="000000"/>
                <w:sz w:val="24"/>
              </w:rPr>
              <w:t>供应商须保证“稳定性二氧化氯溶液”送至医院时可直接使用。</w:t>
            </w:r>
          </w:p>
        </w:tc>
      </w:tr>
    </w:tbl>
    <w:p/>
    <w:p>
      <w:pPr>
        <w:pStyle w:val="7"/>
        <w:numPr>
          <w:ilvl w:val="0"/>
          <w:numId w:val="2"/>
        </w:numPr>
        <w:ind w:left="420"/>
        <w:rPr>
          <w:rFonts w:ascii="宋体" w:hAnsi="宋体"/>
          <w:sz w:val="24"/>
          <w:szCs w:val="24"/>
        </w:rPr>
      </w:pPr>
      <w:r>
        <w:rPr>
          <w:rFonts w:hint="eastAsia" w:ascii="宋体" w:hAnsi="宋体"/>
          <w:sz w:val="24"/>
          <w:szCs w:val="24"/>
        </w:rPr>
        <w:t>污水COD在线监测仪分析药剂</w:t>
      </w:r>
    </w:p>
    <w:tbl>
      <w:tblPr>
        <w:tblStyle w:val="8"/>
        <w:tblpPr w:leftFromText="180" w:rightFromText="180" w:vertAnchor="page" w:horzAnchor="page" w:tblpX="2145" w:tblpY="8988"/>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COD在线分析仪药剂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vAlign w:val="center"/>
          </w:tcPr>
          <w:p>
            <w:pPr>
              <w:widowControl/>
              <w:spacing w:line="360" w:lineRule="auto"/>
              <w:ind w:firstLine="1200" w:firstLineChars="500"/>
              <w:rPr>
                <w:rFonts w:ascii="宋体" w:hAnsi="宋体" w:cs="宋体"/>
                <w:color w:val="000000"/>
                <w:sz w:val="24"/>
                <w:szCs w:val="24"/>
              </w:rPr>
            </w:pPr>
            <w:r>
              <w:rPr>
                <w:rFonts w:hint="eastAsia" w:ascii="宋体" w:hAnsi="宋体" w:cs="宋体"/>
                <w:color w:val="000000"/>
                <w:sz w:val="24"/>
                <w:szCs w:val="24"/>
              </w:rPr>
              <w:t>规格</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1套（包含COD试剂1 500mL,COD试剂2 500mL,cod标准溶液500mL）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使用次数</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约200次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供应商须保证“COD在线分析仪试剂”满足项目现场在线分析仪表使用。</w:t>
            </w:r>
          </w:p>
        </w:tc>
      </w:tr>
    </w:tbl>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ind w:left="840" w:firstLine="0"/>
        <w:rPr>
          <w:rFonts w:ascii="宋体" w:hAnsi="宋体"/>
          <w:sz w:val="24"/>
          <w:szCs w:val="24"/>
        </w:rPr>
      </w:pPr>
    </w:p>
    <w:p>
      <w:pPr>
        <w:pStyle w:val="7"/>
        <w:numPr>
          <w:ilvl w:val="0"/>
          <w:numId w:val="2"/>
        </w:numPr>
        <w:ind w:left="420"/>
        <w:rPr>
          <w:rFonts w:ascii="宋体" w:hAnsi="宋体"/>
          <w:sz w:val="24"/>
          <w:szCs w:val="24"/>
        </w:rPr>
      </w:pPr>
      <w:r>
        <w:rPr>
          <w:rFonts w:hint="eastAsia" w:ascii="宋体" w:hAnsi="宋体"/>
          <w:sz w:val="24"/>
          <w:szCs w:val="24"/>
        </w:rPr>
        <w:t>污水氨氮在线监测仪分析药剂</w:t>
      </w:r>
    </w:p>
    <w:tbl>
      <w:tblPr>
        <w:tblStyle w:val="8"/>
        <w:tblpPr w:leftFromText="180" w:rightFromText="180" w:vertAnchor="page" w:horzAnchor="page" w:tblpX="2325" w:tblpY="2517"/>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NH3-N在线分析仪药剂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规格</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1套（包含NH3-N试剂1 500mL,NH3-N试剂2 500mL,NH3-N标准溶液500mL）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使用次数</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约200次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供应商须保证“NH3-N在线分析仪试剂”满足项目现场在线分析仪表使用。</w:t>
            </w:r>
          </w:p>
        </w:tc>
      </w:tr>
    </w:tbl>
    <w:p>
      <w:pPr>
        <w:pStyle w:val="7"/>
        <w:ind w:firstLine="0"/>
        <w:rPr>
          <w:rFonts w:ascii="宋体" w:hAnsi="宋体"/>
          <w:sz w:val="24"/>
          <w:szCs w:val="24"/>
        </w:rPr>
      </w:pPr>
    </w:p>
    <w:tbl>
      <w:tblPr>
        <w:tblStyle w:val="8"/>
        <w:tblpPr w:leftFromText="180" w:rightFromText="180" w:vertAnchor="page" w:horzAnchor="page" w:tblpX="2298" w:tblpY="7896"/>
        <w:tblOverlap w:val="never"/>
        <w:tblW w:w="7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90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392" w:type="dxa"/>
            <w:gridSpan w:val="3"/>
            <w:noWrap/>
            <w:vAlign w:val="center"/>
          </w:tcPr>
          <w:p>
            <w:pPr>
              <w:pStyle w:val="2"/>
            </w:pPr>
            <w:r>
              <w:rPr>
                <w:rFonts w:hint="eastAsia"/>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产品名称</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余氯在线监测仪电解液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规格</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10mL/瓶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跟换周期</w:t>
            </w:r>
          </w:p>
        </w:tc>
        <w:tc>
          <w:tcPr>
            <w:tcW w:w="3670"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903"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有效期</w:t>
            </w:r>
          </w:p>
        </w:tc>
        <w:tc>
          <w:tcPr>
            <w:tcW w:w="3670" w:type="dxa"/>
            <w:noWrap/>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9" w:type="dxa"/>
            <w:noWrap/>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6573" w:type="dxa"/>
            <w:gridSpan w:val="2"/>
            <w:noWrap/>
            <w:vAlign w:val="center"/>
          </w:tcPr>
          <w:p>
            <w:pPr>
              <w:widowControl/>
              <w:spacing w:line="360" w:lineRule="auto"/>
              <w:rPr>
                <w:rFonts w:ascii="宋体" w:hAnsi="宋体" w:cs="宋体"/>
                <w:color w:val="000000"/>
                <w:sz w:val="24"/>
                <w:szCs w:val="24"/>
              </w:rPr>
            </w:pPr>
            <w:r>
              <w:rPr>
                <w:rFonts w:hint="eastAsia" w:ascii="宋体" w:hAnsi="宋体" w:cs="宋体"/>
                <w:color w:val="000000"/>
                <w:sz w:val="24"/>
                <w:szCs w:val="24"/>
              </w:rPr>
              <w:t>供应商须保证“余氯在线监测仪电解液”满足项目现场在线分析仪表使用。</w:t>
            </w:r>
          </w:p>
        </w:tc>
      </w:tr>
    </w:tbl>
    <w:p>
      <w:pPr>
        <w:pStyle w:val="7"/>
        <w:numPr>
          <w:ilvl w:val="0"/>
          <w:numId w:val="2"/>
        </w:numPr>
        <w:ind w:left="420"/>
        <w:rPr>
          <w:rFonts w:ascii="宋体" w:hAnsi="宋体"/>
          <w:sz w:val="24"/>
          <w:szCs w:val="24"/>
        </w:rPr>
      </w:pPr>
      <w:r>
        <w:rPr>
          <w:rFonts w:hint="eastAsia" w:ascii="宋体" w:hAnsi="宋体"/>
          <w:sz w:val="24"/>
          <w:szCs w:val="24"/>
        </w:rPr>
        <w:t>余氯在线监测仪电解液</w:t>
      </w:r>
    </w:p>
    <w:p/>
    <w:p>
      <w:pPr>
        <w:pStyle w:val="20"/>
        <w:numPr>
          <w:ilvl w:val="0"/>
          <w:numId w:val="0"/>
        </w:numPr>
        <w:ind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供货期限： 合同签订后</w:t>
      </w:r>
      <w:r>
        <w:rPr>
          <w:rFonts w:hint="eastAsia" w:ascii="宋体" w:hAnsi="宋体" w:eastAsia="宋体" w:cs="宋体"/>
          <w:color w:val="auto"/>
          <w:sz w:val="24"/>
          <w:szCs w:val="24"/>
          <w:lang w:eastAsia="zh-CN"/>
        </w:rPr>
        <w:t>一年</w:t>
      </w:r>
      <w:r>
        <w:rPr>
          <w:rFonts w:hint="eastAsia" w:ascii="宋体" w:hAnsi="宋体" w:eastAsia="宋体" w:cs="宋体"/>
          <w:color w:val="auto"/>
          <w:sz w:val="24"/>
          <w:szCs w:val="24"/>
        </w:rPr>
        <w:t xml:space="preserve"> </w:t>
      </w:r>
    </w:p>
    <w:p>
      <w:pPr>
        <w:pStyle w:val="7"/>
        <w:ind w:firstLine="0"/>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其他商务要求（实质性）</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1</w:t>
            </w:r>
          </w:p>
        </w:tc>
        <w:tc>
          <w:tcPr>
            <w:tcW w:w="9035" w:type="dxa"/>
            <w:noWrap/>
          </w:tcPr>
          <w:p>
            <w:pPr>
              <w:widowControl/>
              <w:spacing w:line="360" w:lineRule="auto"/>
              <w:jc w:val="left"/>
              <w:rPr>
                <w:rFonts w:ascii="宋体" w:hAnsi="宋体" w:cs="宋体"/>
                <w:color w:val="auto"/>
                <w:sz w:val="24"/>
              </w:rPr>
            </w:pPr>
            <w:r>
              <w:rPr>
                <w:rFonts w:hint="eastAsia" w:ascii="宋体" w:hAnsi="宋体" w:cs="宋体"/>
                <w:color w:val="auto"/>
                <w:sz w:val="24"/>
              </w:rPr>
              <w:t>供应商提供医院污水处理消毒药剂的加药及储药装置，并负责污水处理设备的保养、维护、维修并提供维保方案。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2</w:t>
            </w:r>
          </w:p>
        </w:tc>
        <w:tc>
          <w:tcPr>
            <w:tcW w:w="9035" w:type="dxa"/>
            <w:noWrap/>
          </w:tcPr>
          <w:p>
            <w:pPr>
              <w:widowControl/>
              <w:spacing w:line="360" w:lineRule="auto"/>
              <w:jc w:val="left"/>
              <w:rPr>
                <w:rFonts w:ascii="宋体" w:hAnsi="宋体" w:cs="宋体"/>
                <w:color w:val="auto"/>
                <w:sz w:val="24"/>
              </w:rPr>
            </w:pPr>
            <w:r>
              <w:rPr>
                <w:rFonts w:hint="eastAsia" w:ascii="宋体" w:hAnsi="宋体" w:cs="宋体"/>
                <w:color w:val="auto"/>
                <w:sz w:val="24"/>
              </w:rPr>
              <w:t>货物应满足医院环保要求，接到医院的电话通知，10分钟响应，半小时到医院现场。供应商需在12小时内解决医院污水出现异常问题，在线监测仪如出现异常问题需维修，则根据市场价核定材料费500元以内供应商免费解决，500元以上只收取材料费并在24小时内完成维修。污水处理设备免费保养、维护。（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3</w:t>
            </w:r>
          </w:p>
        </w:tc>
        <w:tc>
          <w:tcPr>
            <w:tcW w:w="9035" w:type="dxa"/>
            <w:noWrap/>
          </w:tcPr>
          <w:p>
            <w:pPr>
              <w:widowControl/>
              <w:spacing w:line="360" w:lineRule="auto"/>
              <w:jc w:val="left"/>
              <w:rPr>
                <w:rFonts w:ascii="宋体" w:hAnsi="宋体" w:cs="宋体"/>
                <w:color w:val="auto"/>
                <w:sz w:val="24"/>
              </w:rPr>
            </w:pPr>
            <w:r>
              <w:rPr>
                <w:rFonts w:hint="eastAsia" w:ascii="宋体" w:hAnsi="宋体" w:cs="宋体"/>
                <w:color w:val="auto"/>
                <w:sz w:val="24"/>
              </w:rPr>
              <w:t>为保证消毒剂配送及时性，供应商须提供符合医院实际情况的详细配送方案。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4</w:t>
            </w:r>
          </w:p>
        </w:tc>
        <w:tc>
          <w:tcPr>
            <w:tcW w:w="9035" w:type="dxa"/>
            <w:noWrap/>
          </w:tcPr>
          <w:p>
            <w:pPr>
              <w:widowControl/>
              <w:spacing w:line="360" w:lineRule="auto"/>
              <w:jc w:val="left"/>
              <w:rPr>
                <w:rFonts w:ascii="宋体" w:hAnsi="宋体" w:cs="宋体"/>
                <w:color w:val="auto"/>
                <w:sz w:val="24"/>
              </w:rPr>
            </w:pPr>
            <w:r>
              <w:rPr>
                <w:rFonts w:hint="eastAsia" w:ascii="宋体" w:hAnsi="宋体" w:cs="宋体"/>
                <w:color w:val="auto"/>
                <w:sz w:val="24"/>
              </w:rPr>
              <w:t>提供不少于3个类似本项目销售业绩的中标通知书或合同复印件。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6</w:t>
            </w:r>
          </w:p>
        </w:tc>
        <w:tc>
          <w:tcPr>
            <w:tcW w:w="9035" w:type="dxa"/>
            <w:noWrap/>
          </w:tcPr>
          <w:p>
            <w:pPr>
              <w:widowControl/>
              <w:spacing w:line="360" w:lineRule="auto"/>
              <w:jc w:val="left"/>
              <w:rPr>
                <w:rFonts w:ascii="宋体" w:hAnsi="宋体" w:cs="宋体"/>
                <w:color w:val="auto"/>
                <w:sz w:val="24"/>
              </w:rPr>
            </w:pPr>
            <w:r>
              <w:rPr>
                <w:rFonts w:hint="eastAsia" w:ascii="宋体" w:hAnsi="宋体" w:cs="宋体"/>
                <w:color w:val="auto"/>
                <w:sz w:val="24"/>
              </w:rPr>
              <w:t>供应商供货期限内免费向采购人提供不少于一次第三方水质检测，并提供书面报告。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7</w:t>
            </w:r>
          </w:p>
        </w:tc>
        <w:tc>
          <w:tcPr>
            <w:tcW w:w="9035" w:type="dxa"/>
            <w:noWrap/>
          </w:tcPr>
          <w:p>
            <w:pPr>
              <w:spacing w:line="360" w:lineRule="auto"/>
              <w:rPr>
                <w:rFonts w:ascii="宋体" w:hAnsi="宋体" w:cs="宋体"/>
                <w:color w:val="auto"/>
                <w:sz w:val="24"/>
              </w:rPr>
            </w:pPr>
            <w:r>
              <w:rPr>
                <w:rFonts w:hint="eastAsia" w:ascii="宋体" w:hAnsi="宋体" w:cs="宋体"/>
                <w:color w:val="auto"/>
                <w:sz w:val="24"/>
              </w:rPr>
              <w:t>供应商保证医院在本次采购数量内的稳定性二氧化氯溶液供应不间断。（提供承诺函）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8</w:t>
            </w:r>
          </w:p>
        </w:tc>
        <w:tc>
          <w:tcPr>
            <w:tcW w:w="9035" w:type="dxa"/>
            <w:noWrap/>
          </w:tcPr>
          <w:p>
            <w:pPr>
              <w:spacing w:line="360" w:lineRule="auto"/>
              <w:rPr>
                <w:rFonts w:ascii="宋体" w:hAnsi="宋体" w:cs="宋体"/>
                <w:color w:val="auto"/>
                <w:sz w:val="24"/>
              </w:rPr>
            </w:pPr>
            <w:r>
              <w:rPr>
                <w:rFonts w:hint="eastAsia" w:ascii="宋体" w:hAnsi="宋体" w:cs="宋体"/>
                <w:color w:val="auto"/>
                <w:sz w:val="24"/>
              </w:rPr>
              <w:t>接医院电话通知起，24小时内将货物送至医院内指定地点并灌装完成。（提供承诺函）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9" w:type="dxa"/>
            <w:noWrap/>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9</w:t>
            </w:r>
          </w:p>
        </w:tc>
        <w:tc>
          <w:tcPr>
            <w:tcW w:w="9035" w:type="dxa"/>
            <w:noWrap/>
          </w:tcPr>
          <w:p>
            <w:pPr>
              <w:spacing w:line="360" w:lineRule="auto"/>
              <w:rPr>
                <w:rFonts w:ascii="宋体" w:hAnsi="宋体" w:cs="宋体"/>
                <w:color w:val="auto"/>
                <w:sz w:val="24"/>
              </w:rPr>
            </w:pPr>
            <w:r>
              <w:rPr>
                <w:rFonts w:hint="eastAsia" w:ascii="宋体" w:hAnsi="宋体" w:cs="宋体"/>
                <w:color w:val="auto"/>
                <w:sz w:val="24"/>
              </w:rPr>
              <w:t>合同未到期但采购药剂数量已满。在医院未完成新供应商招标，新供应商未供货前，医院继续沿用当前供应商继续供货，供货商品技术要求、商务要求、供货价额按原采购合同执行，但累计供货总价不得超过</w:t>
            </w:r>
            <w:r>
              <w:rPr>
                <w:rFonts w:hint="eastAsia" w:ascii="宋体" w:hAnsi="宋体" w:cs="宋体"/>
                <w:color w:val="auto"/>
                <w:sz w:val="24"/>
                <w:lang w:val="en-US" w:eastAsia="zh-CN"/>
              </w:rPr>
              <w:t>30</w:t>
            </w:r>
            <w:r>
              <w:rPr>
                <w:rFonts w:hint="eastAsia" w:ascii="宋体" w:hAnsi="宋体" w:cs="宋体"/>
                <w:color w:val="auto"/>
                <w:sz w:val="24"/>
              </w:rPr>
              <w:t>万元</w:t>
            </w:r>
            <w:r>
              <w:rPr>
                <w:rFonts w:hint="eastAsia" w:ascii="宋体" w:hAnsi="宋体" w:cs="宋体"/>
                <w:color w:val="auto"/>
                <w:sz w:val="24"/>
                <w:lang w:eastAsia="zh-CN"/>
              </w:rPr>
              <w:t>，且不得超过原合同采购金额的百分之十</w:t>
            </w:r>
            <w:r>
              <w:rPr>
                <w:rFonts w:hint="eastAsia" w:ascii="宋体" w:hAnsi="宋体" w:cs="宋体"/>
                <w:color w:val="auto"/>
                <w:sz w:val="24"/>
              </w:rPr>
              <w:t>。</w:t>
            </w:r>
          </w:p>
        </w:tc>
      </w:tr>
    </w:tbl>
    <w:p>
      <w:pPr>
        <w:jc w:val="both"/>
        <w:rPr>
          <w:rFonts w:hint="eastAsia" w:ascii="宋体" w:hAnsi="宋体"/>
          <w:b/>
          <w:bCs/>
          <w:sz w:val="28"/>
          <w:szCs w:val="28"/>
          <w:lang w:eastAsia="zh-CN"/>
        </w:rPr>
      </w:pPr>
      <w:bookmarkStart w:id="0" w:name="_Toc22060"/>
      <w:r>
        <w:rPr>
          <w:rFonts w:hint="eastAsia" w:ascii="宋体" w:hAnsi="宋体"/>
          <w:b/>
          <w:bCs/>
          <w:sz w:val="28"/>
          <w:szCs w:val="28"/>
          <w:lang w:eastAsia="zh-CN"/>
        </w:rPr>
        <w:t>四、质量要求</w:t>
      </w:r>
      <w:bookmarkEnd w:id="0"/>
    </w:p>
    <w:p>
      <w:pPr>
        <w:pStyle w:val="2"/>
        <w:autoSpaceDE w:val="0"/>
        <w:spacing w:line="440" w:lineRule="exact"/>
        <w:ind w:firstLine="480" w:firstLineChars="200"/>
        <w:rPr>
          <w:rFonts w:ascii="宋体" w:hAnsi="宋体"/>
          <w:sz w:val="24"/>
        </w:rPr>
      </w:pPr>
      <w:r>
        <w:rPr>
          <w:rFonts w:hint="eastAsia" w:ascii="宋体" w:hAnsi="宋体"/>
          <w:bCs/>
          <w:sz w:val="24"/>
          <w:szCs w:val="24"/>
        </w:rPr>
        <w:t>(一)</w:t>
      </w:r>
      <w:r>
        <w:rPr>
          <w:rFonts w:hint="eastAsia" w:ascii="宋体" w:hAnsi="宋体"/>
          <w:sz w:val="24"/>
          <w:szCs w:val="24"/>
        </w:rPr>
        <w:t>乙方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pStyle w:val="2"/>
        <w:autoSpaceDE w:val="0"/>
        <w:spacing w:line="440" w:lineRule="exact"/>
        <w:ind w:firstLine="480" w:firstLineChars="200"/>
        <w:rPr>
          <w:rFonts w:ascii="宋体" w:hAnsi="宋体"/>
          <w:sz w:val="24"/>
        </w:rPr>
      </w:pPr>
      <w:r>
        <w:rPr>
          <w:rFonts w:hint="eastAsia" w:ascii="宋体" w:hAnsi="宋体"/>
          <w:bCs/>
          <w:sz w:val="24"/>
          <w:szCs w:val="24"/>
        </w:rPr>
        <w:t>(二)</w:t>
      </w:r>
      <w:r>
        <w:rPr>
          <w:rFonts w:hint="eastAsia" w:ascii="宋体" w:hAnsi="宋体"/>
          <w:sz w:val="24"/>
          <w:szCs w:val="24"/>
        </w:rPr>
        <w:t>乙方提供的产品必须符合或优于国家标准、行业标准、地方标准等标准、规范，以及谈判文件的质量要求和技术指标与出厂标准。</w:t>
      </w:r>
    </w:p>
    <w:p>
      <w:pPr>
        <w:pStyle w:val="2"/>
        <w:autoSpaceDE w:val="0"/>
        <w:spacing w:line="440" w:lineRule="exact"/>
        <w:ind w:firstLine="480" w:firstLineChars="200"/>
        <w:rPr>
          <w:rFonts w:ascii="宋体" w:hAnsi="宋体"/>
          <w:sz w:val="24"/>
        </w:rPr>
      </w:pPr>
      <w:r>
        <w:rPr>
          <w:rFonts w:hint="eastAsia" w:ascii="宋体" w:hAnsi="宋体"/>
          <w:bCs/>
          <w:sz w:val="24"/>
          <w:szCs w:val="24"/>
        </w:rPr>
        <w:t>(三)</w:t>
      </w:r>
      <w:r>
        <w:rPr>
          <w:rFonts w:hint="eastAsia" w:ascii="宋体" w:hAnsi="宋体"/>
          <w:sz w:val="24"/>
          <w:szCs w:val="24"/>
        </w:rPr>
        <w:t>货物质量出现问题，乙方应负责三包(包修、包换、包退)，费用由乙方负担，甲方有权到产品生产厂家生产场地检查货物质量和生产进度。</w:t>
      </w:r>
    </w:p>
    <w:p>
      <w:pPr>
        <w:pStyle w:val="16"/>
        <w:ind w:firstLine="480"/>
      </w:pPr>
      <w:r>
        <w:rPr>
          <w:rFonts w:hint="eastAsia"/>
          <w:bCs/>
          <w:sz w:val="24"/>
        </w:rPr>
        <w:t>(四)</w:t>
      </w:r>
      <w:r>
        <w:rPr>
          <w:rFonts w:hint="eastAsia"/>
          <w:sz w:val="24"/>
        </w:rPr>
        <w:t>货到现场交付完成后由于甲方保管不当造成的质量问题，乙方亦应负责修理，但费用由甲方负担</w:t>
      </w:r>
      <w:r>
        <w:rPr>
          <w:rFonts w:hint="eastAsia"/>
        </w:rPr>
        <w:t>。</w:t>
      </w:r>
    </w:p>
    <w:p>
      <w:pPr>
        <w:jc w:val="both"/>
        <w:rPr>
          <w:rFonts w:hint="eastAsia" w:ascii="宋体" w:hAnsi="宋体"/>
          <w:b/>
          <w:bCs/>
          <w:sz w:val="28"/>
          <w:szCs w:val="28"/>
          <w:lang w:eastAsia="zh-CN"/>
        </w:rPr>
      </w:pPr>
      <w:r>
        <w:rPr>
          <w:rFonts w:hint="eastAsia" w:ascii="宋体" w:hAnsi="宋体"/>
          <w:b/>
          <w:bCs/>
          <w:sz w:val="28"/>
          <w:szCs w:val="28"/>
          <w:lang w:eastAsia="zh-CN"/>
        </w:rPr>
        <w:t>五、包装方式及运输要求</w:t>
      </w:r>
    </w:p>
    <w:p>
      <w:pPr>
        <w:ind w:firstLine="480" w:firstLineChars="200"/>
        <w:jc w:val="both"/>
        <w:rPr>
          <w:rFonts w:ascii="宋体" w:hAnsi="宋体"/>
          <w:sz w:val="24"/>
        </w:rPr>
      </w:pPr>
      <w:r>
        <w:rPr>
          <w:rFonts w:hint="eastAsia" w:ascii="宋体" w:hAnsi="宋体"/>
          <w:bCs/>
          <w:sz w:val="24"/>
          <w:szCs w:val="24"/>
        </w:rPr>
        <w:t>(一)</w:t>
      </w:r>
      <w:r>
        <w:rPr>
          <w:rFonts w:hint="eastAsia" w:ascii="宋体" w:hAnsi="宋体"/>
          <w:sz w:val="24"/>
          <w:szCs w:val="24"/>
        </w:rPr>
        <w:t>乙方须严格按照《商品包装政府采购需求标准(试行)》、《快递包装政府采购需求标准(试行)》(财办库〔2020〕123号)的要求进行产品及相关快递服务的包装，具体要求查询链接：</w:t>
      </w:r>
      <w:r>
        <w:fldChar w:fldCharType="begin"/>
      </w:r>
      <w:r>
        <w:instrText xml:space="preserve"> HYPERLINK "http://www.ccgp.gov.cn/zcfg/mof/202007/t20200703_14587250.htm。" </w:instrText>
      </w:r>
      <w:r>
        <w:fldChar w:fldCharType="separate"/>
      </w:r>
      <w:r>
        <w:rPr>
          <w:rStyle w:val="18"/>
          <w:rFonts w:hint="eastAsia" w:ascii="宋体" w:hAnsi="宋体"/>
          <w:sz w:val="24"/>
          <w:szCs w:val="24"/>
        </w:rPr>
        <w:t>http://www.ccgp.gov.cn/zcfg/mof/202007/t20200703_14587250.htm。</w:t>
      </w:r>
      <w:r>
        <w:rPr>
          <w:rStyle w:val="18"/>
          <w:rFonts w:hint="eastAsia" w:ascii="宋体" w:hAnsi="宋体"/>
          <w:sz w:val="24"/>
          <w:szCs w:val="24"/>
        </w:rPr>
        <w:fldChar w:fldCharType="end"/>
      </w:r>
    </w:p>
    <w:p>
      <w:pPr>
        <w:pStyle w:val="19"/>
        <w:autoSpaceDE w:val="0"/>
        <w:spacing w:line="440" w:lineRule="exact"/>
        <w:ind w:firstLine="480" w:firstLineChars="200"/>
        <w:rPr>
          <w:sz w:val="24"/>
        </w:rPr>
      </w:pPr>
      <w:r>
        <w:rPr>
          <w:rFonts w:hint="eastAsia"/>
          <w:bCs/>
          <w:sz w:val="24"/>
        </w:rPr>
        <w:t>(二)</w:t>
      </w:r>
      <w:r>
        <w:rPr>
          <w:rFonts w:hint="eastAsia"/>
          <w:sz w:val="24"/>
        </w:rPr>
        <w:t>乙方应当按照约定的方式交付标的物。对于包装方式没有约定或者约定不明确的，应当按照通用的方式包装；没有通用方式的，应当采取足以保护标的物且有利于节约资源，保护生态环境的包装方式。</w:t>
      </w:r>
    </w:p>
    <w:p>
      <w:pPr>
        <w:pStyle w:val="19"/>
        <w:autoSpaceDE w:val="0"/>
        <w:spacing w:line="440" w:lineRule="exact"/>
        <w:ind w:firstLine="0" w:firstLineChars="0"/>
        <w:rPr>
          <w:b/>
          <w:sz w:val="24"/>
        </w:rPr>
      </w:pPr>
      <w:r>
        <w:rPr>
          <w:rFonts w:hint="eastAsia"/>
          <w:b/>
          <w:sz w:val="24"/>
        </w:rPr>
        <w:t>（三）安全责任：</w:t>
      </w:r>
    </w:p>
    <w:p>
      <w:pPr>
        <w:pStyle w:val="19"/>
        <w:autoSpaceDE w:val="0"/>
        <w:spacing w:line="440" w:lineRule="exact"/>
        <w:ind w:firstLine="480" w:firstLineChars="200"/>
        <w:rPr>
          <w:sz w:val="24"/>
        </w:rPr>
      </w:pPr>
      <w:r>
        <w:rPr>
          <w:rFonts w:hint="eastAsia"/>
          <w:sz w:val="24"/>
        </w:rPr>
        <w:t>供应商应按照化学品运输规范及相关要求，负责货物运输、灌装安全，若在运输和灌装中出现安全事故由供应商全面负责。</w:t>
      </w:r>
    </w:p>
    <w:p>
      <w:pPr>
        <w:pStyle w:val="7"/>
        <w:numPr>
          <w:ilvl w:val="0"/>
          <w:numId w:val="3"/>
        </w:numPr>
        <w:ind w:firstLine="0"/>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送货地点</w:t>
      </w:r>
    </w:p>
    <w:p>
      <w:pPr>
        <w:pStyle w:val="7"/>
        <w:numPr>
          <w:ilvl w:val="0"/>
          <w:numId w:val="0"/>
        </w:numPr>
        <w:ind w:leftChars="0" w:firstLine="480" w:firstLineChars="200"/>
        <w:rPr>
          <w:rFonts w:ascii="宋体" w:hAnsi="宋体"/>
          <w:sz w:val="24"/>
          <w:szCs w:val="24"/>
        </w:rPr>
      </w:pPr>
      <w:r>
        <w:rPr>
          <w:rFonts w:hint="eastAsia" w:ascii="宋体" w:hAnsi="宋体"/>
          <w:sz w:val="24"/>
          <w:szCs w:val="24"/>
        </w:rPr>
        <w:t>富顺县中医医院指定地点（含富达路院区、东区分院和其他临时地点）</w:t>
      </w:r>
    </w:p>
    <w:p>
      <w:pPr>
        <w:pStyle w:val="16"/>
        <w:numPr>
          <w:ilvl w:val="0"/>
          <w:numId w:val="3"/>
        </w:numPr>
        <w:autoSpaceDE w:val="0"/>
        <w:spacing w:line="440" w:lineRule="exact"/>
        <w:ind w:left="0" w:leftChars="0" w:firstLine="0" w:firstLineChars="0"/>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货物验收</w:t>
      </w:r>
    </w:p>
    <w:p>
      <w:pPr>
        <w:pStyle w:val="16"/>
        <w:numPr>
          <w:ilvl w:val="0"/>
          <w:numId w:val="0"/>
        </w:numPr>
        <w:autoSpaceDE w:val="0"/>
        <w:spacing w:line="440" w:lineRule="exact"/>
        <w:ind w:leftChars="0" w:firstLine="480" w:firstLineChars="200"/>
        <w:rPr>
          <w:sz w:val="24"/>
        </w:rPr>
      </w:pPr>
      <w:r>
        <w:rPr>
          <w:rFonts w:hint="eastAsia"/>
          <w:sz w:val="24"/>
        </w:rPr>
        <w:t>严格按照《财政部关于进一步加强政府采购需求和履约验收管理的指导意见》(财库〔2016〕205号)和甲方相关要求进行验收。</w:t>
      </w:r>
    </w:p>
    <w:p>
      <w:pPr>
        <w:pStyle w:val="7"/>
        <w:ind w:firstLine="0"/>
        <w:rPr>
          <w:rFonts w:ascii="宋体" w:hAnsi="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B8CA4"/>
    <w:multiLevelType w:val="singleLevel"/>
    <w:tmpl w:val="C49B8CA4"/>
    <w:lvl w:ilvl="0" w:tentative="0">
      <w:start w:val="1"/>
      <w:numFmt w:val="chineseCounting"/>
      <w:suff w:val="nothing"/>
      <w:lvlText w:val="%1、"/>
      <w:lvlJc w:val="left"/>
      <w:rPr>
        <w:rFonts w:hint="eastAsia"/>
      </w:rPr>
    </w:lvl>
  </w:abstractNum>
  <w:abstractNum w:abstractNumId="1">
    <w:nsid w:val="CC23DA7F"/>
    <w:multiLevelType w:val="singleLevel"/>
    <w:tmpl w:val="CC23DA7F"/>
    <w:lvl w:ilvl="0" w:tentative="0">
      <w:start w:val="6"/>
      <w:numFmt w:val="chineseCounting"/>
      <w:suff w:val="nothing"/>
      <w:lvlText w:val="%1、"/>
      <w:lvlJc w:val="left"/>
      <w:rPr>
        <w:rFonts w:hint="eastAsia"/>
      </w:rPr>
    </w:lvl>
  </w:abstractNum>
  <w:abstractNum w:abstractNumId="2">
    <w:nsid w:val="3BAD0591"/>
    <w:multiLevelType w:val="singleLevel"/>
    <w:tmpl w:val="3BAD059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I2YTk3YzhmYmE5MzUxM2FiYzM1OTcxYTQ2Y2EwMDk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4F65FC1"/>
    <w:rsid w:val="0C085D6A"/>
    <w:rsid w:val="0CCB1F37"/>
    <w:rsid w:val="0D227518"/>
    <w:rsid w:val="0E23346C"/>
    <w:rsid w:val="0FC9722E"/>
    <w:rsid w:val="17941CF3"/>
    <w:rsid w:val="1B7B0770"/>
    <w:rsid w:val="1D247FA7"/>
    <w:rsid w:val="221A42B9"/>
    <w:rsid w:val="2B16268D"/>
    <w:rsid w:val="2C855E74"/>
    <w:rsid w:val="2D621327"/>
    <w:rsid w:val="316D0182"/>
    <w:rsid w:val="33CC6163"/>
    <w:rsid w:val="3BFC50CB"/>
    <w:rsid w:val="40EC6145"/>
    <w:rsid w:val="4250579A"/>
    <w:rsid w:val="4313798F"/>
    <w:rsid w:val="432B7FC0"/>
    <w:rsid w:val="48E1539E"/>
    <w:rsid w:val="49B37A47"/>
    <w:rsid w:val="4D9D78D7"/>
    <w:rsid w:val="5201764D"/>
    <w:rsid w:val="52AF02BB"/>
    <w:rsid w:val="56B758CC"/>
    <w:rsid w:val="57D170F0"/>
    <w:rsid w:val="5EB02700"/>
    <w:rsid w:val="64300B2F"/>
    <w:rsid w:val="67353748"/>
    <w:rsid w:val="690070AC"/>
    <w:rsid w:val="6A920EDB"/>
    <w:rsid w:val="6A941CB2"/>
    <w:rsid w:val="6BB20377"/>
    <w:rsid w:val="6C155A2E"/>
    <w:rsid w:val="726A233E"/>
    <w:rsid w:val="75823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before="100" w:beforeAutospacing="1"/>
    </w:pPr>
  </w:style>
  <w:style w:type="paragraph" w:styleId="3">
    <w:name w:val="Body Text First Indent"/>
    <w:basedOn w:val="2"/>
    <w:unhideWhenUsed/>
    <w:qFormat/>
    <w:uiPriority w:val="99"/>
    <w:pPr>
      <w:ind w:firstLine="420" w:firstLineChars="100"/>
    </w:pPr>
  </w:style>
  <w:style w:type="paragraph" w:styleId="4">
    <w:name w:val="Body Text Indent"/>
    <w:basedOn w:val="1"/>
    <w:link w:val="10"/>
    <w:semiHidden/>
    <w:unhideWhenUsed/>
    <w:qFormat/>
    <w:uiPriority w:val="99"/>
    <w:pPr>
      <w:spacing w:after="120"/>
      <w:ind w:left="420" w:leftChars="200"/>
    </w:pPr>
  </w:style>
  <w:style w:type="paragraph" w:styleId="5">
    <w:name w:val="footer"/>
    <w:basedOn w:val="1"/>
    <w:link w:val="14"/>
    <w:semiHidden/>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1"/>
    <w:semiHidden/>
    <w:unhideWhenUsed/>
    <w:qFormat/>
    <w:uiPriority w:val="99"/>
    <w:pPr>
      <w:spacing w:before="100" w:beforeAutospacing="1" w:line="480" w:lineRule="exact"/>
      <w:ind w:left="0" w:leftChars="0" w:firstLine="420"/>
    </w:pPr>
    <w:rPr>
      <w:sz w:val="28"/>
      <w:szCs w:val="28"/>
    </w:rPr>
  </w:style>
  <w:style w:type="character" w:customStyle="1" w:styleId="10">
    <w:name w:val="正文文本缩进 Char"/>
    <w:basedOn w:val="9"/>
    <w:link w:val="4"/>
    <w:semiHidden/>
    <w:qFormat/>
    <w:uiPriority w:val="99"/>
    <w:rPr>
      <w:rFonts w:ascii="Calibri" w:hAnsi="Calibri" w:eastAsia="宋体" w:cs="Times New Roman"/>
      <w:szCs w:val="21"/>
    </w:rPr>
  </w:style>
  <w:style w:type="character" w:customStyle="1" w:styleId="11">
    <w:name w:val="正文首行缩进 2 Char"/>
    <w:basedOn w:val="10"/>
    <w:link w:val="7"/>
    <w:semiHidden/>
    <w:qFormat/>
    <w:uiPriority w:val="99"/>
    <w:rPr>
      <w:sz w:val="28"/>
      <w:szCs w:val="28"/>
    </w:rPr>
  </w:style>
  <w:style w:type="character" w:customStyle="1" w:styleId="12">
    <w:name w:val="正文文本 Char"/>
    <w:basedOn w:val="9"/>
    <w:link w:val="2"/>
    <w:qFormat/>
    <w:uiPriority w:val="99"/>
    <w:rPr>
      <w:rFonts w:ascii="Calibri" w:hAnsi="Calibri" w:eastAsia="宋体" w:cs="Times New Roman"/>
      <w:szCs w:val="21"/>
    </w:rPr>
  </w:style>
  <w:style w:type="character" w:customStyle="1" w:styleId="13">
    <w:name w:val="页眉 Char"/>
    <w:basedOn w:val="9"/>
    <w:link w:val="6"/>
    <w:semiHidden/>
    <w:qFormat/>
    <w:uiPriority w:val="99"/>
    <w:rPr>
      <w:rFonts w:ascii="Calibri" w:hAnsi="Calibri"/>
      <w:kern w:val="2"/>
      <w:sz w:val="18"/>
      <w:szCs w:val="18"/>
    </w:rPr>
  </w:style>
  <w:style w:type="character" w:customStyle="1" w:styleId="14">
    <w:name w:val="页脚 Char"/>
    <w:basedOn w:val="9"/>
    <w:link w:val="5"/>
    <w:semiHidden/>
    <w:qFormat/>
    <w:uiPriority w:val="99"/>
    <w:rPr>
      <w:rFonts w:ascii="Calibri" w:hAnsi="Calibri"/>
      <w:kern w:val="2"/>
      <w:sz w:val="18"/>
      <w:szCs w:val="18"/>
    </w:rPr>
  </w:style>
  <w:style w:type="paragraph" w:customStyle="1" w:styleId="15">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6">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7">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8">
    <w:name w:val="15"/>
    <w:basedOn w:val="9"/>
    <w:qFormat/>
    <w:uiPriority w:val="0"/>
    <w:rPr>
      <w:rFonts w:hint="default" w:ascii="Times New Roman" w:hAnsi="Times New Roman" w:cs="Times New Roman"/>
      <w:color w:val="0000FF"/>
      <w:u w:val="single"/>
    </w:rPr>
  </w:style>
  <w:style w:type="paragraph" w:customStyle="1" w:styleId="19">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1735</Words>
  <Characters>1912</Characters>
  <Lines>18</Lines>
  <Paragraphs>5</Paragraphs>
  <TotalTime>5</TotalTime>
  <ScaleCrop>false</ScaleCrop>
  <LinksUpToDate>false</LinksUpToDate>
  <CharactersWithSpaces>1918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2023-01-12T06:56:43Z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6AE9232A54FC488EAE30A9EC63A9FA63</vt:lpwstr>
  </property>
</Properties>
</file>