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szCs w:val="24"/>
        </w:rPr>
      </w:pPr>
    </w:p>
    <w:p>
      <w:pPr>
        <w:spacing w:line="360" w:lineRule="auto"/>
        <w:jc w:val="right"/>
        <w:rPr>
          <w:rFonts w:hint="eastAsia" w:ascii="宋体" w:hAnsi="宋体" w:eastAsia="宋体" w:cs="宋体"/>
          <w:b/>
          <w:bCs/>
          <w:sz w:val="28"/>
          <w:szCs w:val="28"/>
        </w:rPr>
      </w:pPr>
      <w:r>
        <w:rPr>
          <w:rFonts w:hint="eastAsia" w:ascii="宋体" w:hAnsi="宋体" w:eastAsia="宋体" w:cs="宋体"/>
          <w:b/>
          <w:bCs/>
          <w:sz w:val="28"/>
          <w:szCs w:val="28"/>
        </w:rPr>
        <w:t>采购编号：SCZSZB【2023】093913</w:t>
      </w:r>
    </w:p>
    <w:p>
      <w:pPr>
        <w:spacing w:line="360" w:lineRule="auto"/>
        <w:jc w:val="center"/>
        <w:rPr>
          <w:rFonts w:hint="eastAsia" w:ascii="宋体" w:hAnsi="宋体" w:eastAsia="宋体" w:cs="宋体"/>
          <w:b/>
          <w:bCs/>
          <w:sz w:val="40"/>
          <w:szCs w:val="40"/>
        </w:rPr>
      </w:pPr>
      <w:r>
        <w:rPr>
          <w:rFonts w:hint="eastAsia" w:ascii="宋体" w:hAnsi="宋体" w:eastAsia="宋体" w:cs="宋体"/>
          <w:b/>
          <w:bCs/>
          <w:sz w:val="40"/>
          <w:szCs w:val="40"/>
          <w:lang w:val="en-US" w:eastAsia="zh-CN"/>
        </w:rPr>
        <w:t>富顺县中医医院手术室、内镜中心医用气体工程项目</w:t>
      </w: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b/>
          <w:bCs/>
          <w:sz w:val="48"/>
          <w:szCs w:val="48"/>
        </w:rPr>
      </w:pPr>
    </w:p>
    <w:p>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竞</w:t>
      </w:r>
    </w:p>
    <w:p>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争</w:t>
      </w:r>
    </w:p>
    <w:p>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性</w:t>
      </w:r>
    </w:p>
    <w:p>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谈</w:t>
      </w:r>
    </w:p>
    <w:p>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判</w:t>
      </w:r>
    </w:p>
    <w:p>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文</w:t>
      </w:r>
    </w:p>
    <w:p>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件</w:t>
      </w: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bookmarkStart w:id="0" w:name="PO_采购人_1"/>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采购人</w:t>
      </w:r>
      <w:bookmarkEnd w:id="0"/>
      <w:r>
        <w:rPr>
          <w:rFonts w:hint="eastAsia" w:ascii="宋体" w:hAnsi="宋体" w:eastAsia="宋体" w:cs="宋体"/>
          <w:b/>
          <w:bCs/>
          <w:sz w:val="32"/>
          <w:szCs w:val="32"/>
        </w:rPr>
        <w:t>：</w:t>
      </w:r>
      <w:r>
        <w:rPr>
          <w:rFonts w:hint="eastAsia" w:ascii="宋体" w:hAnsi="宋体" w:eastAsia="宋体" w:cs="宋体"/>
          <w:b/>
          <w:bCs/>
          <w:sz w:val="32"/>
          <w:szCs w:val="32"/>
          <w:lang w:val="zh-CN"/>
        </w:rPr>
        <w:t>富顺县中医医院</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采购代理机构：</w:t>
      </w:r>
      <w:r>
        <w:rPr>
          <w:rFonts w:hint="eastAsia" w:ascii="宋体" w:hAnsi="宋体" w:eastAsia="宋体" w:cs="宋体"/>
          <w:b/>
          <w:bCs/>
          <w:sz w:val="32"/>
          <w:szCs w:val="32"/>
          <w:lang w:val="en-US" w:eastAsia="zh-CN"/>
        </w:rPr>
        <w:t>四川哲胜招标代理有限公司</w:t>
      </w:r>
    </w:p>
    <w:p>
      <w:pPr>
        <w:pStyle w:val="4"/>
        <w:keepNext w:val="0"/>
        <w:keepLines w:val="0"/>
        <w:spacing w:line="360" w:lineRule="auto"/>
        <w:jc w:val="center"/>
        <w:rPr>
          <w:rFonts w:hint="eastAsia" w:ascii="宋体" w:hAnsi="宋体" w:eastAsia="宋体" w:cs="宋体"/>
          <w:sz w:val="24"/>
          <w:szCs w:val="24"/>
        </w:rPr>
      </w:pPr>
      <w:bookmarkStart w:id="1" w:name="PO_年份小写_1"/>
      <w:r>
        <w:rPr>
          <w:rFonts w:hint="eastAsia" w:ascii="宋体" w:hAnsi="宋体" w:eastAsia="宋体" w:cs="宋体"/>
          <w:sz w:val="28"/>
          <w:szCs w:val="28"/>
          <w:lang w:val="en-US" w:eastAsia="zh-CN"/>
        </w:rPr>
        <w:t>2023</w:t>
      </w:r>
      <w:r>
        <w:rPr>
          <w:rFonts w:hint="eastAsia" w:ascii="宋体" w:hAnsi="宋体" w:eastAsia="宋体" w:cs="宋体"/>
          <w:sz w:val="28"/>
          <w:szCs w:val="28"/>
          <w:lang w:val="zh-CN"/>
        </w:rPr>
        <w:t>年</w:t>
      </w:r>
      <w:bookmarkEnd w:id="1"/>
      <w:bookmarkStart w:id="2" w:name="PO_月份小写_1"/>
      <w:r>
        <w:rPr>
          <w:rFonts w:hint="eastAsia" w:ascii="宋体" w:hAnsi="宋体" w:eastAsia="宋体" w:cs="宋体"/>
          <w:sz w:val="28"/>
          <w:szCs w:val="28"/>
          <w:lang w:val="en-US" w:eastAsia="zh-CN"/>
        </w:rPr>
        <w:t>9</w:t>
      </w:r>
      <w:r>
        <w:rPr>
          <w:rFonts w:hint="eastAsia" w:ascii="宋体" w:hAnsi="宋体" w:eastAsia="宋体" w:cs="宋体"/>
          <w:sz w:val="28"/>
          <w:szCs w:val="28"/>
          <w:lang w:val="zh-CN"/>
        </w:rPr>
        <w:t>月</w:t>
      </w:r>
      <w:bookmarkEnd w:id="2"/>
      <w:r>
        <w:rPr>
          <w:rFonts w:hint="eastAsia" w:ascii="宋体" w:hAnsi="宋体" w:eastAsia="宋体" w:cs="宋体"/>
          <w:b/>
          <w:bCs/>
          <w:sz w:val="24"/>
          <w:szCs w:val="24"/>
        </w:rPr>
        <w:br w:type="page"/>
      </w:r>
      <w:r>
        <w:rPr>
          <w:rFonts w:hint="eastAsia" w:ascii="宋体" w:hAnsi="宋体" w:eastAsia="宋体" w:cs="宋体"/>
          <w:sz w:val="24"/>
          <w:szCs w:val="24"/>
        </w:rPr>
        <w:t>目录</w:t>
      </w:r>
    </w:p>
    <w:p>
      <w:pPr>
        <w:pStyle w:val="28"/>
        <w:tabs>
          <w:tab w:val="right" w:leader="dot" w:pos="8303"/>
        </w:tabs>
        <w:spacing w:line="360" w:lineRule="auto"/>
        <w:rPr>
          <w:rFonts w:hint="eastAsia" w:ascii="宋体" w:hAnsi="宋体" w:eastAsia="宋体" w:cs="宋体"/>
          <w:sz w:val="24"/>
          <w:szCs w:val="24"/>
        </w:rPr>
      </w:pPr>
      <w:r>
        <w:rPr>
          <w:rStyle w:val="46"/>
          <w:rFonts w:hint="eastAsia" w:ascii="宋体" w:hAnsi="宋体" w:eastAsia="宋体" w:cs="宋体"/>
          <w:caps/>
          <w:color w:val="auto"/>
          <w:sz w:val="24"/>
          <w:szCs w:val="24"/>
        </w:rPr>
        <w:fldChar w:fldCharType="begin"/>
      </w:r>
      <w:r>
        <w:rPr>
          <w:rStyle w:val="46"/>
          <w:rFonts w:hint="eastAsia" w:ascii="宋体" w:hAnsi="宋体" w:eastAsia="宋体" w:cs="宋体"/>
          <w:caps/>
          <w:color w:val="auto"/>
          <w:sz w:val="24"/>
          <w:szCs w:val="24"/>
        </w:rPr>
        <w:instrText xml:space="preserve">TOC \h \z \t "标题,1"</w:instrText>
      </w:r>
      <w:r>
        <w:rPr>
          <w:rStyle w:val="46"/>
          <w:rFonts w:hint="eastAsia" w:ascii="宋体" w:hAnsi="宋体" w:eastAsia="宋体" w:cs="宋体"/>
          <w:caps/>
          <w:color w:val="auto"/>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"_Toc41037902" </w:instrText>
      </w:r>
      <w:r>
        <w:rPr>
          <w:rFonts w:hint="eastAsia" w:ascii="宋体" w:hAnsi="宋体" w:eastAsia="宋体" w:cs="宋体"/>
          <w:sz w:val="24"/>
          <w:szCs w:val="24"/>
        </w:rPr>
        <w:fldChar w:fldCharType="separate"/>
      </w:r>
      <w:r>
        <w:rPr>
          <w:rStyle w:val="46"/>
          <w:rFonts w:hint="eastAsia" w:ascii="宋体" w:hAnsi="宋体" w:eastAsia="宋体" w:cs="宋体"/>
          <w:color w:val="auto"/>
          <w:sz w:val="24"/>
          <w:szCs w:val="24"/>
        </w:rPr>
        <w:t>第一章谈判邀请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_Toc41037902 \h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303"/>
        </w:tabs>
        <w:spacing w:line="360" w:lineRule="auto"/>
        <w:jc w:val="left"/>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"_Toc41037903" </w:instrText>
      </w:r>
      <w:r>
        <w:rPr>
          <w:rFonts w:hint="eastAsia" w:ascii="宋体" w:hAnsi="宋体" w:eastAsia="宋体" w:cs="宋体"/>
          <w:sz w:val="24"/>
          <w:szCs w:val="24"/>
        </w:rPr>
        <w:fldChar w:fldCharType="separate"/>
      </w:r>
      <w:r>
        <w:rPr>
          <w:rStyle w:val="46"/>
          <w:rFonts w:hint="eastAsia" w:ascii="宋体" w:hAnsi="宋体" w:eastAsia="宋体" w:cs="宋体"/>
          <w:color w:val="auto"/>
          <w:sz w:val="24"/>
          <w:szCs w:val="24"/>
        </w:rPr>
        <w:t>第二章谈判须知</w:t>
      </w:r>
      <w:r>
        <w:rPr>
          <w:rFonts w:hint="eastAsia" w:ascii="宋体" w:hAnsi="宋体" w:eastAsia="宋体" w:cs="宋体"/>
          <w:sz w:val="24"/>
          <w:szCs w:val="24"/>
        </w:rPr>
        <w:tab/>
      </w:r>
      <w:r>
        <w:rPr>
          <w:rFonts w:hint="eastAsia" w:ascii="宋体" w:hAnsi="宋体" w:eastAsia="宋体" w:cs="宋体"/>
          <w:sz w:val="24"/>
          <w:szCs w:val="24"/>
        </w:rPr>
        <w:t>6</w:t>
      </w:r>
      <w:r>
        <w:rPr>
          <w:rFonts w:hint="eastAsia" w:ascii="宋体" w:hAnsi="宋体" w:eastAsia="宋体" w:cs="宋体"/>
          <w:sz w:val="24"/>
          <w:szCs w:val="24"/>
        </w:rPr>
        <w:fldChar w:fldCharType="end"/>
      </w:r>
    </w:p>
    <w:p>
      <w:pPr>
        <w:pStyle w:val="28"/>
        <w:tabs>
          <w:tab w:val="right" w:leader="dot" w:pos="8303"/>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"_Toc41037904" </w:instrText>
      </w:r>
      <w:r>
        <w:rPr>
          <w:rFonts w:hint="eastAsia" w:ascii="宋体" w:hAnsi="宋体" w:eastAsia="宋体" w:cs="宋体"/>
          <w:sz w:val="24"/>
          <w:szCs w:val="24"/>
        </w:rPr>
        <w:fldChar w:fldCharType="separate"/>
      </w:r>
      <w:r>
        <w:rPr>
          <w:rStyle w:val="46"/>
          <w:rFonts w:hint="eastAsia" w:ascii="宋体" w:hAnsi="宋体" w:eastAsia="宋体" w:cs="宋体"/>
          <w:color w:val="auto"/>
          <w:sz w:val="24"/>
          <w:szCs w:val="24"/>
        </w:rPr>
        <w:t>第三章供应商的资格、资质性及其他类似效力要求</w:t>
      </w:r>
      <w:r>
        <w:rPr>
          <w:rFonts w:hint="eastAsia" w:ascii="宋体" w:hAnsi="宋体" w:eastAsia="宋体" w:cs="宋体"/>
          <w:sz w:val="24"/>
          <w:szCs w:val="24"/>
        </w:rPr>
        <w:tab/>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2</w:t>
      </w:r>
    </w:p>
    <w:p>
      <w:pPr>
        <w:pStyle w:val="28"/>
        <w:tabs>
          <w:tab w:val="right" w:leader="dot" w:pos="8303"/>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"_Toc41037905" </w:instrText>
      </w:r>
      <w:r>
        <w:rPr>
          <w:rFonts w:hint="eastAsia" w:ascii="宋体" w:hAnsi="宋体" w:eastAsia="宋体" w:cs="宋体"/>
          <w:sz w:val="24"/>
          <w:szCs w:val="24"/>
        </w:rPr>
        <w:fldChar w:fldCharType="separate"/>
      </w:r>
      <w:r>
        <w:rPr>
          <w:rStyle w:val="46"/>
          <w:rFonts w:hint="eastAsia" w:ascii="宋体" w:hAnsi="宋体" w:eastAsia="宋体" w:cs="宋体"/>
          <w:color w:val="auto"/>
          <w:sz w:val="24"/>
          <w:szCs w:val="24"/>
        </w:rPr>
        <w:t>第四章供应商应当提供的资格、资质性及其他类似效力要求的相关证明材料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_Toc41037905 \h </w:instrText>
      </w:r>
      <w:r>
        <w:rPr>
          <w:rFonts w:hint="eastAsia" w:ascii="宋体" w:hAnsi="宋体" w:eastAsia="宋体" w:cs="宋体"/>
          <w:sz w:val="24"/>
          <w:szCs w:val="24"/>
        </w:rPr>
        <w:fldChar w:fldCharType="separate"/>
      </w:r>
      <w:r>
        <w:rPr>
          <w:rFonts w:hint="eastAsia" w:ascii="宋体" w:hAnsi="宋体" w:eastAsia="宋体" w:cs="宋体"/>
          <w:sz w:val="24"/>
          <w:szCs w:val="24"/>
        </w:rPr>
        <w:t>- 24 -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303"/>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"_Toc41037906" </w:instrText>
      </w:r>
      <w:r>
        <w:rPr>
          <w:rFonts w:hint="eastAsia" w:ascii="宋体" w:hAnsi="宋体" w:eastAsia="宋体" w:cs="宋体"/>
          <w:sz w:val="24"/>
          <w:szCs w:val="24"/>
        </w:rPr>
        <w:fldChar w:fldCharType="separate"/>
      </w:r>
      <w:r>
        <w:rPr>
          <w:rStyle w:val="46"/>
          <w:rFonts w:hint="eastAsia" w:ascii="宋体" w:hAnsi="宋体" w:eastAsia="宋体" w:cs="宋体"/>
          <w:color w:val="auto"/>
          <w:sz w:val="24"/>
          <w:szCs w:val="24"/>
        </w:rPr>
        <w:t>第五章采购项目技术、服务、政府采购合同内容条款及其他商务要求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_Toc41037906 \h </w:instrText>
      </w:r>
      <w:r>
        <w:rPr>
          <w:rFonts w:hint="eastAsia" w:ascii="宋体" w:hAnsi="宋体" w:eastAsia="宋体" w:cs="宋体"/>
          <w:sz w:val="24"/>
          <w:szCs w:val="24"/>
        </w:rPr>
        <w:fldChar w:fldCharType="separate"/>
      </w:r>
      <w:r>
        <w:rPr>
          <w:rFonts w:hint="eastAsia" w:ascii="宋体" w:hAnsi="宋体" w:eastAsia="宋体" w:cs="宋体"/>
          <w:sz w:val="24"/>
          <w:szCs w:val="24"/>
        </w:rPr>
        <w:t>- 26 -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303"/>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"_Toc41037907" </w:instrText>
      </w:r>
      <w:r>
        <w:rPr>
          <w:rFonts w:hint="eastAsia" w:ascii="宋体" w:hAnsi="宋体" w:eastAsia="宋体" w:cs="宋体"/>
          <w:sz w:val="24"/>
          <w:szCs w:val="24"/>
        </w:rPr>
        <w:fldChar w:fldCharType="separate"/>
      </w:r>
      <w:r>
        <w:rPr>
          <w:rStyle w:val="46"/>
          <w:rFonts w:hint="eastAsia" w:ascii="宋体" w:hAnsi="宋体" w:eastAsia="宋体" w:cs="宋体"/>
          <w:color w:val="auto"/>
          <w:sz w:val="24"/>
          <w:szCs w:val="24"/>
        </w:rPr>
        <w:t>第六章谈判内容、谈判过程中可实质性变动的内容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_Toc41037907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303"/>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"_Toc41037908" </w:instrText>
      </w:r>
      <w:r>
        <w:rPr>
          <w:rFonts w:hint="eastAsia" w:ascii="宋体" w:hAnsi="宋体" w:eastAsia="宋体" w:cs="宋体"/>
          <w:sz w:val="24"/>
          <w:szCs w:val="24"/>
        </w:rPr>
        <w:fldChar w:fldCharType="separate"/>
      </w:r>
      <w:r>
        <w:rPr>
          <w:rStyle w:val="46"/>
          <w:rFonts w:hint="eastAsia" w:ascii="宋体" w:hAnsi="宋体" w:eastAsia="宋体" w:cs="宋体"/>
          <w:color w:val="auto"/>
          <w:sz w:val="24"/>
          <w:szCs w:val="24"/>
        </w:rPr>
        <w:t>第七章响应文件格式</w:t>
      </w:r>
      <w:r>
        <w:rPr>
          <w:rFonts w:hint="eastAsia" w:ascii="宋体" w:hAnsi="宋体" w:eastAsia="宋体" w:cs="宋体"/>
          <w:sz w:val="24"/>
          <w:szCs w:val="24"/>
        </w:rPr>
        <w:tab/>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t>1</w:t>
      </w:r>
    </w:p>
    <w:p>
      <w:pPr>
        <w:pStyle w:val="28"/>
        <w:tabs>
          <w:tab w:val="right" w:leader="dot" w:pos="8303"/>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"_Toc41037909" </w:instrText>
      </w:r>
      <w:r>
        <w:rPr>
          <w:rFonts w:hint="eastAsia" w:ascii="宋体" w:hAnsi="宋体" w:eastAsia="宋体" w:cs="宋体"/>
          <w:sz w:val="24"/>
          <w:szCs w:val="24"/>
        </w:rPr>
        <w:fldChar w:fldCharType="separate"/>
      </w:r>
      <w:r>
        <w:rPr>
          <w:rStyle w:val="46"/>
          <w:rFonts w:hint="eastAsia" w:ascii="宋体" w:hAnsi="宋体" w:eastAsia="宋体" w:cs="宋体"/>
          <w:color w:val="auto"/>
          <w:sz w:val="24"/>
          <w:szCs w:val="24"/>
        </w:rPr>
        <w:t>第八章评审方法</w:t>
      </w:r>
      <w:r>
        <w:rPr>
          <w:rFonts w:hint="eastAsia" w:ascii="宋体" w:hAnsi="宋体" w:eastAsia="宋体" w:cs="宋体"/>
          <w:sz w:val="24"/>
          <w:szCs w:val="24"/>
        </w:rPr>
        <w:tab/>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t>2</w:t>
      </w:r>
    </w:p>
    <w:p>
      <w:pPr>
        <w:pStyle w:val="28"/>
        <w:tabs>
          <w:tab w:val="right" w:leader="dot" w:pos="8303"/>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"_Toc41037910" </w:instrText>
      </w:r>
      <w:r>
        <w:rPr>
          <w:rFonts w:hint="eastAsia" w:ascii="宋体" w:hAnsi="宋体" w:eastAsia="宋体" w:cs="宋体"/>
          <w:sz w:val="24"/>
          <w:szCs w:val="24"/>
        </w:rPr>
        <w:fldChar w:fldCharType="separate"/>
      </w:r>
      <w:r>
        <w:rPr>
          <w:rStyle w:val="46"/>
          <w:rFonts w:hint="eastAsia" w:ascii="宋体" w:hAnsi="宋体" w:eastAsia="宋体" w:cs="宋体"/>
          <w:color w:val="auto"/>
          <w:sz w:val="24"/>
          <w:szCs w:val="24"/>
        </w:rPr>
        <w:t>第九章政府采购合同（草案）</w:t>
      </w:r>
      <w:r>
        <w:rPr>
          <w:rFonts w:hint="eastAsia" w:ascii="宋体" w:hAnsi="宋体" w:eastAsia="宋体" w:cs="宋体"/>
          <w:sz w:val="24"/>
          <w:szCs w:val="24"/>
        </w:rPr>
        <w:tab/>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t>0</w:t>
      </w:r>
    </w:p>
    <w:p>
      <w:pPr>
        <w:pStyle w:val="28"/>
        <w:tabs>
          <w:tab w:val="right" w:leader="dot" w:pos="8303"/>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"_Toc41037911" </w:instrText>
      </w:r>
      <w:r>
        <w:rPr>
          <w:rFonts w:hint="eastAsia" w:ascii="宋体" w:hAnsi="宋体" w:eastAsia="宋体" w:cs="宋体"/>
          <w:sz w:val="24"/>
          <w:szCs w:val="24"/>
        </w:rPr>
        <w:fldChar w:fldCharType="separate"/>
      </w:r>
      <w:r>
        <w:rPr>
          <w:rStyle w:val="46"/>
          <w:rFonts w:hint="eastAsia" w:ascii="宋体" w:hAnsi="宋体" w:eastAsia="宋体" w:cs="宋体"/>
          <w:color w:val="auto"/>
          <w:sz w:val="24"/>
          <w:szCs w:val="24"/>
        </w:rPr>
        <w:t>第十章工程量清单和图纸</w:t>
      </w:r>
      <w:r>
        <w:rPr>
          <w:rFonts w:hint="eastAsia" w:ascii="宋体" w:hAnsi="宋体" w:eastAsia="宋体" w:cs="宋体"/>
          <w:sz w:val="24"/>
          <w:szCs w:val="24"/>
        </w:rPr>
        <w:tab/>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t>6</w:t>
      </w:r>
    </w:p>
    <w:p>
      <w:pPr>
        <w:pStyle w:val="28"/>
        <w:tabs>
          <w:tab w:val="right" w:leader="dot" w:pos="9345"/>
        </w:tabs>
        <w:spacing w:line="360" w:lineRule="auto"/>
        <w:ind w:right="-105" w:rightChars="-50"/>
        <w:jc w:val="left"/>
        <w:rPr>
          <w:rFonts w:hint="eastAsia" w:ascii="宋体" w:hAnsi="宋体" w:eastAsia="宋体" w:cs="宋体"/>
          <w:sz w:val="24"/>
          <w:szCs w:val="24"/>
        </w:rPr>
      </w:pPr>
      <w:r>
        <w:rPr>
          <w:rStyle w:val="46"/>
          <w:rFonts w:hint="eastAsia" w:ascii="宋体" w:hAnsi="宋体" w:eastAsia="宋体" w:cs="宋体"/>
          <w:caps/>
          <w:color w:val="auto"/>
          <w:sz w:val="24"/>
          <w:szCs w:val="24"/>
        </w:rPr>
        <w:fldChar w:fldCharType="end"/>
      </w:r>
    </w:p>
    <w:p>
      <w:pPr>
        <w:widowControl/>
        <w:spacing w:line="360" w:lineRule="auto"/>
        <w:jc w:val="left"/>
        <w:rPr>
          <w:rFonts w:hint="eastAsia" w:ascii="宋体" w:hAnsi="宋体" w:eastAsia="宋体" w:cs="宋体"/>
          <w:sz w:val="24"/>
          <w:szCs w:val="24"/>
        </w:rPr>
      </w:pPr>
    </w:p>
    <w:p>
      <w:pPr>
        <w:widowControl/>
        <w:spacing w:line="360" w:lineRule="auto"/>
        <w:jc w:val="left"/>
        <w:rPr>
          <w:rFonts w:hint="eastAsia" w:ascii="宋体" w:hAnsi="宋体" w:eastAsia="宋体" w:cs="宋体"/>
          <w:sz w:val="24"/>
          <w:szCs w:val="24"/>
        </w:rPr>
      </w:pPr>
    </w:p>
    <w:p>
      <w:pPr>
        <w:bidi w:val="0"/>
        <w:rPr>
          <w:rFonts w:hint="eastAsia"/>
        </w:rPr>
      </w:pPr>
      <w:bookmarkStart w:id="3" w:name="_Toc509579140"/>
      <w:bookmarkStart w:id="4" w:name="_Toc41037902"/>
      <w:r>
        <w:rPr>
          <w:rFonts w:hint="eastAsia"/>
        </w:rPr>
        <w:br w:type="textWrapping"/>
      </w:r>
    </w:p>
    <w:p>
      <w:pPr>
        <w:pStyle w:val="37"/>
        <w:spacing w:line="360" w:lineRule="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第一章谈判邀请</w:t>
      </w:r>
      <w:bookmarkEnd w:id="3"/>
      <w:bookmarkEnd w:id="4"/>
    </w:p>
    <w:p>
      <w:pPr>
        <w:spacing w:line="360" w:lineRule="auto"/>
        <w:ind w:firstLine="720" w:firstLineChars="300"/>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lang w:val="en-US" w:eastAsia="zh-CN"/>
        </w:rPr>
        <w:t>四川哲胜招标代理有限公司</w:t>
      </w:r>
      <w:r>
        <w:rPr>
          <w:rFonts w:hint="eastAsia" w:ascii="宋体" w:hAnsi="宋体" w:eastAsia="宋体" w:cs="宋体"/>
          <w:sz w:val="24"/>
          <w:szCs w:val="24"/>
        </w:rPr>
        <w:t>受</w:t>
      </w:r>
      <w:r>
        <w:rPr>
          <w:rFonts w:hint="eastAsia" w:ascii="宋体" w:hAnsi="宋体" w:eastAsia="宋体" w:cs="宋体"/>
          <w:sz w:val="24"/>
          <w:szCs w:val="24"/>
          <w:u w:val="single"/>
          <w:lang w:val="zh-CN"/>
        </w:rPr>
        <w:t>富顺县中医医院</w:t>
      </w:r>
      <w:r>
        <w:rPr>
          <w:rFonts w:hint="eastAsia" w:ascii="宋体" w:hAnsi="宋体" w:eastAsia="宋体" w:cs="宋体"/>
          <w:sz w:val="24"/>
          <w:szCs w:val="24"/>
        </w:rPr>
        <w:t>委托，拟对</w:t>
      </w:r>
      <w:bookmarkStart w:id="5" w:name="PO_默认文件内容_1"/>
      <w:r>
        <w:rPr>
          <w:rFonts w:hint="eastAsia" w:ascii="宋体" w:hAnsi="宋体" w:eastAsia="宋体" w:cs="宋体"/>
          <w:sz w:val="24"/>
          <w:szCs w:val="24"/>
          <w:u w:val="single"/>
          <w:lang w:val="en-US" w:eastAsia="zh-CN"/>
        </w:rPr>
        <w:t>富顺县中医医院手术室、内镜中心医用气体工程项目</w:t>
      </w:r>
      <w:r>
        <w:rPr>
          <w:rFonts w:hint="eastAsia" w:ascii="宋体" w:hAnsi="宋体" w:eastAsia="宋体" w:cs="宋体"/>
          <w:sz w:val="24"/>
          <w:szCs w:val="24"/>
        </w:rPr>
        <w:t>采用竞争性谈判方式进行采购，特邀请符合本次采购要求的供应商参加本项目的竞争性谈判。</w:t>
      </w:r>
      <w:bookmarkEnd w:id="5"/>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一、采购项目基本情况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1.项目编号：SCZSZB【2023】093913</w:t>
      </w:r>
      <w:r>
        <w:rPr>
          <w:rFonts w:hint="eastAsia" w:ascii="宋体" w:hAnsi="宋体" w:eastAsia="宋体" w:cs="宋体"/>
          <w:sz w:val="24"/>
          <w:szCs w:val="24"/>
          <w:lang w:val="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2.采购项目名称：</w:t>
      </w:r>
      <w:r>
        <w:rPr>
          <w:rFonts w:hint="eastAsia" w:ascii="宋体" w:hAnsi="宋体" w:eastAsia="宋体" w:cs="宋体"/>
          <w:sz w:val="24"/>
          <w:szCs w:val="24"/>
          <w:lang w:val="en-US" w:eastAsia="zh-CN"/>
        </w:rPr>
        <w:t>富顺县中医医院手术室、内镜中心医用气体工程项目</w:t>
      </w:r>
      <w:r>
        <w:rPr>
          <w:rFonts w:hint="eastAsia" w:ascii="宋体" w:hAnsi="宋体" w:eastAsia="宋体" w:cs="宋体"/>
          <w:sz w:val="24"/>
          <w:szCs w:val="24"/>
          <w:lang w:val="zh-CN"/>
        </w:rPr>
        <w:t>。</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二、资金情况</w:t>
      </w:r>
    </w:p>
    <w:p>
      <w:pPr>
        <w:spacing w:line="360" w:lineRule="auto"/>
        <w:ind w:right="31" w:rightChars="15" w:firstLine="480" w:firstLineChars="200"/>
        <w:rPr>
          <w:rFonts w:hint="eastAsia" w:ascii="宋体" w:hAnsi="宋体" w:eastAsia="宋体" w:cs="宋体"/>
          <w:b/>
          <w:bCs/>
          <w:sz w:val="24"/>
          <w:szCs w:val="24"/>
        </w:rPr>
      </w:pPr>
      <w:r>
        <w:rPr>
          <w:rFonts w:hint="eastAsia" w:ascii="宋体" w:hAnsi="宋体" w:eastAsia="宋体" w:cs="宋体"/>
          <w:sz w:val="24"/>
          <w:szCs w:val="24"/>
        </w:rPr>
        <w:t>资金来源：</w:t>
      </w:r>
      <w:bookmarkStart w:id="6" w:name="PO_资金性质_1"/>
      <w:r>
        <w:rPr>
          <w:rFonts w:hint="eastAsia" w:ascii="宋体" w:hAnsi="宋体" w:eastAsia="宋体" w:cs="宋体"/>
          <w:sz w:val="24"/>
          <w:szCs w:val="24"/>
        </w:rPr>
        <w:t>自筹资金,已落实</w:t>
      </w:r>
      <w:r>
        <w:rPr>
          <w:rFonts w:hint="eastAsia" w:ascii="宋体" w:hAnsi="宋体" w:eastAsia="宋体" w:cs="宋体"/>
          <w:sz w:val="24"/>
          <w:szCs w:val="24"/>
          <w:lang w:val="zh-CN"/>
        </w:rPr>
        <w:t>。</w:t>
      </w:r>
      <w:bookmarkEnd w:id="6"/>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三、采购项目简介：</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spacing w:val="-4"/>
          <w:sz w:val="24"/>
          <w:szCs w:val="24"/>
        </w:rPr>
      </w:pPr>
      <w:bookmarkStart w:id="7" w:name="PO_默认文件内容_2"/>
      <w:r>
        <w:rPr>
          <w:rFonts w:hint="eastAsia" w:ascii="宋体" w:hAnsi="宋体" w:eastAsia="宋体" w:cs="宋体"/>
          <w:spacing w:val="-4"/>
          <w:sz w:val="24"/>
          <w:szCs w:val="24"/>
        </w:rPr>
        <w:t>本项目为</w:t>
      </w:r>
      <w:r>
        <w:rPr>
          <w:rFonts w:hint="eastAsia" w:ascii="宋体" w:hAnsi="宋体" w:eastAsia="宋体" w:cs="宋体"/>
          <w:spacing w:val="-4"/>
          <w:sz w:val="24"/>
          <w:szCs w:val="24"/>
          <w:lang w:val="zh-CN"/>
        </w:rPr>
        <w:t>富顺县中医医院手术室、内镜中心医用气体工程</w:t>
      </w:r>
      <w:r>
        <w:rPr>
          <w:rFonts w:hint="eastAsia" w:ascii="宋体" w:hAnsi="宋体" w:eastAsia="宋体" w:cs="宋体"/>
          <w:spacing w:val="-4"/>
          <w:sz w:val="24"/>
          <w:szCs w:val="24"/>
        </w:rPr>
        <w:t>，主要内容为定手术复苏室、内镜中心安装设备带等。</w:t>
      </w:r>
      <w:bookmarkEnd w:id="7"/>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详见谈判文件第五章。</w:t>
      </w:r>
    </w:p>
    <w:p>
      <w:pPr>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rPr>
          <w:rFonts w:hint="eastAsia" w:ascii="宋体" w:hAnsi="宋体" w:eastAsia="宋体" w:cs="宋体"/>
          <w:b/>
          <w:bCs/>
          <w:spacing w:val="-4"/>
          <w:sz w:val="24"/>
          <w:szCs w:val="24"/>
        </w:rPr>
      </w:pPr>
      <w:r>
        <w:rPr>
          <w:rFonts w:hint="eastAsia" w:ascii="宋体" w:hAnsi="宋体" w:eastAsia="宋体" w:cs="宋体"/>
          <w:b/>
          <w:bCs/>
          <w:spacing w:val="-4"/>
          <w:sz w:val="24"/>
          <w:szCs w:val="24"/>
        </w:rPr>
        <w:t>四、定向采购情况</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sz w:val="24"/>
          <w:szCs w:val="24"/>
        </w:rPr>
      </w:pPr>
      <w:r>
        <w:rPr>
          <w:rFonts w:hint="eastAsia" w:ascii="宋体" w:hAnsi="宋体" w:eastAsia="宋体" w:cs="宋体"/>
          <w:spacing w:val="-4"/>
          <w:sz w:val="24"/>
          <w:szCs w:val="24"/>
        </w:rPr>
        <w:t>本项目专门面向中小企业采购。</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五、邀请供应商</w:t>
      </w:r>
    </w:p>
    <w:p>
      <w:pPr>
        <w:spacing w:after="120" w:line="360" w:lineRule="auto"/>
        <w:ind w:firstLine="480" w:firstLineChars="200"/>
        <w:rPr>
          <w:rFonts w:hint="eastAsia" w:ascii="宋体" w:hAnsi="宋体" w:eastAsia="宋体" w:cs="宋体"/>
          <w:sz w:val="24"/>
          <w:szCs w:val="24"/>
        </w:rPr>
      </w:pPr>
      <w:bookmarkStart w:id="8" w:name="PO_默认文件内容_3"/>
      <w:r>
        <w:rPr>
          <w:rFonts w:hint="eastAsia" w:ascii="宋体" w:hAnsi="宋体" w:eastAsia="宋体" w:cs="宋体"/>
          <w:sz w:val="24"/>
          <w:szCs w:val="24"/>
        </w:rPr>
        <w:t>本次竞争性谈判在</w:t>
      </w:r>
      <w:r>
        <w:rPr>
          <w:rFonts w:hint="eastAsia" w:ascii="宋体" w:hAnsi="宋体" w:cs="宋体"/>
          <w:sz w:val="24"/>
          <w:szCs w:val="24"/>
          <w:lang w:eastAsia="zh-CN"/>
        </w:rPr>
        <w:t>中国政府采购网（http://www.ccgp.gov.cn/）</w:t>
      </w:r>
      <w:r>
        <w:rPr>
          <w:rFonts w:hint="eastAsia" w:ascii="宋体" w:hAnsi="宋体" w:eastAsia="宋体" w:cs="宋体"/>
          <w:sz w:val="24"/>
          <w:szCs w:val="24"/>
        </w:rPr>
        <w:t>上以公告形式发布。</w:t>
      </w:r>
    </w:p>
    <w:bookmarkEnd w:id="8"/>
    <w:p>
      <w:pPr>
        <w:spacing w:after="12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六、供应商参加本次政府采购活动应具备下列条件</w:t>
      </w:r>
    </w:p>
    <w:p>
      <w:pPr>
        <w:pStyle w:val="72"/>
        <w:spacing w:line="360" w:lineRule="auto"/>
        <w:ind w:firstLine="600" w:firstLineChars="250"/>
        <w:rPr>
          <w:rFonts w:hint="eastAsia" w:ascii="宋体" w:hAnsi="宋体" w:cs="宋体"/>
          <w:sz w:val="24"/>
          <w:szCs w:val="24"/>
          <w:lang w:val="en-US" w:eastAsia="zh-CN"/>
        </w:rPr>
      </w:pPr>
      <w:r>
        <w:rPr>
          <w:rFonts w:hint="eastAsia" w:ascii="宋体" w:hAnsi="宋体" w:cs="宋体"/>
          <w:sz w:val="24"/>
          <w:szCs w:val="24"/>
          <w:lang w:val="en-US" w:eastAsia="zh-CN"/>
        </w:rPr>
        <w:t>1、具有独立承担民事责任的能力；</w:t>
      </w:r>
    </w:p>
    <w:p>
      <w:pPr>
        <w:pStyle w:val="72"/>
        <w:spacing w:line="360" w:lineRule="auto"/>
        <w:ind w:firstLine="600" w:firstLineChars="250"/>
        <w:rPr>
          <w:rFonts w:hint="eastAsia" w:ascii="宋体" w:hAnsi="宋体" w:cs="宋体"/>
          <w:sz w:val="24"/>
          <w:szCs w:val="24"/>
          <w:lang w:val="en-US" w:eastAsia="zh-CN"/>
        </w:rPr>
      </w:pPr>
      <w:r>
        <w:rPr>
          <w:rFonts w:hint="eastAsia" w:ascii="宋体" w:hAnsi="宋体" w:cs="宋体"/>
          <w:sz w:val="24"/>
          <w:szCs w:val="24"/>
          <w:lang w:val="en-US" w:eastAsia="zh-CN"/>
        </w:rPr>
        <w:t>2、具有良好的商业信誉和健全的财务会计制度；</w:t>
      </w:r>
    </w:p>
    <w:p>
      <w:pPr>
        <w:pStyle w:val="72"/>
        <w:spacing w:line="360" w:lineRule="auto"/>
        <w:ind w:firstLine="600" w:firstLineChars="250"/>
        <w:rPr>
          <w:rFonts w:hint="eastAsia" w:ascii="宋体" w:hAnsi="宋体" w:cs="宋体"/>
          <w:sz w:val="24"/>
          <w:szCs w:val="24"/>
          <w:lang w:val="en-US" w:eastAsia="zh-CN"/>
        </w:rPr>
      </w:pPr>
      <w:r>
        <w:rPr>
          <w:rFonts w:hint="eastAsia" w:ascii="宋体" w:hAnsi="宋体" w:cs="宋体"/>
          <w:sz w:val="24"/>
          <w:szCs w:val="24"/>
          <w:lang w:val="en-US" w:eastAsia="zh-CN"/>
        </w:rPr>
        <w:t>3、具有履行合同所必须的设备和专业技术能力；</w:t>
      </w:r>
    </w:p>
    <w:p>
      <w:pPr>
        <w:pStyle w:val="72"/>
        <w:spacing w:line="360" w:lineRule="auto"/>
        <w:ind w:firstLine="600" w:firstLineChars="250"/>
        <w:rPr>
          <w:rFonts w:hint="eastAsia" w:ascii="宋体" w:hAnsi="宋体" w:cs="宋体"/>
          <w:sz w:val="24"/>
          <w:szCs w:val="24"/>
          <w:lang w:val="en-US" w:eastAsia="zh-CN"/>
        </w:rPr>
      </w:pPr>
      <w:r>
        <w:rPr>
          <w:rFonts w:hint="eastAsia" w:ascii="宋体" w:hAnsi="宋体" w:cs="宋体"/>
          <w:sz w:val="24"/>
          <w:szCs w:val="24"/>
          <w:lang w:val="en-US" w:eastAsia="zh-CN"/>
        </w:rPr>
        <w:t>4、具有依法缴纳税收和社会保障资金的良好记录；</w:t>
      </w:r>
    </w:p>
    <w:p>
      <w:pPr>
        <w:pStyle w:val="72"/>
        <w:spacing w:line="360" w:lineRule="auto"/>
        <w:ind w:firstLine="600" w:firstLineChars="250"/>
        <w:rPr>
          <w:rFonts w:hint="eastAsia" w:ascii="宋体" w:hAnsi="宋体" w:cs="宋体"/>
          <w:sz w:val="24"/>
          <w:szCs w:val="24"/>
          <w:lang w:val="en-US" w:eastAsia="zh-CN"/>
        </w:rPr>
      </w:pPr>
      <w:r>
        <w:rPr>
          <w:rFonts w:hint="eastAsia" w:ascii="宋体" w:hAnsi="宋体" w:cs="宋体"/>
          <w:sz w:val="24"/>
          <w:szCs w:val="24"/>
          <w:lang w:val="en-US" w:eastAsia="zh-CN"/>
        </w:rPr>
        <w:t>5、参加本次采购活动前三年内，在经营活动中没有重大违法记录；</w:t>
      </w:r>
    </w:p>
    <w:p>
      <w:pPr>
        <w:pStyle w:val="72"/>
        <w:spacing w:line="360" w:lineRule="auto"/>
        <w:ind w:firstLine="600" w:firstLineChars="250"/>
        <w:rPr>
          <w:rFonts w:hint="eastAsia" w:ascii="宋体" w:hAnsi="宋体" w:cs="宋体"/>
          <w:sz w:val="24"/>
          <w:szCs w:val="24"/>
          <w:lang w:val="en-US" w:eastAsia="zh-CN"/>
        </w:rPr>
      </w:pPr>
      <w:r>
        <w:rPr>
          <w:rFonts w:hint="eastAsia" w:ascii="宋体" w:hAnsi="宋体" w:cs="宋体"/>
          <w:sz w:val="24"/>
          <w:szCs w:val="24"/>
          <w:lang w:val="en-US" w:eastAsia="zh-CN"/>
        </w:rPr>
        <w:t>6、法律、行政法规规定的其他条件；</w:t>
      </w:r>
    </w:p>
    <w:p>
      <w:pPr>
        <w:pStyle w:val="72"/>
        <w:spacing w:line="360" w:lineRule="auto"/>
        <w:ind w:firstLine="600" w:firstLineChars="250"/>
        <w:rPr>
          <w:rFonts w:hint="eastAsia" w:ascii="宋体" w:hAnsi="宋体" w:cs="宋体"/>
          <w:sz w:val="24"/>
          <w:szCs w:val="24"/>
          <w:lang w:val="en-US" w:eastAsia="zh-CN"/>
        </w:rPr>
      </w:pPr>
      <w:r>
        <w:rPr>
          <w:rFonts w:hint="eastAsia" w:ascii="宋体" w:hAnsi="宋体" w:cs="宋体"/>
          <w:sz w:val="24"/>
          <w:szCs w:val="24"/>
          <w:lang w:val="en-US" w:eastAsia="zh-CN"/>
        </w:rPr>
        <w:t>7、根据采购项目提出的特殊条件：</w:t>
      </w:r>
    </w:p>
    <w:p>
      <w:pPr>
        <w:pStyle w:val="72"/>
        <w:spacing w:line="360" w:lineRule="auto"/>
        <w:ind w:firstLine="600" w:firstLineChars="250"/>
        <w:rPr>
          <w:rFonts w:hint="eastAsia" w:ascii="宋体" w:hAnsi="宋体" w:cs="宋体"/>
          <w:sz w:val="24"/>
          <w:szCs w:val="24"/>
          <w:lang w:val="en-US" w:eastAsia="zh-CN"/>
        </w:rPr>
      </w:pPr>
      <w:r>
        <w:rPr>
          <w:rFonts w:hint="eastAsia" w:ascii="宋体" w:hAnsi="宋体" w:cs="宋体"/>
          <w:sz w:val="24"/>
          <w:szCs w:val="24"/>
          <w:lang w:val="en-US" w:eastAsia="zh-CN"/>
        </w:rPr>
        <w:t>7.1、供应商须承诺供应商及其现任法定代表人或主要负责人无行贿犯罪记录；</w:t>
      </w:r>
    </w:p>
    <w:p>
      <w:pPr>
        <w:pStyle w:val="72"/>
        <w:spacing w:line="360" w:lineRule="auto"/>
        <w:ind w:firstLine="600" w:firstLineChars="250"/>
        <w:rPr>
          <w:rFonts w:hint="eastAsia" w:ascii="宋体" w:hAnsi="宋体" w:cs="宋体"/>
          <w:sz w:val="24"/>
          <w:szCs w:val="24"/>
          <w:lang w:val="en-US" w:eastAsia="zh-CN"/>
        </w:rPr>
      </w:pPr>
      <w:r>
        <w:rPr>
          <w:rFonts w:hint="eastAsia" w:ascii="宋体" w:hAnsi="宋体" w:cs="宋体"/>
          <w:sz w:val="24"/>
          <w:szCs w:val="24"/>
          <w:lang w:val="en-US" w:eastAsia="zh-CN"/>
        </w:rPr>
        <w:t>7.2、供应商具有国家建设行政主管部门颁发的建筑机电安装工程专业承包二级及以上资质；</w:t>
      </w:r>
    </w:p>
    <w:p>
      <w:pPr>
        <w:pStyle w:val="72"/>
        <w:spacing w:line="360" w:lineRule="auto"/>
        <w:ind w:firstLine="600" w:firstLineChars="250"/>
        <w:rPr>
          <w:rFonts w:hint="eastAsia" w:ascii="宋体" w:hAnsi="宋体" w:cs="宋体"/>
          <w:sz w:val="24"/>
          <w:szCs w:val="24"/>
          <w:lang w:val="en-US" w:eastAsia="zh-CN"/>
        </w:rPr>
      </w:pPr>
      <w:r>
        <w:rPr>
          <w:rFonts w:hint="eastAsia" w:ascii="宋体" w:hAnsi="宋体" w:cs="宋体"/>
          <w:sz w:val="24"/>
          <w:szCs w:val="24"/>
          <w:lang w:val="en-US" w:eastAsia="zh-CN"/>
        </w:rPr>
        <w:t>7.3、具有中华人民共和国特种设备安装改造维修许可证（压力管道安装GC2级及以上资质）或特种设备生产许可证（工业管道安装GC2级及以上）</w:t>
      </w:r>
    </w:p>
    <w:p>
      <w:pPr>
        <w:pStyle w:val="72"/>
        <w:spacing w:line="360" w:lineRule="auto"/>
        <w:ind w:firstLine="600" w:firstLineChars="250"/>
        <w:rPr>
          <w:rFonts w:hint="eastAsia" w:ascii="宋体" w:hAnsi="宋体" w:cs="宋体"/>
          <w:sz w:val="24"/>
          <w:szCs w:val="24"/>
          <w:lang w:val="en-US" w:eastAsia="zh-CN"/>
        </w:rPr>
      </w:pPr>
      <w:r>
        <w:rPr>
          <w:rFonts w:hint="eastAsia" w:ascii="宋体" w:hAnsi="宋体" w:cs="宋体"/>
          <w:sz w:val="24"/>
          <w:szCs w:val="24"/>
          <w:lang w:val="en-US" w:eastAsia="zh-CN"/>
        </w:rPr>
        <w:t>7.4、具有医疗器械产品注册证（医用中心供氧系统、医用中心吸引系统、医用真空负压机、医用空气压缩机）</w:t>
      </w:r>
    </w:p>
    <w:p>
      <w:pPr>
        <w:pStyle w:val="72"/>
        <w:spacing w:line="360" w:lineRule="auto"/>
        <w:ind w:firstLine="600" w:firstLineChars="250"/>
        <w:rPr>
          <w:rFonts w:hint="eastAsia" w:ascii="宋体" w:hAnsi="宋体" w:cs="宋体"/>
          <w:sz w:val="24"/>
          <w:szCs w:val="24"/>
          <w:lang w:val="en-US" w:eastAsia="zh-CN"/>
        </w:rPr>
      </w:pPr>
      <w:r>
        <w:rPr>
          <w:rFonts w:hint="eastAsia" w:ascii="宋体" w:hAnsi="宋体" w:cs="宋体"/>
          <w:sz w:val="24"/>
          <w:szCs w:val="24"/>
          <w:lang w:val="en-US" w:eastAsia="zh-CN"/>
        </w:rPr>
        <w:t>7.5、供应商具有有效的安全生产许可证；</w:t>
      </w:r>
    </w:p>
    <w:p>
      <w:pPr>
        <w:pStyle w:val="72"/>
        <w:spacing w:line="360" w:lineRule="auto"/>
        <w:ind w:firstLine="600" w:firstLineChars="250"/>
        <w:rPr>
          <w:rFonts w:hint="eastAsia" w:ascii="宋体" w:hAnsi="宋体" w:cs="宋体"/>
          <w:sz w:val="24"/>
          <w:szCs w:val="24"/>
          <w:lang w:val="en-US" w:eastAsia="zh-CN"/>
        </w:rPr>
      </w:pPr>
      <w:r>
        <w:rPr>
          <w:rFonts w:hint="eastAsia" w:ascii="宋体" w:hAnsi="宋体" w:cs="宋体"/>
          <w:sz w:val="24"/>
          <w:szCs w:val="24"/>
          <w:lang w:val="en-US" w:eastAsia="zh-CN"/>
        </w:rPr>
        <w:t>8、本项目不允许联合体参与采购活动。</w:t>
      </w:r>
    </w:p>
    <w:p>
      <w:pPr>
        <w:pStyle w:val="72"/>
        <w:spacing w:line="360" w:lineRule="auto"/>
        <w:ind w:firstLine="600" w:firstLineChars="250"/>
        <w:rPr>
          <w:rFonts w:hint="eastAsia" w:ascii="宋体" w:hAnsi="宋体" w:cs="宋体"/>
          <w:sz w:val="24"/>
          <w:szCs w:val="24"/>
          <w:lang w:val="en-US" w:eastAsia="zh-CN"/>
        </w:rPr>
      </w:pPr>
      <w:r>
        <w:rPr>
          <w:rFonts w:hint="eastAsia" w:ascii="宋体" w:hAnsi="宋体" w:cs="宋体"/>
          <w:sz w:val="24"/>
          <w:szCs w:val="24"/>
          <w:lang w:val="en-US" w:eastAsia="zh-CN"/>
        </w:rPr>
        <w:t>9、落实采购政策需满足的资格要求：</w:t>
      </w:r>
    </w:p>
    <w:p>
      <w:pPr>
        <w:pStyle w:val="72"/>
        <w:spacing w:line="360" w:lineRule="auto"/>
        <w:ind w:firstLine="600" w:firstLineChars="250"/>
        <w:rPr>
          <w:rFonts w:hint="eastAsia" w:ascii="宋体" w:hAnsi="宋体" w:cs="宋体"/>
          <w:sz w:val="24"/>
          <w:szCs w:val="24"/>
          <w:lang w:val="en-US" w:eastAsia="zh-CN"/>
        </w:rPr>
      </w:pPr>
      <w:r>
        <w:rPr>
          <w:rFonts w:hint="eastAsia" w:ascii="宋体" w:hAnsi="宋体" w:cs="宋体"/>
          <w:sz w:val="24"/>
          <w:szCs w:val="24"/>
          <w:lang w:val="en-US" w:eastAsia="zh-CN"/>
        </w:rPr>
        <w:t>本项目为专门面向中小企业采购项目（注:监狱企业、残疾人福利性单位视同小型、微型企业）。</w:t>
      </w:r>
      <w:bookmarkStart w:id="684" w:name="_GoBack"/>
      <w:bookmarkEnd w:id="684"/>
    </w:p>
    <w:p>
      <w:pPr>
        <w:pStyle w:val="72"/>
        <w:spacing w:line="360" w:lineRule="auto"/>
        <w:ind w:firstLine="600" w:firstLineChars="250"/>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.按照规定获取了谈判文件。</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七、禁止参加本次采购活动的供应商</w:t>
      </w:r>
    </w:p>
    <w:p>
      <w:pPr>
        <w:spacing w:line="360" w:lineRule="auto"/>
        <w:ind w:firstLine="480" w:firstLineChars="200"/>
        <w:rPr>
          <w:rFonts w:hint="eastAsia" w:ascii="宋体" w:hAnsi="宋体" w:eastAsia="宋体" w:cs="宋体"/>
          <w:sz w:val="24"/>
          <w:szCs w:val="24"/>
        </w:rPr>
      </w:pPr>
      <w:bookmarkStart w:id="9" w:name="PO_默认文件内容_4"/>
      <w:r>
        <w:rPr>
          <w:rFonts w:hint="eastAsia" w:ascii="宋体" w:hAnsi="宋体" w:eastAsia="宋体" w:cs="宋体"/>
          <w:sz w:val="24"/>
          <w:szCs w:val="24"/>
        </w:rPr>
        <w:t>根据《关于在政府采购活动中查询及使用信用记录有关问题的通知》（财库〔2016〕125号）的要求，采购人/采购代理机构将通过“信用中国”网站（www.creditchina.gov.cn）、“中国政府采购网”网站（www.ccgp.gov.cn）等渠道查询供应商的信用记录并保存信用记录结果网页截图，拒绝列入失信被执行人名单、重大税收违法案件当事人名单、政府采购严重违法失信行为记录名单中的供应商参加本项目的采购活动（以联合体形式参加本项目采购活动，联合体成员存在不良信用记录的，视同联合体存在不良信用记录）。</w:t>
      </w:r>
    </w:p>
    <w:bookmarkEnd w:id="9"/>
    <w:p>
      <w:pPr>
        <w:numPr>
          <w:ilvl w:val="0"/>
          <w:numId w:val="1"/>
        </w:numPr>
        <w:spacing w:after="12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采购文件获取方式、时间、地点：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凡有意参加</w:t>
      </w:r>
      <w:r>
        <w:rPr>
          <w:rFonts w:hint="eastAsia" w:ascii="宋体" w:hAnsi="宋体" w:eastAsia="宋体" w:cs="宋体"/>
          <w:b w:val="0"/>
          <w:bCs w:val="0"/>
          <w:sz w:val="24"/>
          <w:szCs w:val="24"/>
          <w:lang w:val="en-US" w:eastAsia="zh-CN"/>
        </w:rPr>
        <w:t>的供应商</w:t>
      </w:r>
      <w:r>
        <w:rPr>
          <w:rFonts w:hint="eastAsia" w:ascii="宋体" w:hAnsi="宋体" w:eastAsia="宋体" w:cs="宋体"/>
          <w:b w:val="0"/>
          <w:bCs w:val="0"/>
          <w:sz w:val="24"/>
          <w:szCs w:val="24"/>
          <w:lang w:val="zh-CN"/>
        </w:rPr>
        <w:t>，请于20</w:t>
      </w: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val="zh-CN"/>
        </w:rPr>
        <w:t>年</w:t>
      </w:r>
      <w:r>
        <w:rPr>
          <w:rFonts w:hint="eastAsia" w:ascii="宋体" w:hAnsi="宋体" w:cs="宋体"/>
          <w:b w:val="0"/>
          <w:bCs w:val="0"/>
          <w:sz w:val="24"/>
          <w:szCs w:val="24"/>
          <w:lang w:val="en-US" w:eastAsia="zh-CN"/>
        </w:rPr>
        <w:t>09</w:t>
      </w:r>
      <w:r>
        <w:rPr>
          <w:rFonts w:hint="eastAsia" w:ascii="宋体" w:hAnsi="宋体" w:eastAsia="宋体" w:cs="宋体"/>
          <w:b w:val="0"/>
          <w:bCs w:val="0"/>
          <w:sz w:val="24"/>
          <w:szCs w:val="24"/>
          <w:lang w:val="zh-CN"/>
        </w:rPr>
        <w:t>月</w:t>
      </w:r>
      <w:r>
        <w:rPr>
          <w:rFonts w:hint="eastAsia" w:ascii="宋体" w:hAnsi="宋体" w:cs="宋体"/>
          <w:b w:val="0"/>
          <w:bCs w:val="0"/>
          <w:sz w:val="24"/>
          <w:szCs w:val="24"/>
          <w:lang w:val="en-US" w:eastAsia="zh-CN"/>
        </w:rPr>
        <w:t>16</w:t>
      </w:r>
      <w:r>
        <w:rPr>
          <w:rFonts w:hint="eastAsia" w:ascii="宋体" w:hAnsi="宋体" w:eastAsia="宋体" w:cs="宋体"/>
          <w:b w:val="0"/>
          <w:bCs w:val="0"/>
          <w:sz w:val="24"/>
          <w:szCs w:val="24"/>
          <w:lang w:val="zh-CN"/>
        </w:rPr>
        <w:t>日至20</w:t>
      </w: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val="zh-CN"/>
        </w:rPr>
        <w:t>年</w:t>
      </w:r>
      <w:r>
        <w:rPr>
          <w:rFonts w:hint="eastAsia" w:ascii="宋体" w:hAnsi="宋体" w:cs="宋体"/>
          <w:b w:val="0"/>
          <w:bCs w:val="0"/>
          <w:sz w:val="24"/>
          <w:szCs w:val="24"/>
          <w:lang w:val="en-US" w:eastAsia="zh-CN"/>
        </w:rPr>
        <w:t>09</w:t>
      </w:r>
      <w:r>
        <w:rPr>
          <w:rFonts w:hint="eastAsia" w:ascii="宋体" w:hAnsi="宋体" w:eastAsia="宋体" w:cs="宋体"/>
          <w:b w:val="0"/>
          <w:bCs w:val="0"/>
          <w:sz w:val="24"/>
          <w:szCs w:val="24"/>
          <w:lang w:val="zh-CN"/>
        </w:rPr>
        <w:t>月</w:t>
      </w:r>
      <w:r>
        <w:rPr>
          <w:rFonts w:hint="eastAsia" w:ascii="宋体" w:hAnsi="宋体" w:cs="宋体"/>
          <w:b w:val="0"/>
          <w:bCs w:val="0"/>
          <w:sz w:val="24"/>
          <w:szCs w:val="24"/>
          <w:lang w:val="en-US" w:eastAsia="zh-CN"/>
        </w:rPr>
        <w:t>20</w:t>
      </w:r>
      <w:r>
        <w:rPr>
          <w:rFonts w:hint="eastAsia" w:ascii="宋体" w:hAnsi="宋体" w:eastAsia="宋体" w:cs="宋体"/>
          <w:b w:val="0"/>
          <w:bCs w:val="0"/>
          <w:sz w:val="24"/>
          <w:szCs w:val="24"/>
          <w:lang w:val="zh-CN"/>
        </w:rPr>
        <w:t>日</w:t>
      </w:r>
      <w:r>
        <w:rPr>
          <w:rFonts w:hint="eastAsia" w:ascii="宋体" w:hAnsi="宋体" w:cs="宋体"/>
          <w:b w:val="0"/>
          <w:bCs w:val="0"/>
          <w:sz w:val="24"/>
          <w:szCs w:val="24"/>
          <w:lang w:val="en-US" w:eastAsia="zh-CN"/>
        </w:rPr>
        <w:t>8</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30</w:t>
      </w:r>
      <w:r>
        <w:rPr>
          <w:rFonts w:hint="eastAsia" w:ascii="宋体" w:hAnsi="宋体" w:eastAsia="宋体" w:cs="宋体"/>
          <w:b w:val="0"/>
          <w:bCs w:val="0"/>
          <w:sz w:val="24"/>
          <w:szCs w:val="24"/>
        </w:rPr>
        <w:t>-17</w:t>
      </w:r>
      <w:r>
        <w:rPr>
          <w:rFonts w:hint="eastAsia" w:ascii="宋体" w:hAnsi="宋体" w:eastAsia="宋体" w:cs="宋体"/>
          <w:b w:val="0"/>
          <w:bCs w:val="0"/>
          <w:sz w:val="24"/>
          <w:szCs w:val="24"/>
          <w:lang w:val="zh-CN"/>
        </w:rPr>
        <w:t>:30（北京时间，法定节假日除外）</w:t>
      </w:r>
      <w:r>
        <w:rPr>
          <w:rFonts w:hint="eastAsia" w:ascii="宋体" w:hAnsi="宋体" w:eastAsia="宋体" w:cs="宋体"/>
          <w:b w:val="0"/>
          <w:bCs w:val="0"/>
          <w:sz w:val="24"/>
          <w:szCs w:val="24"/>
          <w:lang w:val="en-US" w:eastAsia="zh-CN"/>
        </w:rPr>
        <w:t>将报名资料扫描件上传至</w:t>
      </w:r>
      <w:r>
        <w:rPr>
          <w:rFonts w:hint="eastAsia" w:ascii="宋体" w:hAnsi="宋体" w:eastAsia="宋体" w:cs="宋体"/>
          <w:b w:val="0"/>
          <w:bCs w:val="0"/>
          <w:sz w:val="24"/>
          <w:szCs w:val="24"/>
          <w:lang w:val="en-US"/>
        </w:rPr>
        <w:t>399521439</w:t>
      </w:r>
      <w:r>
        <w:rPr>
          <w:rFonts w:hint="eastAsia" w:ascii="宋体" w:hAnsi="宋体" w:eastAsia="宋体" w:cs="宋体"/>
          <w:b w:val="0"/>
          <w:bCs w:val="0"/>
          <w:sz w:val="24"/>
          <w:szCs w:val="24"/>
          <w:lang w:val="zh-CN"/>
        </w:rPr>
        <w:t>@qq.com邮箱进行报名。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本项目谈判文件</w:t>
      </w:r>
      <w:r>
        <w:rPr>
          <w:rFonts w:hint="eastAsia" w:ascii="宋体" w:hAnsi="宋体" w:eastAsia="宋体" w:cs="宋体"/>
          <w:b w:val="0"/>
          <w:bCs w:val="0"/>
          <w:sz w:val="24"/>
          <w:szCs w:val="24"/>
          <w:lang w:val="en-US" w:eastAsia="zh-CN"/>
        </w:rPr>
        <w:t>无偿</w:t>
      </w:r>
      <w:r>
        <w:rPr>
          <w:rFonts w:hint="eastAsia" w:ascii="宋体" w:hAnsi="宋体" w:eastAsia="宋体" w:cs="宋体"/>
          <w:b w:val="0"/>
          <w:bCs w:val="0"/>
          <w:sz w:val="24"/>
          <w:szCs w:val="24"/>
          <w:lang w:val="zh-CN"/>
        </w:rPr>
        <w:t>获取（谈判资格不能转让）。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en-US" w:eastAsia="zh-CN"/>
        </w:rPr>
        <w:t>获取</w:t>
      </w:r>
      <w:r>
        <w:rPr>
          <w:rFonts w:hint="eastAsia" w:ascii="宋体" w:hAnsi="宋体" w:eastAsia="宋体" w:cs="宋体"/>
          <w:b w:val="0"/>
          <w:bCs w:val="0"/>
          <w:sz w:val="24"/>
          <w:szCs w:val="24"/>
          <w:lang w:val="zh-CN"/>
        </w:rPr>
        <w:t>谈判文件时，经办人员须</w:t>
      </w:r>
      <w:r>
        <w:rPr>
          <w:rFonts w:hint="eastAsia" w:ascii="宋体" w:hAnsi="宋体" w:eastAsia="宋体" w:cs="宋体"/>
          <w:b w:val="0"/>
          <w:bCs w:val="0"/>
          <w:sz w:val="24"/>
          <w:szCs w:val="24"/>
          <w:lang w:val="en-US" w:eastAsia="zh-CN"/>
        </w:rPr>
        <w:t>提供扫描件</w:t>
      </w:r>
      <w:r>
        <w:rPr>
          <w:rFonts w:hint="eastAsia" w:ascii="宋体" w:hAnsi="宋体" w:eastAsia="宋体" w:cs="宋体"/>
          <w:b w:val="0"/>
          <w:bCs w:val="0"/>
          <w:sz w:val="24"/>
          <w:szCs w:val="24"/>
          <w:lang w:val="zh-CN"/>
        </w:rPr>
        <w:t>：单位开具的介绍信（含有单位名称、介绍信用途、经办人姓名、</w:t>
      </w:r>
      <w:r>
        <w:rPr>
          <w:rFonts w:hint="eastAsia" w:ascii="宋体" w:hAnsi="宋体" w:eastAsia="宋体" w:cs="宋体"/>
          <w:b w:val="0"/>
          <w:bCs w:val="0"/>
          <w:sz w:val="24"/>
          <w:szCs w:val="24"/>
          <w:lang w:val="en-US" w:eastAsia="zh-CN"/>
        </w:rPr>
        <w:t>联系电话、邮箱等信息</w:t>
      </w:r>
      <w:r>
        <w:rPr>
          <w:rFonts w:hint="eastAsia" w:ascii="宋体" w:hAnsi="宋体" w:eastAsia="宋体" w:cs="宋体"/>
          <w:b w:val="0"/>
          <w:bCs w:val="0"/>
          <w:sz w:val="24"/>
          <w:szCs w:val="24"/>
          <w:lang w:val="zh-CN"/>
        </w:rPr>
        <w:t>）、单位营业执照副本复印件、经办人身份证复印件，并对其加盖公司公章。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供应商获取采购文件时须如实认真填写项目信息及供应商信息；若因供应商提供的错误信息，对其参与采购事宜造成影响的，由供应商自行承担所有责任。</w:t>
      </w:r>
    </w:p>
    <w:p>
      <w:pPr>
        <w:spacing w:after="120" w:line="360" w:lineRule="auto"/>
        <w:ind w:firstLine="482" w:firstLineChars="200"/>
        <w:rPr>
          <w:rFonts w:hint="eastAsia" w:ascii="宋体" w:hAnsi="宋体" w:eastAsia="宋体" w:cs="宋体"/>
          <w:sz w:val="24"/>
          <w:szCs w:val="24"/>
        </w:rPr>
      </w:pPr>
      <w:r>
        <w:rPr>
          <w:rFonts w:hint="eastAsia" w:ascii="宋体" w:hAnsi="宋体" w:cs="宋体"/>
          <w:b/>
          <w:bCs/>
          <w:sz w:val="24"/>
          <w:szCs w:val="24"/>
          <w:lang w:val="en-US" w:eastAsia="zh-CN"/>
        </w:rPr>
        <w:t>九</w:t>
      </w:r>
      <w:r>
        <w:rPr>
          <w:rFonts w:hint="eastAsia" w:ascii="宋体" w:hAnsi="宋体" w:eastAsia="宋体" w:cs="宋体"/>
          <w:b/>
          <w:bCs/>
          <w:sz w:val="24"/>
          <w:szCs w:val="24"/>
        </w:rPr>
        <w:t>、递交响应文件</w:t>
      </w:r>
      <w:r>
        <w:rPr>
          <w:rFonts w:hint="eastAsia" w:ascii="宋体" w:hAnsi="宋体" w:cs="宋体"/>
          <w:b/>
          <w:bCs/>
          <w:sz w:val="24"/>
          <w:szCs w:val="24"/>
          <w:lang w:val="en-US" w:eastAsia="zh-CN"/>
        </w:rPr>
        <w:t>时间</w:t>
      </w:r>
      <w:r>
        <w:rPr>
          <w:rFonts w:hint="eastAsia" w:ascii="宋体" w:hAnsi="宋体" w:eastAsia="宋体" w:cs="宋体"/>
          <w:b/>
          <w:bCs/>
          <w:sz w:val="24"/>
          <w:szCs w:val="24"/>
        </w:rPr>
        <w:t>：</w:t>
      </w:r>
      <w:r>
        <w:rPr>
          <w:rFonts w:hint="eastAsia" w:ascii="宋体" w:hAnsi="宋体" w:eastAsia="宋体" w:cs="宋体"/>
          <w:color w:val="0000FF"/>
          <w:sz w:val="24"/>
          <w:szCs w:val="24"/>
        </w:rPr>
        <w:t>2023年</w:t>
      </w:r>
      <w:r>
        <w:rPr>
          <w:rFonts w:hint="eastAsia" w:ascii="宋体" w:hAnsi="宋体" w:cs="宋体"/>
          <w:color w:val="0000FF"/>
          <w:sz w:val="24"/>
          <w:szCs w:val="24"/>
          <w:lang w:val="en-US" w:eastAsia="zh-CN"/>
        </w:rPr>
        <w:t>09</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21</w:t>
      </w:r>
      <w:r>
        <w:rPr>
          <w:rFonts w:hint="eastAsia" w:ascii="宋体" w:hAnsi="宋体" w:eastAsia="宋体" w:cs="宋体"/>
          <w:color w:val="0000FF"/>
          <w:sz w:val="24"/>
          <w:szCs w:val="24"/>
        </w:rPr>
        <w:t>日</w:t>
      </w:r>
      <w:r>
        <w:rPr>
          <w:rFonts w:hint="eastAsia" w:ascii="宋体" w:hAnsi="宋体" w:eastAsia="宋体" w:cs="宋体"/>
          <w:color w:val="0000FF"/>
          <w:sz w:val="24"/>
          <w:szCs w:val="24"/>
          <w:lang w:val="en-US" w:eastAsia="zh-CN"/>
        </w:rPr>
        <w:t>10</w:t>
      </w:r>
      <w:r>
        <w:rPr>
          <w:rFonts w:hint="eastAsia" w:ascii="宋体" w:hAnsi="宋体" w:eastAsia="宋体" w:cs="宋体"/>
          <w:color w:val="0000FF"/>
          <w:sz w:val="24"/>
          <w:szCs w:val="24"/>
        </w:rPr>
        <w:t>时</w:t>
      </w:r>
      <w:r>
        <w:rPr>
          <w:rFonts w:hint="eastAsia" w:ascii="宋体" w:hAnsi="宋体" w:eastAsia="宋体" w:cs="宋体"/>
          <w:color w:val="0000FF"/>
          <w:sz w:val="24"/>
          <w:szCs w:val="24"/>
          <w:lang w:val="en-US" w:eastAsia="zh-CN"/>
        </w:rPr>
        <w:t>00</w:t>
      </w:r>
      <w:r>
        <w:rPr>
          <w:rFonts w:hint="eastAsia" w:ascii="宋体" w:hAnsi="宋体" w:eastAsia="宋体" w:cs="宋体"/>
          <w:color w:val="0000FF"/>
          <w:sz w:val="24"/>
          <w:szCs w:val="24"/>
        </w:rPr>
        <w:t>分</w:t>
      </w:r>
      <w:r>
        <w:rPr>
          <w:rFonts w:hint="eastAsia" w:ascii="宋体" w:hAnsi="宋体" w:eastAsia="宋体" w:cs="宋体"/>
          <w:sz w:val="24"/>
          <w:szCs w:val="24"/>
        </w:rPr>
        <w:t>（北京时间），</w:t>
      </w:r>
      <w:r>
        <w:rPr>
          <w:rFonts w:hint="eastAsia" w:ascii="宋体" w:hAnsi="宋体" w:eastAsia="宋体" w:cs="宋体"/>
          <w:sz w:val="24"/>
          <w:szCs w:val="24"/>
          <w:lang w:eastAsia="zh-CN"/>
        </w:rPr>
        <w:t>响应文件</w:t>
      </w:r>
      <w:r>
        <w:rPr>
          <w:rFonts w:hint="eastAsia" w:ascii="宋体" w:hAnsi="宋体" w:eastAsia="宋体" w:cs="宋体"/>
          <w:sz w:val="24"/>
          <w:szCs w:val="24"/>
        </w:rPr>
        <w:t>必须在</w:t>
      </w:r>
      <w:r>
        <w:rPr>
          <w:rFonts w:hint="eastAsia" w:ascii="宋体" w:hAnsi="宋体" w:cs="宋体"/>
          <w:sz w:val="24"/>
          <w:szCs w:val="24"/>
          <w:lang w:val="en-US" w:eastAsia="zh-CN"/>
        </w:rPr>
        <w:t>响应文件</w:t>
      </w:r>
      <w:r>
        <w:rPr>
          <w:rFonts w:hint="eastAsia" w:ascii="宋体" w:hAnsi="宋体" w:eastAsia="宋体" w:cs="宋体"/>
          <w:sz w:val="24"/>
          <w:szCs w:val="24"/>
        </w:rPr>
        <w:t>截止时间前送达开标地点，逾期送达的</w:t>
      </w:r>
      <w:r>
        <w:rPr>
          <w:rFonts w:hint="eastAsia" w:ascii="宋体" w:hAnsi="宋体" w:eastAsia="宋体" w:cs="宋体"/>
          <w:sz w:val="24"/>
          <w:szCs w:val="24"/>
          <w:lang w:eastAsia="zh-CN"/>
        </w:rPr>
        <w:t>响应文件</w:t>
      </w:r>
      <w:r>
        <w:rPr>
          <w:rFonts w:hint="eastAsia" w:ascii="宋体" w:hAnsi="宋体" w:eastAsia="宋体" w:cs="宋体"/>
          <w:sz w:val="24"/>
          <w:szCs w:val="24"/>
        </w:rPr>
        <w:t>恕不接收，本次</w:t>
      </w:r>
      <w:r>
        <w:rPr>
          <w:rFonts w:hint="eastAsia" w:ascii="宋体" w:hAnsi="宋体" w:eastAsia="宋体" w:cs="宋体"/>
          <w:sz w:val="24"/>
          <w:szCs w:val="24"/>
          <w:lang w:val="en-US" w:eastAsia="zh-CN"/>
        </w:rPr>
        <w:t>谈判</w:t>
      </w:r>
      <w:r>
        <w:rPr>
          <w:rFonts w:hint="eastAsia" w:ascii="宋体" w:hAnsi="宋体" w:eastAsia="宋体" w:cs="宋体"/>
          <w:sz w:val="24"/>
          <w:szCs w:val="24"/>
        </w:rPr>
        <w:t>不接受邮寄的</w:t>
      </w:r>
      <w:r>
        <w:rPr>
          <w:rFonts w:hint="eastAsia" w:ascii="宋体" w:hAnsi="宋体" w:eastAsia="宋体" w:cs="宋体"/>
          <w:sz w:val="24"/>
          <w:szCs w:val="24"/>
          <w:lang w:eastAsia="zh-CN"/>
        </w:rPr>
        <w:t>响应文件</w:t>
      </w:r>
      <w:r>
        <w:rPr>
          <w:rFonts w:hint="eastAsia" w:ascii="宋体" w:hAnsi="宋体" w:eastAsia="宋体" w:cs="宋体"/>
          <w:sz w:val="24"/>
          <w:szCs w:val="24"/>
        </w:rPr>
        <w:t>。</w:t>
      </w:r>
    </w:p>
    <w:p>
      <w:pPr>
        <w:spacing w:line="360" w:lineRule="auto"/>
        <w:ind w:firstLine="489" w:firstLineChars="203"/>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rPr>
        <w:t>十、谈判地点：</w:t>
      </w:r>
      <w:r>
        <w:rPr>
          <w:rFonts w:hint="eastAsia" w:ascii="宋体" w:hAnsi="宋体" w:eastAsia="宋体" w:cs="宋体"/>
          <w:kern w:val="2"/>
          <w:sz w:val="24"/>
          <w:szCs w:val="24"/>
          <w:lang w:val="en-US" w:eastAsia="zh-CN" w:bidi="ar-SA"/>
        </w:rPr>
        <w:t>四川哲胜招标代理有限公司（富顺县富州大道与二环路交汇处颐和城市广场西侧四楼）</w:t>
      </w:r>
      <w:r>
        <w:rPr>
          <w:rFonts w:hint="eastAsia" w:ascii="宋体" w:hAnsi="宋体" w:eastAsia="宋体" w:cs="宋体"/>
          <w:kern w:val="2"/>
          <w:sz w:val="24"/>
          <w:szCs w:val="24"/>
          <w:lang w:val="zh-CN" w:eastAsia="zh-CN" w:bidi="ar-SA"/>
        </w:rPr>
        <w:t>。</w:t>
      </w:r>
    </w:p>
    <w:p>
      <w:pPr>
        <w:pStyle w:val="72"/>
        <w:spacing w:line="360" w:lineRule="auto"/>
        <w:ind w:firstLine="31680"/>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cs="宋体"/>
          <w:b/>
          <w:bCs/>
          <w:sz w:val="24"/>
          <w:szCs w:val="24"/>
          <w:lang w:val="en-US" w:eastAsia="zh-CN"/>
        </w:rPr>
        <w:t>一</w:t>
      </w:r>
      <w:r>
        <w:rPr>
          <w:rFonts w:hint="eastAsia" w:ascii="宋体" w:hAnsi="宋体" w:eastAsia="宋体" w:cs="宋体"/>
          <w:b/>
          <w:bCs/>
          <w:sz w:val="24"/>
          <w:szCs w:val="24"/>
        </w:rPr>
        <w:t>、供应商信用融资：</w:t>
      </w:r>
    </w:p>
    <w:p>
      <w:pPr>
        <w:pStyle w:val="72"/>
        <w:spacing w:line="360" w:lineRule="auto"/>
        <w:ind w:firstLine="31680"/>
        <w:rPr>
          <w:rFonts w:hint="eastAsia" w:ascii="宋体" w:hAnsi="宋体" w:eastAsia="宋体" w:cs="宋体"/>
          <w:sz w:val="24"/>
          <w:szCs w:val="24"/>
        </w:rPr>
      </w:pPr>
      <w:r>
        <w:rPr>
          <w:rFonts w:hint="eastAsia" w:ascii="宋体" w:hAnsi="宋体" w:eastAsia="宋体" w:cs="宋体"/>
          <w:sz w:val="24"/>
          <w:szCs w:val="24"/>
        </w:rPr>
        <w:t>根据《四川省财政厅关于推进四川省政府采购供应商信用融资工作的通知》（川财采[2018]123号）文件要求，为助力解决政府采购中标、成交供应商资金不足、融资难、融资贵的困难，促进供应商依法诚信参加政府采购活动，有融资需求的供应商可根据</w:t>
      </w:r>
      <w:r>
        <w:rPr>
          <w:rFonts w:hint="eastAsia" w:ascii="宋体" w:hAnsi="宋体" w:cs="宋体"/>
          <w:sz w:val="24"/>
          <w:szCs w:val="24"/>
          <w:lang w:eastAsia="zh-CN"/>
        </w:rPr>
        <w:t>中国政府采购网（http://www.ccgp.gov.cn/）</w:t>
      </w:r>
      <w:r>
        <w:rPr>
          <w:rFonts w:hint="eastAsia" w:ascii="宋体" w:hAnsi="宋体" w:eastAsia="宋体" w:cs="宋体"/>
          <w:sz w:val="24"/>
          <w:szCs w:val="24"/>
        </w:rPr>
        <w:t>公示的银行及其“政采贷”产品，自行选择符合自身情况的“政采贷”银行及其产品，凭中标（成交）通知书向银行提出贷款意向申请，并按照相关规定要求和贷款流程申请信用融资贷款。</w:t>
      </w:r>
    </w:p>
    <w:p>
      <w:pPr>
        <w:pStyle w:val="72"/>
        <w:spacing w:line="360" w:lineRule="auto"/>
        <w:ind w:firstLine="31680"/>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cs="宋体"/>
          <w:b/>
          <w:bCs/>
          <w:sz w:val="24"/>
          <w:szCs w:val="24"/>
          <w:lang w:val="en-US" w:eastAsia="zh-CN"/>
        </w:rPr>
        <w:t>二</w:t>
      </w:r>
      <w:r>
        <w:rPr>
          <w:rFonts w:hint="eastAsia" w:ascii="宋体" w:hAnsi="宋体" w:eastAsia="宋体" w:cs="宋体"/>
          <w:b/>
          <w:bCs/>
          <w:sz w:val="24"/>
          <w:szCs w:val="24"/>
        </w:rPr>
        <w:t>、联系方式</w:t>
      </w:r>
    </w:p>
    <w:p>
      <w:pPr>
        <w:spacing w:line="360" w:lineRule="auto"/>
        <w:ind w:firstLine="480" w:firstLineChars="200"/>
        <w:rPr>
          <w:rFonts w:hint="eastAsia" w:ascii="宋体" w:hAnsi="宋体" w:eastAsia="宋体" w:cs="宋体"/>
          <w:sz w:val="24"/>
          <w:szCs w:val="24"/>
          <w:lang w:val="zh-CN"/>
        </w:rPr>
      </w:pPr>
      <w:bookmarkStart w:id="10" w:name="_Toc213496267"/>
      <w:bookmarkStart w:id="11" w:name="_Toc217446031"/>
      <w:bookmarkStart w:id="12" w:name="_Toc213396945"/>
      <w:bookmarkStart w:id="13" w:name="_Toc509579141"/>
      <w:bookmarkStart w:id="14" w:name="_Toc213397009"/>
      <w:bookmarkStart w:id="15" w:name="_Toc213396759"/>
      <w:r>
        <w:rPr>
          <w:rFonts w:hint="eastAsia" w:ascii="宋体" w:hAnsi="宋体" w:eastAsia="宋体" w:cs="宋体"/>
          <w:sz w:val="24"/>
          <w:szCs w:val="24"/>
          <w:lang w:val="zh-CN"/>
        </w:rPr>
        <w:t>采购人：富顺县中医医院</w:t>
      </w:r>
    </w:p>
    <w:p>
      <w:pP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rPr>
        <w:t>地址：富顺县东湖街道东湖大道1801号</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富顺县中医医院同心院区</w:t>
      </w:r>
      <w:r>
        <w:rPr>
          <w:rFonts w:hint="eastAsia" w:ascii="宋体" w:hAnsi="宋体" w:eastAsia="宋体" w:cs="宋体"/>
          <w:sz w:val="24"/>
          <w:szCs w:val="24"/>
          <w:lang w:val="zh-CN" w:eastAsia="zh-CN"/>
        </w:rPr>
        <w:t>）</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联系人：</w:t>
      </w:r>
      <w:r>
        <w:rPr>
          <w:rFonts w:hint="eastAsia" w:ascii="宋体" w:hAnsi="宋体" w:cs="宋体"/>
          <w:sz w:val="24"/>
          <w:szCs w:val="24"/>
          <w:lang w:val="en-US" w:eastAsia="zh-CN"/>
        </w:rPr>
        <w:t>聂</w:t>
      </w:r>
      <w:r>
        <w:rPr>
          <w:rFonts w:hint="eastAsia" w:ascii="宋体" w:hAnsi="宋体" w:eastAsia="宋体" w:cs="宋体"/>
          <w:sz w:val="24"/>
          <w:szCs w:val="24"/>
          <w:lang w:val="zh-CN"/>
        </w:rPr>
        <w:t>老师</w:t>
      </w:r>
    </w:p>
    <w:p>
      <w:pP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rPr>
        <w:t>联系电话：0813-</w:t>
      </w:r>
      <w:r>
        <w:rPr>
          <w:rFonts w:hint="eastAsia" w:ascii="宋体" w:hAnsi="宋体" w:eastAsia="宋体" w:cs="宋体"/>
          <w:sz w:val="24"/>
          <w:szCs w:val="24"/>
          <w:lang w:val="zh-CN" w:eastAsia="zh-CN"/>
        </w:rPr>
        <w:t>5197655</w:t>
      </w:r>
    </w:p>
    <w:p>
      <w:pPr>
        <w:spacing w:line="360" w:lineRule="auto"/>
        <w:ind w:firstLine="890" w:firstLineChars="371"/>
        <w:rPr>
          <w:rFonts w:hint="eastAsia" w:ascii="宋体" w:hAnsi="宋体" w:eastAsia="宋体" w:cs="宋体"/>
          <w:sz w:val="24"/>
          <w:szCs w:val="24"/>
        </w:rPr>
      </w:pPr>
    </w:p>
    <w:p>
      <w:pPr>
        <w:pStyle w:val="72"/>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采购代理机构：四川哲胜招标代理有限公司</w:t>
      </w:r>
    </w:p>
    <w:p>
      <w:pPr>
        <w:pStyle w:val="72"/>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地址：富顺县富州大道与二环路交汇处颐和城市广场西侧四楼</w:t>
      </w:r>
    </w:p>
    <w:p>
      <w:pPr>
        <w:pStyle w:val="72"/>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联系人：罗女士</w:t>
      </w:r>
    </w:p>
    <w:p>
      <w:pPr>
        <w:pStyle w:val="72"/>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联系电话：0830-6665625</w:t>
      </w:r>
    </w:p>
    <w:p>
      <w:pPr>
        <w:pStyle w:val="72"/>
        <w:spacing w:line="360" w:lineRule="auto"/>
        <w:ind w:firstLine="950" w:firstLineChars="396"/>
        <w:rPr>
          <w:rFonts w:hint="eastAsia" w:ascii="宋体" w:hAnsi="宋体" w:eastAsia="宋体" w:cs="宋体"/>
          <w:kern w:val="0"/>
          <w:sz w:val="24"/>
          <w:szCs w:val="24"/>
        </w:rPr>
      </w:pPr>
    </w:p>
    <w:p>
      <w:pPr>
        <w:pStyle w:val="72"/>
        <w:spacing w:line="360" w:lineRule="auto"/>
        <w:ind w:firstLine="950" w:firstLineChars="396"/>
        <w:rPr>
          <w:rFonts w:hint="eastAsia" w:ascii="宋体" w:hAnsi="宋体" w:eastAsia="宋体" w:cs="宋体"/>
          <w:kern w:val="0"/>
          <w:sz w:val="24"/>
          <w:szCs w:val="24"/>
        </w:rPr>
      </w:pPr>
    </w:p>
    <w:p>
      <w:pPr>
        <w:pStyle w:val="72"/>
        <w:spacing w:line="360" w:lineRule="auto"/>
        <w:ind w:firstLine="950" w:firstLineChars="396"/>
        <w:rPr>
          <w:rFonts w:hint="eastAsia" w:ascii="宋体" w:hAnsi="宋体" w:eastAsia="宋体" w:cs="宋体"/>
          <w:kern w:val="0"/>
          <w:sz w:val="24"/>
          <w:szCs w:val="24"/>
        </w:rPr>
      </w:pPr>
    </w:p>
    <w:p>
      <w:pPr>
        <w:pStyle w:val="72"/>
        <w:spacing w:line="360" w:lineRule="auto"/>
        <w:ind w:firstLine="950" w:firstLineChars="396"/>
        <w:rPr>
          <w:rFonts w:hint="eastAsia" w:ascii="宋体" w:hAnsi="宋体" w:eastAsia="宋体" w:cs="宋体"/>
          <w:kern w:val="0"/>
          <w:sz w:val="24"/>
          <w:szCs w:val="24"/>
        </w:rPr>
      </w:pPr>
    </w:p>
    <w:p>
      <w:pPr>
        <w:pStyle w:val="37"/>
        <w:spacing w:line="360" w:lineRule="auto"/>
        <w:rPr>
          <w:rFonts w:hint="eastAsia" w:ascii="宋体" w:hAnsi="宋体" w:eastAsia="宋体" w:cs="宋体"/>
          <w:sz w:val="24"/>
          <w:szCs w:val="24"/>
        </w:rPr>
      </w:pPr>
      <w:bookmarkStart w:id="16" w:name="_Toc41037903"/>
      <w:r>
        <w:rPr>
          <w:rFonts w:hint="eastAsia" w:ascii="宋体" w:hAnsi="宋体" w:eastAsia="宋体" w:cs="宋体"/>
          <w:sz w:val="24"/>
          <w:szCs w:val="24"/>
        </w:rPr>
        <w:br w:type="page"/>
      </w:r>
      <w:r>
        <w:rPr>
          <w:rFonts w:hint="eastAsia" w:ascii="宋体" w:hAnsi="宋体" w:eastAsia="宋体" w:cs="宋体"/>
          <w:sz w:val="24"/>
          <w:szCs w:val="24"/>
        </w:rPr>
        <w:t>第二章谈判须知</w:t>
      </w:r>
      <w:bookmarkEnd w:id="10"/>
      <w:bookmarkEnd w:id="11"/>
      <w:bookmarkEnd w:id="12"/>
      <w:bookmarkEnd w:id="13"/>
      <w:bookmarkEnd w:id="14"/>
      <w:bookmarkEnd w:id="15"/>
      <w:bookmarkEnd w:id="16"/>
    </w:p>
    <w:p>
      <w:pPr>
        <w:bidi w:val="0"/>
        <w:jc w:val="center"/>
        <w:rPr>
          <w:rFonts w:hint="eastAsia"/>
          <w:b/>
          <w:bCs/>
          <w:sz w:val="24"/>
          <w:szCs w:val="24"/>
        </w:rPr>
      </w:pPr>
      <w:r>
        <w:rPr>
          <w:rFonts w:hint="eastAsia"/>
          <w:b/>
          <w:bCs/>
          <w:sz w:val="24"/>
          <w:szCs w:val="24"/>
        </w:rPr>
        <w:t>一、供应商须知附表</w:t>
      </w:r>
    </w:p>
    <w:tbl>
      <w:tblPr>
        <w:tblStyle w:val="40"/>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tcBorders>
              <w:top w:val="single" w:color="auto" w:sz="18" w:space="0"/>
            </w:tcBorders>
            <w:vAlign w:val="center"/>
          </w:tcPr>
          <w:p>
            <w:pPr>
              <w:pStyle w:val="74"/>
              <w:spacing w:line="360" w:lineRule="auto"/>
              <w:ind w:left="9"/>
              <w:jc w:val="center"/>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2409" w:type="dxa"/>
            <w:tcBorders>
              <w:top w:val="single" w:color="auto" w:sz="18" w:space="0"/>
            </w:tcBorders>
            <w:vAlign w:val="center"/>
          </w:tcPr>
          <w:p>
            <w:pPr>
              <w:pStyle w:val="74"/>
              <w:spacing w:line="360"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应知事项</w:t>
            </w:r>
          </w:p>
        </w:tc>
        <w:tc>
          <w:tcPr>
            <w:tcW w:w="6084" w:type="dxa"/>
            <w:tcBorders>
              <w:top w:val="single" w:color="auto" w:sz="18" w:space="0"/>
            </w:tcBorders>
            <w:vAlign w:val="center"/>
          </w:tcPr>
          <w:p>
            <w:pPr>
              <w:pStyle w:val="74"/>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 w:hRule="atLeast"/>
          <w:jc w:val="center"/>
        </w:trPr>
        <w:tc>
          <w:tcPr>
            <w:tcW w:w="1013" w:type="dxa"/>
            <w:tcBorders>
              <w:bottom w:val="single" w:color="auto" w:sz="4" w:space="0"/>
            </w:tcBorders>
            <w:vAlign w:val="center"/>
          </w:tcPr>
          <w:p>
            <w:pPr>
              <w:pStyle w:val="74"/>
              <w:spacing w:line="360" w:lineRule="auto"/>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409" w:type="dxa"/>
            <w:tcBorders>
              <w:bottom w:val="single" w:color="auto" w:sz="4" w:space="0"/>
            </w:tcBorders>
            <w:vAlign w:val="center"/>
          </w:tcPr>
          <w:p>
            <w:pPr>
              <w:pStyle w:val="74"/>
              <w:spacing w:line="360"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定向采购</w:t>
            </w:r>
          </w:p>
        </w:tc>
        <w:tc>
          <w:tcPr>
            <w:tcW w:w="6084" w:type="dxa"/>
            <w:tcBorders>
              <w:bottom w:val="single" w:color="auto" w:sz="4" w:space="0"/>
            </w:tcBorders>
          </w:tcPr>
          <w:p>
            <w:pPr>
              <w:pStyle w:val="74"/>
              <w:spacing w:line="360" w:lineRule="auto"/>
              <w:ind w:firstLine="240"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本项目专门面向中小企业采购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5" w:hRule="atLeast"/>
          <w:jc w:val="center"/>
        </w:trPr>
        <w:tc>
          <w:tcPr>
            <w:tcW w:w="1013" w:type="dxa"/>
            <w:tcBorders>
              <w:top w:val="single" w:color="auto" w:sz="4" w:space="0"/>
            </w:tcBorders>
            <w:vAlign w:val="center"/>
          </w:tcPr>
          <w:p>
            <w:pPr>
              <w:pStyle w:val="74"/>
              <w:spacing w:line="360" w:lineRule="auto"/>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409" w:type="dxa"/>
            <w:tcBorders>
              <w:top w:val="single" w:color="auto" w:sz="4" w:space="0"/>
            </w:tcBorders>
            <w:vAlign w:val="center"/>
          </w:tcPr>
          <w:p>
            <w:pPr>
              <w:pStyle w:val="74"/>
              <w:spacing w:line="360"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采购预算</w:t>
            </w:r>
          </w:p>
          <w:p>
            <w:pPr>
              <w:pStyle w:val="74"/>
              <w:spacing w:line="360"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（实质性要求）</w:t>
            </w:r>
          </w:p>
        </w:tc>
        <w:tc>
          <w:tcPr>
            <w:tcW w:w="6084" w:type="dxa"/>
            <w:tcBorders>
              <w:top w:val="single" w:color="auto" w:sz="4" w:space="0"/>
            </w:tcBorders>
          </w:tcPr>
          <w:p>
            <w:pPr>
              <w:pStyle w:val="74"/>
              <w:spacing w:line="360" w:lineRule="auto"/>
              <w:ind w:firstLine="240" w:firstLineChars="10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采购预算：135082.00元</w:t>
            </w:r>
            <w:r>
              <w:rPr>
                <w:rFonts w:hint="eastAsia" w:cs="宋体"/>
                <w:color w:val="auto"/>
                <w:sz w:val="24"/>
                <w:szCs w:val="24"/>
                <w:lang w:val="en-US" w:eastAsia="zh-CN"/>
              </w:rPr>
              <w:t>（大写：壹拾叁万伍仟零捌拾贰元整）</w:t>
            </w:r>
            <w:r>
              <w:rPr>
                <w:rFonts w:hint="eastAsia" w:ascii="宋体" w:hAnsi="宋体" w:eastAsia="宋体" w:cs="宋体"/>
                <w:color w:val="auto"/>
                <w:sz w:val="24"/>
                <w:szCs w:val="24"/>
                <w:lang w:val="zh-CN"/>
              </w:rPr>
              <w:t>。</w:t>
            </w:r>
          </w:p>
          <w:p>
            <w:pPr>
              <w:pStyle w:val="74"/>
              <w:spacing w:line="360" w:lineRule="auto"/>
              <w:ind w:firstLine="240" w:firstLineChars="10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超过采购预算</w:t>
            </w:r>
            <w:r>
              <w:rPr>
                <w:rFonts w:hint="eastAsia" w:cs="宋体"/>
                <w:color w:val="auto"/>
                <w:sz w:val="24"/>
                <w:szCs w:val="24"/>
                <w:lang w:val="en-US" w:eastAsia="zh-CN"/>
              </w:rPr>
              <w:t>的</w:t>
            </w:r>
            <w:r>
              <w:rPr>
                <w:rFonts w:hint="eastAsia" w:ascii="宋体" w:hAnsi="宋体" w:eastAsia="宋体" w:cs="宋体"/>
                <w:color w:val="auto"/>
                <w:sz w:val="24"/>
                <w:szCs w:val="24"/>
                <w:lang w:val="zh-CN"/>
              </w:rPr>
              <w:t>报价,其响应文件按无效处理。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4"/>
              <w:spacing w:line="360" w:lineRule="auto"/>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2409" w:type="dxa"/>
            <w:vAlign w:val="center"/>
          </w:tcPr>
          <w:p>
            <w:pPr>
              <w:pStyle w:val="74"/>
              <w:spacing w:line="360"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最高限价</w:t>
            </w:r>
          </w:p>
          <w:p>
            <w:pPr>
              <w:pStyle w:val="74"/>
              <w:spacing w:line="360"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（实质性要求）</w:t>
            </w:r>
          </w:p>
        </w:tc>
        <w:tc>
          <w:tcPr>
            <w:tcW w:w="6084" w:type="dxa"/>
            <w:vAlign w:val="center"/>
          </w:tcPr>
          <w:p>
            <w:pPr>
              <w:pStyle w:val="74"/>
              <w:spacing w:line="360" w:lineRule="auto"/>
              <w:ind w:firstLine="240" w:firstLineChars="10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最高限价：</w:t>
            </w:r>
            <w:r>
              <w:rPr>
                <w:rFonts w:hint="eastAsia" w:ascii="宋体" w:hAnsi="宋体" w:eastAsia="宋体" w:cs="宋体"/>
                <w:color w:val="auto"/>
                <w:sz w:val="24"/>
                <w:szCs w:val="24"/>
                <w:lang w:val="en-US" w:eastAsia="zh-CN"/>
              </w:rPr>
              <w:t>135082.00元</w:t>
            </w:r>
            <w:r>
              <w:rPr>
                <w:rFonts w:hint="eastAsia" w:cs="宋体"/>
                <w:color w:val="auto"/>
                <w:sz w:val="24"/>
                <w:szCs w:val="24"/>
                <w:lang w:val="en-US" w:eastAsia="zh-CN"/>
              </w:rPr>
              <w:t>（大写：壹拾叁万伍仟零捌拾贰元整）</w:t>
            </w:r>
            <w:r>
              <w:rPr>
                <w:rFonts w:hint="eastAsia" w:ascii="宋体" w:hAnsi="宋体" w:eastAsia="宋体" w:cs="宋体"/>
                <w:color w:val="auto"/>
                <w:sz w:val="24"/>
                <w:szCs w:val="24"/>
                <w:lang w:val="zh-CN"/>
              </w:rPr>
              <w:t>。</w:t>
            </w:r>
          </w:p>
          <w:p>
            <w:pPr>
              <w:pStyle w:val="74"/>
              <w:spacing w:line="360" w:lineRule="auto"/>
              <w:ind w:firstLine="240" w:firstLineChars="100"/>
              <w:jc w:val="both"/>
              <w:rPr>
                <w:rFonts w:hint="eastAsia" w:ascii="宋体" w:hAnsi="宋体" w:eastAsia="宋体" w:cs="宋体"/>
                <w:color w:val="auto"/>
                <w:sz w:val="24"/>
                <w:szCs w:val="24"/>
                <w:lang w:val="zh-CN"/>
              </w:rPr>
            </w:pPr>
            <w:bookmarkStart w:id="17" w:name="PO_默认文件内容_8"/>
            <w:r>
              <w:rPr>
                <w:rFonts w:hint="eastAsia" w:ascii="宋体" w:hAnsi="宋体" w:eastAsia="宋体" w:cs="宋体"/>
                <w:color w:val="auto"/>
                <w:sz w:val="24"/>
                <w:szCs w:val="24"/>
                <w:lang w:val="zh-CN"/>
              </w:rPr>
              <w:t>超过最高限价</w:t>
            </w:r>
            <w:r>
              <w:rPr>
                <w:rFonts w:hint="eastAsia" w:cs="宋体"/>
                <w:color w:val="auto"/>
                <w:sz w:val="24"/>
                <w:szCs w:val="24"/>
                <w:lang w:val="en-US" w:eastAsia="zh-CN"/>
              </w:rPr>
              <w:t>的</w:t>
            </w:r>
            <w:r>
              <w:rPr>
                <w:rFonts w:hint="eastAsia" w:ascii="宋体" w:hAnsi="宋体" w:eastAsia="宋体" w:cs="宋体"/>
                <w:color w:val="auto"/>
                <w:sz w:val="24"/>
                <w:szCs w:val="24"/>
                <w:lang w:val="zh-CN"/>
              </w:rPr>
              <w:t>报价,其响应文件按无效处理。</w:t>
            </w:r>
            <w:bookmarkEnd w:id="17"/>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4"/>
              <w:spacing w:line="360" w:lineRule="auto"/>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4</w:t>
            </w:r>
          </w:p>
        </w:tc>
        <w:tc>
          <w:tcPr>
            <w:tcW w:w="2409" w:type="dxa"/>
            <w:vAlign w:val="center"/>
          </w:tcPr>
          <w:p>
            <w:pPr>
              <w:pStyle w:val="74"/>
              <w:spacing w:line="360"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本国工程</w:t>
            </w:r>
          </w:p>
          <w:p>
            <w:pPr>
              <w:pStyle w:val="74"/>
              <w:spacing w:line="360"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（实质性要求）</w:t>
            </w:r>
          </w:p>
        </w:tc>
        <w:tc>
          <w:tcPr>
            <w:tcW w:w="6084" w:type="dxa"/>
            <w:vAlign w:val="center"/>
          </w:tcPr>
          <w:p>
            <w:pPr>
              <w:pStyle w:val="74"/>
              <w:spacing w:line="360" w:lineRule="auto"/>
              <w:ind w:firstLine="240" w:firstLineChars="100"/>
              <w:jc w:val="both"/>
              <w:rPr>
                <w:rFonts w:hint="eastAsia" w:ascii="宋体" w:hAnsi="宋体" w:eastAsia="宋体" w:cs="宋体"/>
                <w:sz w:val="24"/>
                <w:szCs w:val="24"/>
                <w:lang w:val="zh-CN"/>
              </w:rPr>
            </w:pPr>
            <w:bookmarkStart w:id="18" w:name="PO_默认文件内容_10"/>
            <w:r>
              <w:rPr>
                <w:rFonts w:hint="eastAsia" w:ascii="宋体" w:hAnsi="宋体" w:eastAsia="宋体" w:cs="宋体"/>
                <w:sz w:val="24"/>
                <w:szCs w:val="24"/>
              </w:rPr>
              <w:t>根据《中华人民共和国政府采购法》第十条的规定，本项目采购本国工程。</w:t>
            </w:r>
            <w:bookmarkEnd w:id="18"/>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4"/>
              <w:spacing w:line="360" w:lineRule="auto"/>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5</w:t>
            </w:r>
          </w:p>
        </w:tc>
        <w:tc>
          <w:tcPr>
            <w:tcW w:w="2409" w:type="dxa"/>
            <w:vAlign w:val="center"/>
          </w:tcPr>
          <w:p>
            <w:pPr>
              <w:pStyle w:val="74"/>
              <w:spacing w:line="360" w:lineRule="auto"/>
              <w:ind w:left="38"/>
              <w:jc w:val="center"/>
              <w:rPr>
                <w:rFonts w:hint="eastAsia" w:ascii="宋体" w:hAnsi="宋体" w:eastAsia="宋体" w:cs="宋体"/>
                <w:sz w:val="24"/>
                <w:szCs w:val="24"/>
              </w:rPr>
            </w:pPr>
            <w:r>
              <w:rPr>
                <w:rFonts w:hint="eastAsia" w:ascii="宋体" w:hAnsi="宋体" w:eastAsia="宋体" w:cs="宋体"/>
                <w:sz w:val="24"/>
                <w:szCs w:val="24"/>
              </w:rPr>
              <w:t>低于成本价</w:t>
            </w:r>
          </w:p>
          <w:p>
            <w:pPr>
              <w:pStyle w:val="74"/>
              <w:spacing w:line="360" w:lineRule="auto"/>
              <w:ind w:left="38"/>
              <w:jc w:val="center"/>
              <w:rPr>
                <w:rFonts w:hint="eastAsia" w:ascii="宋体" w:hAnsi="宋体" w:eastAsia="宋体" w:cs="宋体"/>
                <w:sz w:val="24"/>
                <w:szCs w:val="24"/>
              </w:rPr>
            </w:pPr>
            <w:r>
              <w:rPr>
                <w:rFonts w:hint="eastAsia" w:ascii="宋体" w:hAnsi="宋体" w:eastAsia="宋体" w:cs="宋体"/>
                <w:sz w:val="24"/>
                <w:szCs w:val="24"/>
              </w:rPr>
              <w:t>不正当竞争预防措施</w:t>
            </w:r>
          </w:p>
          <w:p>
            <w:pPr>
              <w:pStyle w:val="74"/>
              <w:spacing w:line="360" w:lineRule="auto"/>
              <w:ind w:left="38"/>
              <w:jc w:val="center"/>
              <w:rPr>
                <w:rFonts w:hint="eastAsia" w:ascii="宋体" w:hAnsi="宋体" w:eastAsia="宋体" w:cs="宋体"/>
                <w:sz w:val="24"/>
                <w:szCs w:val="24"/>
              </w:rPr>
            </w:pPr>
            <w:r>
              <w:rPr>
                <w:rFonts w:hint="eastAsia" w:ascii="宋体" w:hAnsi="宋体" w:eastAsia="宋体" w:cs="宋体"/>
                <w:sz w:val="24"/>
                <w:szCs w:val="24"/>
              </w:rPr>
              <w:t>（实质性要求）</w:t>
            </w:r>
          </w:p>
        </w:tc>
        <w:tc>
          <w:tcPr>
            <w:tcW w:w="6084" w:type="dxa"/>
            <w:vAlign w:val="center"/>
          </w:tcPr>
          <w:p>
            <w:pPr>
              <w:spacing w:line="360" w:lineRule="auto"/>
              <w:ind w:left="105" w:leftChars="50" w:right="105" w:rightChars="50" w:firstLine="240" w:firstLineChars="100"/>
              <w:rPr>
                <w:rFonts w:hint="eastAsia" w:ascii="宋体" w:hAnsi="宋体" w:eastAsia="宋体" w:cs="宋体"/>
                <w:kern w:val="0"/>
                <w:sz w:val="24"/>
                <w:szCs w:val="24"/>
              </w:rPr>
            </w:pPr>
            <w:bookmarkStart w:id="19" w:name="PO_默认文件内容_111"/>
            <w:r>
              <w:rPr>
                <w:rFonts w:hint="eastAsia" w:ascii="宋体" w:hAnsi="宋体" w:eastAsia="宋体" w:cs="宋体"/>
                <w:kern w:val="0"/>
                <w:sz w:val="24"/>
                <w:szCs w:val="24"/>
              </w:rPr>
              <w:t>1、供应商报价低于采购预算85%或者低于其他有效供应商报价算术平均价90%，有可能影响工程质量或者不能诚信履约的，应当要求其在评审现场合理的时间内提供书面说明，必要时提交相关证明材料；供应商不能证明其报价合理性的，谈判小组应当将其响应文件作为无效处理。供应商的书面说明材料应当按照国家财务会计制度的规定要求，逐项就供应商提供的工程及其有关的货物、服务的主营业务成本、税金及附加、销售费用、管理费用、财务费用等成本构成事项详细陈述。</w:t>
            </w:r>
            <w:bookmarkEnd w:id="19"/>
          </w:p>
          <w:p>
            <w:pPr>
              <w:spacing w:line="360" w:lineRule="auto"/>
              <w:ind w:left="105" w:leftChars="50" w:right="105" w:rightChars="50"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2、供应商书面说明应当签字确认或者加盖公章，否则无效。书面说明应由其法定代表人/主要负责人或者其授权代表签字确认。</w:t>
            </w:r>
          </w:p>
          <w:p>
            <w:pPr>
              <w:spacing w:line="360" w:lineRule="auto"/>
              <w:ind w:left="105" w:leftChars="50" w:right="105" w:rightChars="50" w:firstLine="240" w:firstLineChars="100"/>
              <w:rPr>
                <w:rFonts w:hint="eastAsia" w:ascii="宋体" w:hAnsi="宋体" w:eastAsia="宋体" w:cs="宋体"/>
                <w:sz w:val="24"/>
                <w:szCs w:val="24"/>
              </w:rPr>
            </w:pPr>
            <w:r>
              <w:rPr>
                <w:rFonts w:hint="eastAsia" w:ascii="宋体" w:hAnsi="宋体" w:eastAsia="宋体" w:cs="宋体"/>
                <w:kern w:val="0"/>
                <w:sz w:val="24"/>
                <w:szCs w:val="24"/>
              </w:rPr>
              <w:t>3、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4"/>
              <w:spacing w:line="360" w:lineRule="auto"/>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6</w:t>
            </w:r>
          </w:p>
          <w:p>
            <w:pPr>
              <w:pStyle w:val="74"/>
              <w:spacing w:line="360" w:lineRule="auto"/>
              <w:ind w:right="230"/>
              <w:jc w:val="center"/>
              <w:rPr>
                <w:rFonts w:hint="eastAsia" w:ascii="宋体" w:hAnsi="宋体" w:eastAsia="宋体" w:cs="宋体"/>
                <w:sz w:val="24"/>
                <w:szCs w:val="24"/>
                <w:lang w:val="zh-CN"/>
              </w:rPr>
            </w:pPr>
          </w:p>
        </w:tc>
        <w:tc>
          <w:tcPr>
            <w:tcW w:w="2409" w:type="dxa"/>
            <w:vAlign w:val="center"/>
          </w:tcPr>
          <w:p>
            <w:pPr>
              <w:pStyle w:val="74"/>
              <w:spacing w:line="360"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小微企业（监狱企业、残疾人福利性单位视同小微企业）价格扣除和失信企业报价加成</w:t>
            </w:r>
          </w:p>
          <w:p>
            <w:pPr>
              <w:pStyle w:val="74"/>
              <w:spacing w:line="360" w:lineRule="auto"/>
              <w:ind w:left="38"/>
              <w:jc w:val="center"/>
              <w:rPr>
                <w:rFonts w:hint="eastAsia" w:ascii="宋体" w:hAnsi="宋体" w:eastAsia="宋体" w:cs="宋体"/>
                <w:sz w:val="24"/>
                <w:szCs w:val="24"/>
                <w:lang w:val="zh-CN"/>
              </w:rPr>
            </w:pPr>
          </w:p>
        </w:tc>
        <w:tc>
          <w:tcPr>
            <w:tcW w:w="6084" w:type="dxa"/>
          </w:tcPr>
          <w:p>
            <w:pPr>
              <w:spacing w:line="360" w:lineRule="auto"/>
              <w:ind w:left="105" w:leftChars="50" w:right="105" w:rightChars="50" w:firstLine="240" w:firstLineChars="100"/>
              <w:rPr>
                <w:rFonts w:hint="eastAsia" w:ascii="宋体" w:hAnsi="宋体" w:eastAsia="宋体" w:cs="宋体"/>
                <w:sz w:val="24"/>
                <w:szCs w:val="24"/>
                <w:lang w:eastAsia="zh-CN"/>
              </w:rPr>
            </w:pPr>
            <w:bookmarkStart w:id="20" w:name="PO_默认文件内容_13"/>
            <w:r>
              <w:rPr>
                <w:rFonts w:hint="eastAsia" w:ascii="宋体" w:hAnsi="宋体" w:eastAsia="宋体" w:cs="宋体"/>
                <w:sz w:val="24"/>
                <w:szCs w:val="24"/>
              </w:rPr>
              <w:t>一、小微企业（监狱企业、残疾人福利性单位视同小微企业）价格扣除</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本项目专门面向中小企业采购，不再执行价格评审优惠扶持政策。</w:t>
            </w:r>
            <w:r>
              <w:rPr>
                <w:rFonts w:hint="eastAsia" w:ascii="宋体" w:hAnsi="宋体" w:cs="宋体"/>
                <w:color w:val="auto"/>
                <w:sz w:val="24"/>
                <w:szCs w:val="24"/>
                <w:lang w:eastAsia="zh-CN"/>
              </w:rPr>
              <w:t>）</w:t>
            </w:r>
          </w:p>
          <w:p>
            <w:pPr>
              <w:spacing w:line="360" w:lineRule="auto"/>
              <w:ind w:left="105" w:leftChars="50" w:right="105" w:rightChars="50" w:firstLine="240" w:firstLineChars="100"/>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1.根据《政府采购促进中小企业发展管理办法》（财库﹝2020﹞46号）的规定，对小型和微型企业的价格给予1</w:t>
            </w:r>
            <w:r>
              <w:rPr>
                <w:rFonts w:hint="eastAsia" w:ascii="宋体" w:hAnsi="宋体" w:cs="宋体"/>
                <w:sz w:val="24"/>
                <w:szCs w:val="24"/>
                <w:lang w:val="en-US" w:eastAsia="zh-CN"/>
              </w:rPr>
              <w:t>5</w:t>
            </w:r>
            <w:r>
              <w:rPr>
                <w:rFonts w:hint="eastAsia" w:ascii="宋体" w:hAnsi="宋体" w:eastAsia="宋体" w:cs="宋体"/>
                <w:sz w:val="24"/>
                <w:szCs w:val="24"/>
              </w:rPr>
              <w:t>%的价格扣除，用扣除后的价格参与评审。</w:t>
            </w:r>
          </w:p>
          <w:p>
            <w:pPr>
              <w:spacing w:line="360" w:lineRule="auto"/>
              <w:ind w:left="105" w:leftChars="50" w:right="105" w:rightChars="50" w:firstLine="240" w:firstLineChars="1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支持监狱企业发展根据《关于政府采购支持监狱企业发展有关问题的通知》（财库〔2014〕68号）的规定，监狱企业视同小型、微型企业，不享受促进中小企业发展的政府采购政策。供应商为监狱企业的，必须提供由省级以上监狱管理局、戒毒管理局（含新疆生产建设兵团）出具的属于监狱企业的证明文件复印件加盖供应商公章。</w:t>
            </w:r>
          </w:p>
          <w:p>
            <w:pPr>
              <w:spacing w:line="360" w:lineRule="auto"/>
              <w:ind w:left="105" w:leftChars="50" w:right="105" w:rightChars="50" w:firstLine="240" w:firstLineChars="1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促进残疾人就业根据《三部门联合会关于促进残疾人就业政府采购政策的通知》（财库〔2017〕141号）的规定，在政府采购活动中，残疾人福利性单位视同小型、微型企业，享受预留份额、评审中价格扣除等促进中小企业发展的政府采购政策。向残疾人福利性单位采购的金额，计入面向中小企业采购的统计数据。</w:t>
            </w:r>
          </w:p>
          <w:p>
            <w:pPr>
              <w:spacing w:line="360" w:lineRule="auto"/>
              <w:ind w:left="105" w:leftChars="50" w:right="105" w:rightChars="50" w:firstLine="240" w:firstLineChars="100"/>
              <w:rPr>
                <w:rFonts w:hint="eastAsia" w:ascii="宋体" w:hAnsi="宋体" w:eastAsia="宋体" w:cs="宋体"/>
                <w:sz w:val="24"/>
                <w:szCs w:val="24"/>
              </w:rPr>
            </w:pPr>
            <w:r>
              <w:rPr>
                <w:rFonts w:hint="eastAsia" w:ascii="宋体" w:hAnsi="宋体" w:eastAsia="宋体" w:cs="宋体"/>
                <w:sz w:val="24"/>
                <w:szCs w:val="24"/>
              </w:rPr>
              <w:t>二、失信企业报价加成</w:t>
            </w:r>
            <w:r>
              <w:rPr>
                <w:rFonts w:hint="eastAsia" w:ascii="宋体" w:hAnsi="宋体" w:eastAsia="宋体" w:cs="宋体"/>
                <w:sz w:val="24"/>
                <w:szCs w:val="24"/>
                <w:lang w:val="zh-CN"/>
              </w:rPr>
              <w:t>（实质性要求）</w:t>
            </w:r>
          </w:p>
          <w:p>
            <w:pPr>
              <w:spacing w:line="360" w:lineRule="auto"/>
              <w:ind w:left="105" w:leftChars="50" w:right="105" w:rightChars="50" w:firstLine="240" w:firstLineChars="100"/>
              <w:rPr>
                <w:rFonts w:hint="eastAsia" w:ascii="宋体" w:hAnsi="宋体" w:eastAsia="宋体" w:cs="宋体"/>
                <w:sz w:val="24"/>
                <w:szCs w:val="24"/>
              </w:rPr>
            </w:pPr>
            <w:r>
              <w:rPr>
                <w:rFonts w:hint="eastAsia" w:ascii="宋体" w:hAnsi="宋体" w:eastAsia="宋体" w:cs="宋体"/>
                <w:sz w:val="24"/>
                <w:szCs w:val="24"/>
              </w:rPr>
              <w:t>对记入诚信档案且在有效期内的失信供应商，参加政府采购活动按照10%的报价加成，以加成后报价作为该供应商报价参与评审。供应商失信行为惩戒实行无限制累加制，因其失信行为进行报价加成惩戒后报价超过政府采购预算的，其响应文件按照无效处理。</w:t>
            </w:r>
            <w:bookmarkEnd w:id="20"/>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4"/>
              <w:spacing w:line="360" w:lineRule="auto"/>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7</w:t>
            </w:r>
          </w:p>
        </w:tc>
        <w:tc>
          <w:tcPr>
            <w:tcW w:w="2409" w:type="dxa"/>
            <w:vAlign w:val="center"/>
          </w:tcPr>
          <w:p>
            <w:pPr>
              <w:pStyle w:val="74"/>
              <w:spacing w:line="360" w:lineRule="auto"/>
              <w:ind w:left="38"/>
              <w:jc w:val="center"/>
              <w:rPr>
                <w:rFonts w:hint="eastAsia" w:ascii="宋体" w:hAnsi="宋体" w:eastAsia="宋体" w:cs="宋体"/>
                <w:sz w:val="24"/>
                <w:szCs w:val="24"/>
                <w:lang w:val="zh-CN"/>
              </w:rPr>
            </w:pPr>
            <w:r>
              <w:rPr>
                <w:rFonts w:hint="eastAsia" w:ascii="宋体" w:hAnsi="宋体" w:eastAsia="宋体" w:cs="宋体"/>
                <w:kern w:val="2"/>
                <w:sz w:val="24"/>
                <w:szCs w:val="24"/>
              </w:rPr>
              <w:t>节能、环保及无线局域网产品政府采购政策</w:t>
            </w:r>
          </w:p>
        </w:tc>
        <w:tc>
          <w:tcPr>
            <w:tcW w:w="6084" w:type="dxa"/>
            <w:vAlign w:val="center"/>
          </w:tcPr>
          <w:p>
            <w:pPr>
              <w:spacing w:line="360" w:lineRule="auto"/>
              <w:ind w:right="105" w:rightChars="50"/>
              <w:rPr>
                <w:rFonts w:hint="eastAsia" w:ascii="宋体" w:hAnsi="宋体" w:eastAsia="宋体" w:cs="宋体"/>
                <w:b/>
                <w:bCs/>
                <w:sz w:val="24"/>
                <w:szCs w:val="24"/>
              </w:rPr>
            </w:pPr>
            <w:r>
              <w:rPr>
                <w:rFonts w:hint="eastAsia" w:ascii="宋体" w:hAnsi="宋体" w:eastAsia="宋体" w:cs="宋体"/>
                <w:b/>
                <w:bCs/>
                <w:sz w:val="24"/>
                <w:szCs w:val="24"/>
              </w:rPr>
              <w:t>一、节能、环保产品政府采购政策：</w:t>
            </w:r>
          </w:p>
          <w:p>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信息，对通过认证的的产品实施政府优先采购或强制采购。</w:t>
            </w:r>
          </w:p>
          <w:p>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本项目采购的产品属于品目清单强制采购范围的，供应商应当在响应文件中提供国家确定的认证机构的认证结果信息发布平台公布的该产品认证信息截图或者打印资料并加盖供应商公章（鲜章），否则其响应文件按无效处理。</w:t>
            </w:r>
            <w:r>
              <w:rPr>
                <w:rFonts w:hint="eastAsia" w:ascii="宋体" w:hAnsi="宋体" w:eastAsia="宋体" w:cs="宋体"/>
                <w:b/>
                <w:bCs/>
                <w:sz w:val="24"/>
                <w:szCs w:val="24"/>
              </w:rPr>
              <w:t>（实质性要求）</w:t>
            </w:r>
          </w:p>
          <w:p>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本项目采购的产品属于品目清单优先采购范围的，对获得证书的产品实施政府优先采购。</w:t>
            </w:r>
          </w:p>
          <w:p>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注：对政府采购节能产品、环境标志产品实施品目清单管理。财政部、发展改革委、生态环境部等部门确定实施政府优先采购和强制采购的产品类别，以品目清单的形式发布并适时调整。</w:t>
            </w:r>
          </w:p>
          <w:p>
            <w:pPr>
              <w:spacing w:line="360" w:lineRule="auto"/>
              <w:ind w:right="105" w:rightChars="50"/>
              <w:rPr>
                <w:rFonts w:hint="eastAsia" w:ascii="宋体" w:hAnsi="宋体" w:eastAsia="宋体" w:cs="宋体"/>
                <w:b/>
                <w:bCs/>
                <w:sz w:val="24"/>
                <w:szCs w:val="24"/>
              </w:rPr>
            </w:pPr>
            <w:r>
              <w:rPr>
                <w:rFonts w:hint="eastAsia" w:ascii="宋体" w:hAnsi="宋体" w:eastAsia="宋体" w:cs="宋体"/>
                <w:b/>
                <w:bCs/>
                <w:sz w:val="24"/>
                <w:szCs w:val="24"/>
              </w:rPr>
              <w:t>二、无线局域网产品政府采购政策：</w:t>
            </w:r>
          </w:p>
          <w:p>
            <w:pPr>
              <w:spacing w:line="360" w:lineRule="auto"/>
              <w:ind w:right="105" w:rightChars="50"/>
              <w:rPr>
                <w:rFonts w:hint="eastAsia" w:ascii="宋体" w:hAnsi="宋体" w:eastAsia="宋体" w:cs="宋体"/>
                <w:sz w:val="24"/>
                <w:szCs w:val="24"/>
                <w:lang w:val="zh-CN"/>
              </w:rPr>
            </w:pPr>
            <w:r>
              <w:rPr>
                <w:rFonts w:hint="eastAsia" w:ascii="宋体" w:hAnsi="宋体" w:eastAsia="宋体" w:cs="宋体"/>
                <w:sz w:val="24"/>
                <w:szCs w:val="24"/>
              </w:rPr>
              <w:t>本项目采购的产品属于中国政府采购网公布的《无线局域网认证产品政府采购清单》且在有效期内的,</w:t>
            </w:r>
            <w:r>
              <w:rPr>
                <w:rFonts w:hint="eastAsia" w:ascii="宋体" w:hAnsi="宋体" w:eastAsia="宋体" w:cs="宋体"/>
                <w:kern w:val="0"/>
                <w:sz w:val="24"/>
                <w:szCs w:val="24"/>
              </w:rPr>
              <w:t>供应商在响应文件中可提供该产品政府采购清单对应页并加盖供应商单位公章（鲜章）</w:t>
            </w:r>
            <w:r>
              <w:rPr>
                <w:rFonts w:hint="eastAsia" w:ascii="宋体" w:hAnsi="宋体" w:eastAsia="宋体" w:cs="宋体"/>
                <w:sz w:val="24"/>
                <w:szCs w:val="24"/>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4"/>
              <w:spacing w:line="360" w:lineRule="auto"/>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8</w:t>
            </w:r>
          </w:p>
        </w:tc>
        <w:tc>
          <w:tcPr>
            <w:tcW w:w="2409" w:type="dxa"/>
            <w:vAlign w:val="center"/>
          </w:tcPr>
          <w:p>
            <w:pPr>
              <w:pStyle w:val="74"/>
              <w:spacing w:line="360"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谈判情况公告</w:t>
            </w:r>
          </w:p>
        </w:tc>
        <w:tc>
          <w:tcPr>
            <w:tcW w:w="6084" w:type="dxa"/>
            <w:vAlign w:val="center"/>
          </w:tcPr>
          <w:p>
            <w:pPr>
              <w:pStyle w:val="74"/>
              <w:spacing w:line="360" w:lineRule="auto"/>
              <w:ind w:firstLine="240" w:firstLineChars="100"/>
              <w:jc w:val="both"/>
              <w:rPr>
                <w:rFonts w:hint="eastAsia" w:ascii="宋体" w:hAnsi="宋体" w:eastAsia="宋体" w:cs="宋体"/>
                <w:sz w:val="24"/>
                <w:szCs w:val="24"/>
                <w:lang w:val="zh-CN"/>
              </w:rPr>
            </w:pPr>
            <w:bookmarkStart w:id="21" w:name="PO_默认文件内容_15"/>
            <w:r>
              <w:rPr>
                <w:rFonts w:hint="eastAsia" w:ascii="宋体" w:hAnsi="宋体" w:eastAsia="宋体" w:cs="宋体"/>
                <w:sz w:val="24"/>
                <w:szCs w:val="24"/>
                <w:lang w:val="zh-CN"/>
              </w:rPr>
              <w:t>供应商资格审查情况、谈判情况、报价情况、谈判结果等在</w:t>
            </w:r>
            <w:r>
              <w:rPr>
                <w:rFonts w:hint="eastAsia" w:cs="宋体"/>
                <w:sz w:val="24"/>
                <w:szCs w:val="24"/>
                <w:lang w:val="zh-CN"/>
              </w:rPr>
              <w:t>中国政府采购网（http://www.ccgp.gov.cn/）</w:t>
            </w:r>
            <w:r>
              <w:rPr>
                <w:rFonts w:hint="eastAsia" w:ascii="宋体" w:hAnsi="宋体" w:eastAsia="宋体" w:cs="宋体"/>
                <w:sz w:val="24"/>
                <w:szCs w:val="24"/>
                <w:lang w:val="zh-CN"/>
              </w:rPr>
              <w:t>上采购结果公告栏中予以公告。</w:t>
            </w:r>
            <w:bookmarkEnd w:id="21"/>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4"/>
              <w:spacing w:line="360" w:lineRule="auto"/>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 xml:space="preserve">9 </w:t>
            </w:r>
          </w:p>
        </w:tc>
        <w:tc>
          <w:tcPr>
            <w:tcW w:w="2409" w:type="dxa"/>
            <w:vAlign w:val="center"/>
          </w:tcPr>
          <w:p>
            <w:pPr>
              <w:pStyle w:val="74"/>
              <w:spacing w:line="360"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履约保证金</w:t>
            </w:r>
          </w:p>
          <w:p>
            <w:pPr>
              <w:pStyle w:val="74"/>
              <w:spacing w:line="360"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（实质性要求）</w:t>
            </w:r>
          </w:p>
        </w:tc>
        <w:tc>
          <w:tcPr>
            <w:tcW w:w="6084" w:type="dxa"/>
            <w:vAlign w:val="center"/>
          </w:tcPr>
          <w:p>
            <w:pPr>
              <w:pStyle w:val="74"/>
              <w:spacing w:line="360" w:lineRule="auto"/>
              <w:ind w:firstLine="240" w:firstLineChars="100"/>
              <w:jc w:val="both"/>
              <w:rPr>
                <w:rFonts w:hint="default" w:ascii="宋体" w:hAnsi="宋体" w:eastAsia="宋体" w:cs="宋体"/>
                <w:sz w:val="24"/>
                <w:szCs w:val="24"/>
                <w:lang w:val="en-US" w:eastAsia="zh-CN"/>
              </w:rPr>
            </w:pPr>
            <w:r>
              <w:rPr>
                <w:rFonts w:hint="eastAsia" w:cs="宋体"/>
                <w:sz w:val="24"/>
                <w:szCs w:val="24"/>
                <w:lang w:val="en-US" w:eastAsia="zh-CN"/>
              </w:rPr>
              <w:t>本项目不收取履约保证金。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4"/>
              <w:spacing w:line="360" w:lineRule="auto"/>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10</w:t>
            </w:r>
          </w:p>
        </w:tc>
        <w:tc>
          <w:tcPr>
            <w:tcW w:w="2409" w:type="dxa"/>
            <w:vAlign w:val="center"/>
          </w:tcPr>
          <w:p>
            <w:pPr>
              <w:pStyle w:val="74"/>
              <w:spacing w:line="360" w:lineRule="auto"/>
              <w:ind w:left="38"/>
              <w:jc w:val="center"/>
              <w:rPr>
                <w:rFonts w:hint="eastAsia" w:ascii="宋体" w:hAnsi="宋体" w:eastAsia="宋体" w:cs="宋体"/>
                <w:sz w:val="24"/>
                <w:szCs w:val="24"/>
                <w:lang w:val="zh-CN"/>
              </w:rPr>
            </w:pPr>
            <w:r>
              <w:rPr>
                <w:rFonts w:hint="eastAsia" w:ascii="宋体" w:hAnsi="宋体" w:eastAsia="宋体" w:cs="宋体"/>
                <w:sz w:val="24"/>
                <w:szCs w:val="24"/>
              </w:rPr>
              <w:t>谈判</w:t>
            </w:r>
            <w:r>
              <w:rPr>
                <w:rFonts w:hint="eastAsia" w:ascii="宋体" w:hAnsi="宋体" w:eastAsia="宋体" w:cs="宋体"/>
                <w:sz w:val="24"/>
                <w:szCs w:val="24"/>
                <w:lang w:val="zh-CN"/>
              </w:rPr>
              <w:t>文件咨询</w:t>
            </w:r>
          </w:p>
        </w:tc>
        <w:tc>
          <w:tcPr>
            <w:tcW w:w="6084" w:type="dxa"/>
            <w:vAlign w:val="center"/>
          </w:tcPr>
          <w:p>
            <w:pPr>
              <w:pStyle w:val="74"/>
              <w:spacing w:line="360" w:lineRule="auto"/>
              <w:ind w:firstLine="240"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联系人：</w:t>
            </w:r>
            <w:r>
              <w:rPr>
                <w:rFonts w:hint="eastAsia"/>
                <w:color w:val="auto"/>
              </w:rPr>
              <w:t>罗女士</w:t>
            </w:r>
            <w:r>
              <w:rPr>
                <w:rFonts w:hint="eastAsia" w:ascii="宋体" w:hAnsi="宋体" w:eastAsia="宋体" w:cs="宋体"/>
                <w:sz w:val="24"/>
                <w:szCs w:val="24"/>
                <w:lang w:val="zh-CN"/>
              </w:rPr>
              <w:t>。</w:t>
            </w:r>
          </w:p>
          <w:p>
            <w:pPr>
              <w:pStyle w:val="74"/>
              <w:spacing w:line="360" w:lineRule="auto"/>
              <w:ind w:firstLine="240"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联系电话：</w:t>
            </w:r>
            <w:r>
              <w:rPr>
                <w:rFonts w:hint="eastAsia"/>
                <w:color w:val="auto"/>
              </w:rPr>
              <w:t>0830-6665625</w:t>
            </w:r>
            <w:r>
              <w:rPr>
                <w:rFonts w:hint="eastAsia" w:ascii="宋体" w:hAnsi="宋体" w:eastAsia="宋体" w:cs="宋体"/>
                <w:sz w:val="24"/>
                <w:szCs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4"/>
              <w:spacing w:line="360" w:lineRule="auto"/>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11</w:t>
            </w:r>
          </w:p>
        </w:tc>
        <w:tc>
          <w:tcPr>
            <w:tcW w:w="2409" w:type="dxa"/>
            <w:vAlign w:val="center"/>
          </w:tcPr>
          <w:p>
            <w:pPr>
              <w:pStyle w:val="74"/>
              <w:spacing w:line="360"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谈判过程、结果咨询</w:t>
            </w:r>
          </w:p>
        </w:tc>
        <w:tc>
          <w:tcPr>
            <w:tcW w:w="6084" w:type="dxa"/>
            <w:vAlign w:val="center"/>
          </w:tcPr>
          <w:p>
            <w:pPr>
              <w:pStyle w:val="74"/>
              <w:spacing w:line="360" w:lineRule="auto"/>
              <w:ind w:firstLine="240"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联系人：</w:t>
            </w:r>
            <w:r>
              <w:rPr>
                <w:rFonts w:hint="eastAsia"/>
                <w:color w:val="auto"/>
              </w:rPr>
              <w:t>罗女士</w:t>
            </w:r>
            <w:r>
              <w:rPr>
                <w:rFonts w:hint="eastAsia" w:ascii="宋体" w:hAnsi="宋体" w:eastAsia="宋体" w:cs="宋体"/>
                <w:sz w:val="24"/>
                <w:szCs w:val="24"/>
                <w:lang w:val="zh-CN"/>
              </w:rPr>
              <w:t>。</w:t>
            </w:r>
          </w:p>
          <w:p>
            <w:pPr>
              <w:pStyle w:val="74"/>
              <w:spacing w:line="360" w:lineRule="auto"/>
              <w:ind w:firstLine="240"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联系电话：</w:t>
            </w:r>
            <w:r>
              <w:rPr>
                <w:rFonts w:hint="eastAsia"/>
                <w:color w:val="auto"/>
              </w:rPr>
              <w:t>0830-6665625</w:t>
            </w:r>
            <w:r>
              <w:rPr>
                <w:rFonts w:hint="eastAsia" w:ascii="宋体" w:hAnsi="宋体" w:eastAsia="宋体" w:cs="宋体"/>
                <w:sz w:val="24"/>
                <w:szCs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4"/>
              <w:spacing w:line="360" w:lineRule="auto"/>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12</w:t>
            </w:r>
          </w:p>
        </w:tc>
        <w:tc>
          <w:tcPr>
            <w:tcW w:w="2409" w:type="dxa"/>
            <w:vAlign w:val="center"/>
          </w:tcPr>
          <w:p>
            <w:pPr>
              <w:pStyle w:val="74"/>
              <w:spacing w:line="360"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成交通知书领取</w:t>
            </w:r>
          </w:p>
        </w:tc>
        <w:tc>
          <w:tcPr>
            <w:tcW w:w="6084" w:type="dxa"/>
            <w:vAlign w:val="center"/>
          </w:tcPr>
          <w:p>
            <w:pPr>
              <w:pStyle w:val="74"/>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成交公告在中国政府采购网上公告后，请成交供应商凭有效身份证明证件到代理机构领取成交通知书。</w:t>
            </w:r>
          </w:p>
          <w:p>
            <w:pPr>
              <w:pStyle w:val="74"/>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联系电话：0830-6665625。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4"/>
              <w:spacing w:line="360" w:lineRule="auto"/>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13</w:t>
            </w:r>
          </w:p>
        </w:tc>
        <w:tc>
          <w:tcPr>
            <w:tcW w:w="2409" w:type="dxa"/>
            <w:vAlign w:val="center"/>
          </w:tcPr>
          <w:p>
            <w:pPr>
              <w:pStyle w:val="74"/>
              <w:spacing w:line="360"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供应商询问</w:t>
            </w:r>
          </w:p>
        </w:tc>
        <w:tc>
          <w:tcPr>
            <w:tcW w:w="6084" w:type="dxa"/>
          </w:tcPr>
          <w:p>
            <w:pPr>
              <w:pStyle w:val="74"/>
              <w:spacing w:line="360" w:lineRule="auto"/>
              <w:ind w:firstLine="240"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联系人：</w:t>
            </w:r>
            <w:r>
              <w:rPr>
                <w:rFonts w:hint="eastAsia"/>
                <w:color w:val="auto"/>
              </w:rPr>
              <w:t>罗女士</w:t>
            </w:r>
            <w:r>
              <w:rPr>
                <w:rFonts w:hint="eastAsia" w:ascii="宋体" w:hAnsi="宋体" w:eastAsia="宋体" w:cs="宋体"/>
                <w:sz w:val="24"/>
                <w:szCs w:val="24"/>
                <w:lang w:val="zh-CN"/>
              </w:rPr>
              <w:t>。</w:t>
            </w:r>
          </w:p>
          <w:p>
            <w:pPr>
              <w:pStyle w:val="74"/>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联系电话：</w:t>
            </w:r>
            <w:r>
              <w:rPr>
                <w:rFonts w:hint="eastAsia"/>
                <w:color w:val="auto"/>
              </w:rPr>
              <w:t>0830-6665625</w:t>
            </w:r>
            <w:r>
              <w:rPr>
                <w:rFonts w:hint="eastAsia" w:ascii="宋体" w:hAnsi="宋体" w:eastAsia="宋体" w:cs="宋体"/>
                <w:sz w:val="24"/>
                <w:szCs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4"/>
              <w:spacing w:line="360" w:lineRule="auto"/>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14</w:t>
            </w:r>
          </w:p>
        </w:tc>
        <w:tc>
          <w:tcPr>
            <w:tcW w:w="2409" w:type="dxa"/>
            <w:vAlign w:val="center"/>
          </w:tcPr>
          <w:p>
            <w:pPr>
              <w:pStyle w:val="74"/>
              <w:spacing w:line="360" w:lineRule="auto"/>
              <w:ind w:left="96"/>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供应商质疑</w:t>
            </w:r>
          </w:p>
        </w:tc>
        <w:tc>
          <w:tcPr>
            <w:tcW w:w="6084" w:type="dxa"/>
            <w:vAlign w:val="center"/>
          </w:tcPr>
          <w:p>
            <w:pPr>
              <w:pStyle w:val="74"/>
              <w:spacing w:line="360" w:lineRule="auto"/>
              <w:ind w:firstLine="240" w:firstLineChars="100"/>
              <w:jc w:val="both"/>
              <w:rPr>
                <w:rFonts w:hint="eastAsia" w:ascii="宋体" w:hAnsi="宋体" w:eastAsia="宋体" w:cs="宋体"/>
                <w:sz w:val="24"/>
                <w:szCs w:val="24"/>
                <w:lang w:val="zh-CN"/>
              </w:rPr>
            </w:pPr>
            <w:bookmarkStart w:id="22" w:name="PO_默认文件内容_19"/>
            <w:r>
              <w:rPr>
                <w:rFonts w:hint="eastAsia" w:ascii="宋体" w:hAnsi="宋体" w:eastAsia="宋体" w:cs="宋体"/>
                <w:sz w:val="24"/>
                <w:szCs w:val="24"/>
                <w:lang w:val="zh-CN"/>
              </w:rPr>
              <w:t>联系人：</w:t>
            </w:r>
            <w:r>
              <w:rPr>
                <w:rFonts w:hint="eastAsia"/>
                <w:color w:val="auto"/>
              </w:rPr>
              <w:t>罗女士</w:t>
            </w:r>
            <w:r>
              <w:rPr>
                <w:rFonts w:hint="eastAsia" w:ascii="宋体" w:hAnsi="宋体" w:eastAsia="宋体" w:cs="宋体"/>
                <w:sz w:val="24"/>
                <w:szCs w:val="24"/>
                <w:lang w:val="zh-CN"/>
              </w:rPr>
              <w:t>。</w:t>
            </w:r>
          </w:p>
          <w:p>
            <w:pPr>
              <w:pStyle w:val="74"/>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联系电话：</w:t>
            </w:r>
            <w:r>
              <w:rPr>
                <w:rFonts w:hint="eastAsia"/>
                <w:color w:val="auto"/>
              </w:rPr>
              <w:t>0830-6665625</w:t>
            </w:r>
            <w:r>
              <w:rPr>
                <w:rFonts w:hint="eastAsia" w:ascii="宋体" w:hAnsi="宋体" w:eastAsia="宋体" w:cs="宋体"/>
                <w:sz w:val="24"/>
                <w:szCs w:val="24"/>
                <w:lang w:val="zh-CN"/>
              </w:rPr>
              <w:t>。</w:t>
            </w:r>
          </w:p>
          <w:p>
            <w:pPr>
              <w:pStyle w:val="74"/>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注：根据《中华人民共和国政府采购法》等规定，供应商质疑不得超出谈判文件、谈判过程、谈判结果的范围，供应商针对同一采购程序环节的质疑应在法定质疑期内一次性提出。</w:t>
            </w:r>
            <w:bookmarkEnd w:id="22"/>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4"/>
              <w:spacing w:line="360" w:lineRule="auto"/>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15</w:t>
            </w:r>
          </w:p>
        </w:tc>
        <w:tc>
          <w:tcPr>
            <w:tcW w:w="2409" w:type="dxa"/>
            <w:vAlign w:val="center"/>
          </w:tcPr>
          <w:p>
            <w:pPr>
              <w:pStyle w:val="74"/>
              <w:spacing w:line="360" w:lineRule="auto"/>
              <w:ind w:left="96"/>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供应商投诉</w:t>
            </w:r>
          </w:p>
        </w:tc>
        <w:tc>
          <w:tcPr>
            <w:tcW w:w="6084" w:type="dxa"/>
            <w:vAlign w:val="center"/>
          </w:tcPr>
          <w:p>
            <w:pPr>
              <w:pStyle w:val="74"/>
              <w:spacing w:line="360" w:lineRule="auto"/>
              <w:ind w:left="694" w:leftChars="102" w:hanging="480" w:hangingChars="200"/>
              <w:jc w:val="both"/>
              <w:rPr>
                <w:rFonts w:hint="eastAsia" w:ascii="宋体" w:hAnsi="宋体" w:eastAsia="宋体" w:cs="宋体"/>
                <w:sz w:val="24"/>
                <w:szCs w:val="24"/>
                <w:lang w:val="zh-CN"/>
              </w:rPr>
            </w:pPr>
            <w:r>
              <w:rPr>
                <w:rFonts w:hint="eastAsia" w:ascii="宋体" w:hAnsi="宋体" w:eastAsia="宋体" w:cs="宋体"/>
                <w:sz w:val="24"/>
                <w:szCs w:val="24"/>
                <w:lang w:val="zh-CN"/>
              </w:rPr>
              <w:t>投诉受理单位：</w:t>
            </w:r>
            <w:r>
              <w:rPr>
                <w:rFonts w:hint="eastAsia" w:cs="宋体"/>
                <w:color w:val="auto"/>
              </w:rPr>
              <w:t>本采购项目采购人</w:t>
            </w:r>
            <w:r>
              <w:rPr>
                <w:rFonts w:hint="eastAsia" w:ascii="宋体" w:hAnsi="宋体" w:eastAsia="宋体" w:cs="宋体"/>
                <w:sz w:val="24"/>
                <w:szCs w:val="24"/>
                <w:lang w:val="zh-CN"/>
              </w:rPr>
              <w:t>。</w:t>
            </w:r>
          </w:p>
          <w:p>
            <w:pPr>
              <w:pStyle w:val="74"/>
              <w:spacing w:line="360" w:lineRule="auto"/>
              <w:ind w:left="694" w:leftChars="102" w:hanging="480" w:hangingChars="200"/>
              <w:jc w:val="both"/>
              <w:rPr>
                <w:rFonts w:hint="eastAsia" w:ascii="宋体" w:hAnsi="宋体" w:eastAsia="宋体" w:cs="宋体"/>
                <w:sz w:val="24"/>
                <w:szCs w:val="24"/>
                <w:lang w:val="zh-CN"/>
              </w:rPr>
            </w:pPr>
            <w:r>
              <w:rPr>
                <w:rFonts w:hint="eastAsia" w:ascii="宋体" w:hAnsi="宋体" w:eastAsia="宋体" w:cs="宋体"/>
                <w:sz w:val="24"/>
                <w:szCs w:val="24"/>
                <w:lang w:val="zh-CN"/>
              </w:rPr>
              <w:t>联系电话：</w:t>
            </w:r>
            <w:r>
              <w:rPr>
                <w:rFonts w:hint="eastAsia" w:cs="宋体"/>
                <w:color w:val="auto"/>
              </w:rPr>
              <w:t>0813-</w:t>
            </w:r>
            <w:r>
              <w:rPr>
                <w:rFonts w:hint="eastAsia" w:cs="宋体"/>
                <w:color w:val="auto"/>
                <w:lang w:eastAsia="zh-CN"/>
              </w:rPr>
              <w:t>5197655</w:t>
            </w:r>
            <w:r>
              <w:rPr>
                <w:rFonts w:hint="eastAsia" w:ascii="宋体" w:hAnsi="宋体" w:eastAsia="宋体" w:cs="宋体"/>
                <w:sz w:val="24"/>
                <w:szCs w:val="24"/>
                <w:lang w:val="zh-CN"/>
              </w:rPr>
              <w:t>。</w:t>
            </w:r>
          </w:p>
          <w:p>
            <w:pPr>
              <w:pStyle w:val="74"/>
              <w:spacing w:line="360" w:lineRule="auto"/>
              <w:ind w:left="694" w:leftChars="102" w:hanging="480" w:hangingChars="200"/>
              <w:jc w:val="both"/>
              <w:rPr>
                <w:rFonts w:hint="eastAsia" w:ascii="宋体" w:hAnsi="宋体" w:eastAsia="宋体" w:cs="宋体"/>
                <w:sz w:val="24"/>
                <w:szCs w:val="24"/>
                <w:lang w:val="zh-CN"/>
              </w:rPr>
            </w:pPr>
            <w:r>
              <w:rPr>
                <w:rFonts w:hint="eastAsia" w:ascii="宋体" w:hAnsi="宋体" w:eastAsia="宋体" w:cs="宋体"/>
                <w:sz w:val="24"/>
                <w:szCs w:val="24"/>
                <w:lang w:val="zh-CN"/>
              </w:rPr>
              <w:t>联系地址：</w:t>
            </w:r>
            <w:r>
              <w:rPr>
                <w:rFonts w:hint="eastAsia" w:cs="宋体"/>
                <w:color w:val="auto"/>
              </w:rPr>
              <w:t>富顺县东湖街道东湖大道1801号</w:t>
            </w:r>
            <w:r>
              <w:rPr>
                <w:rFonts w:hint="eastAsia" w:ascii="宋体" w:hAnsi="宋体" w:eastAsia="宋体" w:cs="宋体"/>
                <w:sz w:val="24"/>
                <w:szCs w:val="24"/>
                <w:lang w:val="zh-CN"/>
              </w:rPr>
              <w:t>。</w:t>
            </w:r>
          </w:p>
          <w:p>
            <w:pPr>
              <w:pStyle w:val="74"/>
              <w:spacing w:line="360" w:lineRule="auto"/>
              <w:ind w:firstLine="240"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注：根据《中华人民共和国政府采购法》及其他有关等规定，供应商投诉事项不得超出已质疑事项的范围。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4"/>
              <w:spacing w:line="360" w:lineRule="auto"/>
              <w:ind w:right="230"/>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rPr>
              <w:t>1</w:t>
            </w:r>
            <w:r>
              <w:rPr>
                <w:rFonts w:hint="eastAsia" w:cs="宋体"/>
                <w:sz w:val="24"/>
                <w:szCs w:val="24"/>
                <w:lang w:val="en-US" w:eastAsia="zh-CN"/>
              </w:rPr>
              <w:t>6</w:t>
            </w:r>
          </w:p>
        </w:tc>
        <w:tc>
          <w:tcPr>
            <w:tcW w:w="2409" w:type="dxa"/>
            <w:vAlign w:val="center"/>
          </w:tcPr>
          <w:p>
            <w:pPr>
              <w:pStyle w:val="74"/>
              <w:spacing w:line="360" w:lineRule="auto"/>
              <w:ind w:left="96"/>
              <w:jc w:val="center"/>
              <w:rPr>
                <w:rFonts w:hint="eastAsia" w:ascii="宋体" w:hAnsi="宋体" w:eastAsia="宋体" w:cs="宋体"/>
                <w:sz w:val="24"/>
                <w:szCs w:val="24"/>
                <w:lang w:val="zh-CN"/>
              </w:rPr>
            </w:pPr>
            <w:r>
              <w:rPr>
                <w:rFonts w:hint="eastAsia" w:ascii="宋体" w:hAnsi="宋体" w:eastAsia="宋体" w:cs="宋体"/>
                <w:sz w:val="24"/>
                <w:szCs w:val="24"/>
                <w:lang w:val="zh-CN"/>
              </w:rPr>
              <w:t>代理服务费</w:t>
            </w:r>
          </w:p>
        </w:tc>
        <w:tc>
          <w:tcPr>
            <w:tcW w:w="6084" w:type="dxa"/>
            <w:vAlign w:val="center"/>
          </w:tcPr>
          <w:p>
            <w:pPr>
              <w:pStyle w:val="74"/>
              <w:spacing w:line="360" w:lineRule="auto"/>
              <w:ind w:left="155" w:leftChars="74" w:firstLine="64" w:firstLineChars="27"/>
              <w:jc w:val="both"/>
              <w:rPr>
                <w:rFonts w:hint="eastAsia" w:ascii="宋体" w:hAnsi="宋体" w:eastAsia="宋体" w:cs="宋体"/>
                <w:sz w:val="24"/>
                <w:szCs w:val="24"/>
                <w:lang w:val="zh-CN"/>
              </w:rPr>
            </w:pPr>
            <w:r>
              <w:rPr>
                <w:rFonts w:hint="eastAsia" w:ascii="宋体" w:hAnsi="宋体" w:eastAsia="宋体" w:cs="宋体"/>
                <w:color w:val="auto"/>
                <w:sz w:val="24"/>
                <w:szCs w:val="24"/>
                <w:lang w:val="zh-CN" w:eastAsia="zh-CN" w:bidi="ar-SA"/>
              </w:rPr>
              <w:t>本项目代理</w:t>
            </w:r>
            <w:r>
              <w:rPr>
                <w:rFonts w:hint="eastAsia" w:ascii="宋体" w:hAnsi="宋体" w:eastAsia="宋体" w:cs="宋体"/>
                <w:color w:val="auto"/>
                <w:sz w:val="24"/>
                <w:szCs w:val="24"/>
                <w:lang w:val="en-US" w:eastAsia="zh-CN" w:bidi="ar-SA"/>
              </w:rPr>
              <w:t>费</w:t>
            </w:r>
            <w:r>
              <w:rPr>
                <w:rFonts w:hint="eastAsia" w:hAnsi="宋体" w:cs="宋体"/>
                <w:color w:val="auto"/>
                <w:sz w:val="24"/>
                <w:szCs w:val="24"/>
                <w:lang w:val="en-US" w:eastAsia="zh-CN" w:bidi="ar-SA"/>
              </w:rPr>
              <w:t>定额向成交供应商以现金或转账方式收取人民币3000.00元（大写：叁仟元整）</w:t>
            </w:r>
            <w:r>
              <w:rPr>
                <w:rFonts w:hint="eastAsia" w:ascii="宋体" w:hAnsi="宋体" w:eastAsia="宋体" w:cs="宋体"/>
                <w:color w:val="auto"/>
                <w:sz w:val="24"/>
                <w:szCs w:val="24"/>
                <w:lang w:val="en-US" w:eastAsia="zh-CN" w:bidi="ar-SA"/>
              </w:rPr>
              <w:t>，由</w:t>
            </w:r>
            <w:r>
              <w:rPr>
                <w:rFonts w:hint="eastAsia" w:ascii="宋体" w:hAnsi="宋体" w:eastAsia="宋体" w:cs="宋体"/>
                <w:color w:val="auto"/>
                <w:sz w:val="24"/>
                <w:szCs w:val="24"/>
                <w:lang w:val="zh-CN" w:eastAsia="zh-CN" w:bidi="ar-SA"/>
              </w:rPr>
              <w:t>成交供应商在领取成交通知书时一次性支付给采购代理机构。</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4"/>
              <w:spacing w:line="360" w:lineRule="auto"/>
              <w:ind w:right="230"/>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rPr>
              <w:t>1</w:t>
            </w:r>
            <w:r>
              <w:rPr>
                <w:rFonts w:hint="eastAsia" w:cs="宋体"/>
                <w:sz w:val="24"/>
                <w:szCs w:val="24"/>
                <w:lang w:val="en-US" w:eastAsia="zh-CN"/>
              </w:rPr>
              <w:t>7</w:t>
            </w:r>
          </w:p>
        </w:tc>
        <w:tc>
          <w:tcPr>
            <w:tcW w:w="2409" w:type="dxa"/>
            <w:vAlign w:val="center"/>
          </w:tcPr>
          <w:p>
            <w:pPr>
              <w:pStyle w:val="74"/>
              <w:spacing w:line="360" w:lineRule="auto"/>
              <w:ind w:left="96"/>
              <w:jc w:val="center"/>
              <w:rPr>
                <w:rFonts w:hint="eastAsia" w:ascii="宋体" w:hAnsi="宋体" w:eastAsia="宋体" w:cs="宋体"/>
                <w:sz w:val="24"/>
                <w:szCs w:val="24"/>
                <w:lang w:val="zh-CN"/>
              </w:rPr>
            </w:pPr>
            <w:r>
              <w:rPr>
                <w:rFonts w:hint="eastAsia" w:ascii="宋体" w:hAnsi="宋体" w:eastAsia="宋体" w:cs="宋体"/>
                <w:sz w:val="24"/>
                <w:szCs w:val="24"/>
                <w:lang w:val="zh-CN"/>
              </w:rPr>
              <w:t>合同分包</w:t>
            </w:r>
          </w:p>
        </w:tc>
        <w:tc>
          <w:tcPr>
            <w:tcW w:w="6084" w:type="dxa"/>
            <w:vAlign w:val="center"/>
          </w:tcPr>
          <w:p>
            <w:pPr>
              <w:pStyle w:val="74"/>
              <w:spacing w:line="360" w:lineRule="auto"/>
              <w:ind w:left="155" w:leftChars="74" w:firstLine="64" w:firstLineChars="27"/>
              <w:jc w:val="both"/>
              <w:rPr>
                <w:rFonts w:hint="eastAsia" w:ascii="宋体" w:hAnsi="宋体" w:eastAsia="宋体" w:cs="宋体"/>
                <w:sz w:val="24"/>
                <w:szCs w:val="24"/>
                <w:lang w:val="zh-CN"/>
              </w:rPr>
            </w:pPr>
            <w:r>
              <w:rPr>
                <w:rFonts w:hint="eastAsia" w:ascii="宋体" w:hAnsi="宋体" w:eastAsia="宋体" w:cs="宋体"/>
                <w:sz w:val="24"/>
                <w:szCs w:val="24"/>
                <w:lang w:val="zh-CN"/>
              </w:rPr>
              <w:t>本项目不接受合同分包；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4"/>
              <w:spacing w:line="360" w:lineRule="auto"/>
              <w:ind w:right="230"/>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rPr>
              <w:t>1</w:t>
            </w:r>
            <w:r>
              <w:rPr>
                <w:rFonts w:hint="eastAsia" w:cs="宋体"/>
                <w:sz w:val="24"/>
                <w:szCs w:val="24"/>
                <w:lang w:val="en-US" w:eastAsia="zh-CN"/>
              </w:rPr>
              <w:t>8</w:t>
            </w:r>
          </w:p>
        </w:tc>
        <w:tc>
          <w:tcPr>
            <w:tcW w:w="2409" w:type="dxa"/>
            <w:vAlign w:val="center"/>
          </w:tcPr>
          <w:p>
            <w:pPr>
              <w:pStyle w:val="74"/>
              <w:spacing w:line="360" w:lineRule="auto"/>
              <w:ind w:left="155" w:leftChars="74" w:firstLine="64" w:firstLineChars="27"/>
              <w:jc w:val="center"/>
              <w:rPr>
                <w:rFonts w:hint="eastAsia" w:ascii="宋体" w:hAnsi="宋体" w:eastAsia="宋体" w:cs="宋体"/>
                <w:sz w:val="24"/>
                <w:szCs w:val="24"/>
                <w:lang w:val="zh-CN"/>
              </w:rPr>
            </w:pPr>
            <w:r>
              <w:rPr>
                <w:rFonts w:hint="eastAsia" w:ascii="宋体" w:hAnsi="宋体" w:eastAsia="宋体" w:cs="宋体"/>
                <w:sz w:val="24"/>
                <w:szCs w:val="24"/>
                <w:lang w:val="zh-CN"/>
              </w:rPr>
              <w:t>声明承诺提醒</w:t>
            </w:r>
          </w:p>
        </w:tc>
        <w:tc>
          <w:tcPr>
            <w:tcW w:w="6084" w:type="dxa"/>
            <w:vAlign w:val="center"/>
          </w:tcPr>
          <w:p>
            <w:pPr>
              <w:pStyle w:val="74"/>
              <w:spacing w:line="360" w:lineRule="auto"/>
              <w:ind w:left="155" w:leftChars="74" w:firstLine="64" w:firstLineChars="27"/>
              <w:jc w:val="both"/>
              <w:rPr>
                <w:rFonts w:hint="eastAsia" w:ascii="宋体" w:hAnsi="宋体" w:eastAsia="宋体" w:cs="宋体"/>
                <w:sz w:val="24"/>
                <w:szCs w:val="24"/>
                <w:lang w:val="zh-CN"/>
              </w:rPr>
            </w:pPr>
            <w:r>
              <w:rPr>
                <w:rFonts w:hint="eastAsia" w:ascii="宋体" w:hAnsi="宋体" w:eastAsia="宋体" w:cs="宋体"/>
                <w:sz w:val="24"/>
                <w:szCs w:val="24"/>
                <w:lang w:val="zh-CN"/>
              </w:rPr>
              <w:t>供应商响应文件中提供的各种声明和承诺应当真实有效，无效声明和承诺、虚假声明和承诺将由供应商自己承担由此带来的任何不利后果，虚假声明和承诺还将报告监管部门追究法律责任。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tcBorders>
              <w:bottom w:val="single" w:color="auto" w:sz="18" w:space="0"/>
            </w:tcBorders>
            <w:vAlign w:val="center"/>
          </w:tcPr>
          <w:p>
            <w:pPr>
              <w:pStyle w:val="74"/>
              <w:spacing w:line="360" w:lineRule="auto"/>
              <w:ind w:right="230"/>
              <w:jc w:val="center"/>
              <w:rPr>
                <w:rFonts w:hint="default" w:ascii="宋体" w:hAnsi="宋体" w:eastAsia="宋体" w:cs="宋体"/>
                <w:sz w:val="24"/>
                <w:szCs w:val="24"/>
                <w:highlight w:val="yellow"/>
                <w:lang w:val="en-US" w:eastAsia="zh-CN"/>
              </w:rPr>
            </w:pPr>
            <w:r>
              <w:rPr>
                <w:rFonts w:hint="eastAsia" w:cs="宋体"/>
                <w:sz w:val="24"/>
                <w:szCs w:val="24"/>
                <w:lang w:val="en-US" w:eastAsia="zh-CN"/>
              </w:rPr>
              <w:t>19</w:t>
            </w:r>
          </w:p>
        </w:tc>
        <w:tc>
          <w:tcPr>
            <w:tcW w:w="2409" w:type="dxa"/>
            <w:tcBorders>
              <w:bottom w:val="single" w:color="auto" w:sz="18" w:space="0"/>
            </w:tcBorders>
            <w:vAlign w:val="center"/>
          </w:tcPr>
          <w:p>
            <w:pPr>
              <w:pStyle w:val="74"/>
              <w:spacing w:line="360" w:lineRule="auto"/>
              <w:ind w:left="155" w:leftChars="74" w:firstLine="64" w:firstLineChars="27"/>
              <w:jc w:val="center"/>
              <w:rPr>
                <w:rFonts w:hint="eastAsia" w:ascii="宋体" w:hAnsi="宋体" w:eastAsia="宋体" w:cs="宋体"/>
                <w:sz w:val="24"/>
                <w:szCs w:val="24"/>
                <w:lang w:val="zh-CN"/>
              </w:rPr>
            </w:pPr>
            <w:r>
              <w:rPr>
                <w:rFonts w:hint="eastAsia" w:ascii="宋体" w:hAnsi="宋体" w:eastAsia="宋体" w:cs="宋体"/>
                <w:sz w:val="24"/>
                <w:szCs w:val="24"/>
                <w:lang w:val="zh-CN"/>
              </w:rPr>
              <w:t>中小企业政府采购信用融资</w:t>
            </w:r>
          </w:p>
        </w:tc>
        <w:tc>
          <w:tcPr>
            <w:tcW w:w="6084" w:type="dxa"/>
            <w:tcBorders>
              <w:bottom w:val="single" w:color="auto" w:sz="18" w:space="0"/>
            </w:tcBorders>
            <w:vAlign w:val="center"/>
          </w:tcPr>
          <w:p>
            <w:pPr>
              <w:pStyle w:val="74"/>
              <w:spacing w:line="360" w:lineRule="auto"/>
              <w:ind w:left="155" w:leftChars="74" w:firstLine="64" w:firstLineChars="27"/>
              <w:jc w:val="both"/>
              <w:rPr>
                <w:rFonts w:hint="eastAsia" w:ascii="宋体" w:hAnsi="宋体" w:eastAsia="宋体" w:cs="宋体"/>
                <w:sz w:val="24"/>
                <w:szCs w:val="24"/>
                <w:lang w:val="zh-CN"/>
              </w:rPr>
            </w:pPr>
            <w:r>
              <w:rPr>
                <w:rFonts w:hint="eastAsia" w:ascii="宋体" w:hAnsi="宋体" w:eastAsia="宋体" w:cs="宋体"/>
                <w:sz w:val="24"/>
                <w:szCs w:val="24"/>
                <w:lang w:val="zh-CN"/>
              </w:rPr>
              <w:t>参加本次采购活动成交的中小企业无需提供财产抵押或第三方担保，凭借政府采购合同可向金融机构申请融资。相关政策规定内容请在“</w:t>
            </w:r>
            <w:r>
              <w:rPr>
                <w:rFonts w:hint="eastAsia" w:cs="宋体"/>
                <w:sz w:val="24"/>
                <w:szCs w:val="24"/>
                <w:lang w:val="zh-CN"/>
              </w:rPr>
              <w:t>中国政府采购网（http://www.ccgp.gov.cn/）</w:t>
            </w:r>
            <w:r>
              <w:rPr>
                <w:rFonts w:hint="eastAsia" w:ascii="宋体" w:hAnsi="宋体" w:eastAsia="宋体" w:cs="宋体"/>
                <w:sz w:val="24"/>
                <w:szCs w:val="24"/>
                <w:lang w:val="zh-CN"/>
              </w:rPr>
              <w:t>”查询。</w:t>
            </w:r>
          </w:p>
        </w:tc>
      </w:tr>
    </w:tbl>
    <w:p>
      <w:pPr>
        <w:widowControl/>
        <w:spacing w:line="360" w:lineRule="auto"/>
        <w:jc w:val="left"/>
        <w:rPr>
          <w:rFonts w:hint="eastAsia" w:ascii="宋体" w:hAnsi="宋体" w:eastAsia="宋体" w:cs="宋体"/>
          <w:b/>
          <w:bCs/>
          <w:sz w:val="24"/>
          <w:szCs w:val="24"/>
        </w:rPr>
      </w:pPr>
    </w:p>
    <w:p>
      <w:pPr>
        <w:pStyle w:val="4"/>
        <w:keepNext w:val="0"/>
        <w:keepLines w:val="0"/>
        <w:spacing w:before="0" w:after="0" w:line="360" w:lineRule="auto"/>
        <w:jc w:val="center"/>
        <w:rPr>
          <w:rFonts w:hint="eastAsia" w:ascii="宋体" w:hAnsi="宋体" w:eastAsia="宋体" w:cs="宋体"/>
          <w:sz w:val="24"/>
          <w:szCs w:val="24"/>
        </w:rPr>
      </w:pPr>
      <w:r>
        <w:rPr>
          <w:rFonts w:hint="eastAsia" w:ascii="宋体" w:hAnsi="宋体" w:eastAsia="宋体" w:cs="宋体"/>
          <w:sz w:val="24"/>
          <w:szCs w:val="24"/>
        </w:rPr>
        <w:t>二、总则</w:t>
      </w:r>
    </w:p>
    <w:p>
      <w:pPr>
        <w:bidi w:val="0"/>
        <w:spacing w:line="360" w:lineRule="auto"/>
        <w:ind w:firstLine="482" w:firstLineChars="200"/>
        <w:rPr>
          <w:rFonts w:hint="eastAsia"/>
          <w:b/>
          <w:bCs/>
          <w:sz w:val="24"/>
          <w:szCs w:val="24"/>
        </w:rPr>
      </w:pPr>
      <w:bookmarkStart w:id="23" w:name="_Toc183582205"/>
      <w:bookmarkStart w:id="24" w:name="_Toc183682342"/>
      <w:bookmarkStart w:id="25" w:name="_Toc217446034"/>
      <w:bookmarkStart w:id="26" w:name="PO_默认文件内容_23"/>
      <w:r>
        <w:rPr>
          <w:rFonts w:hint="eastAsia"/>
          <w:b/>
          <w:bCs/>
          <w:sz w:val="24"/>
          <w:szCs w:val="24"/>
        </w:rPr>
        <w:t>1.</w:t>
      </w:r>
      <w:bookmarkEnd w:id="23"/>
      <w:bookmarkEnd w:id="24"/>
      <w:r>
        <w:rPr>
          <w:rFonts w:hint="eastAsia"/>
          <w:b/>
          <w:bCs/>
          <w:sz w:val="24"/>
          <w:szCs w:val="24"/>
        </w:rPr>
        <w:t>适用范围</w:t>
      </w:r>
      <w:bookmarkEnd w:id="25"/>
    </w:p>
    <w:p>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本谈判文件仅适用于本次谈判采购项目。</w:t>
      </w:r>
    </w:p>
    <w:p>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 本谈判文件的解释权归采购人和采购代理机构所有。</w:t>
      </w:r>
      <w:bookmarkEnd w:id="26"/>
    </w:p>
    <w:p>
      <w:pPr>
        <w:bidi w:val="0"/>
        <w:spacing w:line="360" w:lineRule="auto"/>
        <w:ind w:firstLine="482" w:firstLineChars="200"/>
        <w:rPr>
          <w:rFonts w:hint="eastAsia" w:ascii="Times New Roman" w:hAnsi="Times New Roman" w:eastAsia="宋体" w:cs="Times New Roman"/>
          <w:b/>
          <w:bCs/>
          <w:sz w:val="24"/>
          <w:szCs w:val="24"/>
        </w:rPr>
      </w:pPr>
      <w:bookmarkStart w:id="27" w:name="_Toc217446035"/>
      <w:bookmarkStart w:id="28" w:name="_Toc183582206"/>
      <w:bookmarkStart w:id="29" w:name="_Toc183682343"/>
      <w:r>
        <w:rPr>
          <w:rFonts w:hint="eastAsia" w:ascii="Times New Roman" w:hAnsi="Times New Roman" w:eastAsia="宋体" w:cs="Times New Roman"/>
          <w:b/>
          <w:bCs/>
          <w:sz w:val="24"/>
          <w:szCs w:val="24"/>
        </w:rPr>
        <w:t>2.</w:t>
      </w:r>
      <w:bookmarkEnd w:id="27"/>
      <w:bookmarkEnd w:id="28"/>
      <w:bookmarkEnd w:id="29"/>
      <w:r>
        <w:rPr>
          <w:rFonts w:hint="eastAsia" w:ascii="Times New Roman" w:hAnsi="Times New Roman" w:eastAsia="宋体" w:cs="Times New Roman"/>
          <w:b/>
          <w:bCs/>
          <w:sz w:val="24"/>
          <w:szCs w:val="24"/>
        </w:rPr>
        <w:t>采购主体</w:t>
      </w:r>
    </w:p>
    <w:p>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2.1本次谈判的采购人是</w:t>
      </w:r>
      <w:r>
        <w:rPr>
          <w:rFonts w:hint="eastAsia" w:ascii="宋体" w:hAnsi="宋体" w:eastAsia="宋体" w:cs="宋体"/>
          <w:b/>
          <w:bCs/>
          <w:sz w:val="24"/>
          <w:szCs w:val="24"/>
        </w:rPr>
        <w:t>富顺县中医医院</w:t>
      </w:r>
      <w:r>
        <w:rPr>
          <w:rFonts w:hint="eastAsia" w:ascii="宋体" w:hAnsi="宋体" w:eastAsia="宋体" w:cs="宋体"/>
          <w:sz w:val="24"/>
          <w:szCs w:val="24"/>
        </w:rPr>
        <w:t>。</w:t>
      </w:r>
    </w:p>
    <w:p>
      <w:pPr>
        <w:tabs>
          <w:tab w:val="left" w:pos="7665"/>
        </w:tabs>
        <w:spacing w:line="360" w:lineRule="auto"/>
        <w:ind w:firstLine="480" w:firstLineChars="200"/>
        <w:rPr>
          <w:rFonts w:hint="eastAsia" w:ascii="宋体" w:hAnsi="宋体" w:eastAsia="宋体" w:cs="宋体"/>
          <w:sz w:val="24"/>
          <w:szCs w:val="24"/>
        </w:rPr>
      </w:pPr>
      <w:bookmarkStart w:id="30" w:name="PO_默认文件内容_24"/>
      <w:r>
        <w:rPr>
          <w:rFonts w:hint="eastAsia" w:ascii="宋体" w:hAnsi="宋体" w:eastAsia="宋体" w:cs="宋体"/>
          <w:sz w:val="24"/>
          <w:szCs w:val="24"/>
        </w:rPr>
        <w:t>2.2本次谈判的采购代理机构是</w:t>
      </w:r>
      <w:r>
        <w:rPr>
          <w:rFonts w:hint="eastAsia" w:ascii="宋体" w:hAnsi="宋体" w:eastAsia="宋体" w:cs="宋体"/>
          <w:b/>
          <w:bCs/>
          <w:sz w:val="24"/>
          <w:szCs w:val="24"/>
        </w:rPr>
        <w:t>四川哲胜招标代理有限公司</w:t>
      </w:r>
      <w:r>
        <w:rPr>
          <w:rFonts w:hint="eastAsia" w:ascii="宋体" w:hAnsi="宋体" w:eastAsia="宋体" w:cs="宋体"/>
          <w:sz w:val="24"/>
          <w:szCs w:val="24"/>
        </w:rPr>
        <w:t>。</w:t>
      </w:r>
    </w:p>
    <w:p>
      <w:pPr>
        <w:bidi w:val="0"/>
        <w:spacing w:line="360" w:lineRule="auto"/>
        <w:ind w:firstLine="482" w:firstLineChars="200"/>
        <w:rPr>
          <w:rFonts w:hint="eastAsia" w:ascii="Times New Roman" w:hAnsi="Times New Roman" w:eastAsia="宋体" w:cs="Times New Roman"/>
          <w:b/>
          <w:bCs/>
          <w:sz w:val="24"/>
          <w:szCs w:val="24"/>
        </w:rPr>
      </w:pPr>
      <w:bookmarkStart w:id="31" w:name="_Toc217390843"/>
      <w:bookmarkStart w:id="32" w:name="_Toc183582207"/>
      <w:bookmarkStart w:id="33" w:name="_Toc217446036"/>
      <w:bookmarkStart w:id="34" w:name="_Toc183682344"/>
      <w:r>
        <w:rPr>
          <w:rFonts w:hint="eastAsia" w:ascii="Times New Roman" w:hAnsi="Times New Roman" w:eastAsia="宋体" w:cs="Times New Roman"/>
          <w:b/>
          <w:bCs/>
          <w:sz w:val="24"/>
          <w:szCs w:val="24"/>
        </w:rPr>
        <w:t>3. 合格</w:t>
      </w:r>
      <w:bookmarkEnd w:id="31"/>
      <w:bookmarkEnd w:id="32"/>
      <w:bookmarkEnd w:id="33"/>
      <w:bookmarkEnd w:id="34"/>
      <w:r>
        <w:rPr>
          <w:rFonts w:hint="eastAsia" w:ascii="Times New Roman" w:hAnsi="Times New Roman" w:eastAsia="宋体" w:cs="Times New Roman"/>
          <w:b/>
          <w:bCs/>
          <w:sz w:val="24"/>
          <w:szCs w:val="24"/>
        </w:rPr>
        <w:t>供应商</w:t>
      </w:r>
    </w:p>
    <w:p>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合格供应商应具备以下条件：</w:t>
      </w:r>
    </w:p>
    <w:p>
      <w:pPr>
        <w:tabs>
          <w:tab w:val="left" w:pos="7665"/>
        </w:tabs>
        <w:spacing w:line="360" w:lineRule="auto"/>
        <w:ind w:firstLine="480" w:firstLineChars="200"/>
        <w:rPr>
          <w:rFonts w:hint="eastAsia" w:ascii="宋体" w:hAnsi="宋体" w:eastAsia="宋体" w:cs="宋体"/>
          <w:spacing w:val="-4"/>
          <w:sz w:val="24"/>
          <w:szCs w:val="24"/>
        </w:rPr>
      </w:pPr>
      <w:r>
        <w:rPr>
          <w:rFonts w:hint="eastAsia" w:ascii="宋体" w:hAnsi="宋体" w:eastAsia="宋体" w:cs="宋体"/>
          <w:sz w:val="24"/>
          <w:szCs w:val="24"/>
        </w:rPr>
        <w:t>3.1 具备法律法规和本采购文件规定的资格条件</w:t>
      </w:r>
      <w:r>
        <w:rPr>
          <w:rFonts w:hint="eastAsia" w:ascii="宋体" w:hAnsi="宋体" w:eastAsia="宋体" w:cs="宋体"/>
          <w:spacing w:val="-4"/>
          <w:sz w:val="24"/>
          <w:szCs w:val="24"/>
        </w:rPr>
        <w:t>；</w:t>
      </w:r>
    </w:p>
    <w:p>
      <w:pPr>
        <w:tabs>
          <w:tab w:val="left" w:pos="7665"/>
        </w:tabs>
        <w:spacing w:line="360" w:lineRule="auto"/>
        <w:ind w:firstLine="464" w:firstLineChars="200"/>
        <w:rPr>
          <w:rFonts w:hint="eastAsia" w:ascii="宋体" w:hAnsi="宋体" w:eastAsia="宋体" w:cs="宋体"/>
          <w:sz w:val="24"/>
          <w:szCs w:val="24"/>
        </w:rPr>
      </w:pPr>
      <w:r>
        <w:rPr>
          <w:rFonts w:hint="eastAsia" w:ascii="宋体" w:hAnsi="宋体" w:eastAsia="宋体" w:cs="宋体"/>
          <w:spacing w:val="-4"/>
          <w:sz w:val="24"/>
          <w:szCs w:val="24"/>
        </w:rPr>
        <w:t>3.2 不属于禁止参加本项目采购活动的供应商。</w:t>
      </w:r>
      <w:bookmarkStart w:id="35" w:name="_Toc217446037"/>
      <w:bookmarkStart w:id="36" w:name="_Toc183582208"/>
      <w:bookmarkStart w:id="37" w:name="_Toc183682345"/>
    </w:p>
    <w:p>
      <w:pPr>
        <w:bidi w:val="0"/>
        <w:spacing w:line="360" w:lineRule="auto"/>
        <w:ind w:firstLine="482" w:firstLineChars="200"/>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4. 谈判费用</w:t>
      </w:r>
      <w:bookmarkEnd w:id="35"/>
      <w:bookmarkEnd w:id="36"/>
      <w:bookmarkEnd w:id="37"/>
      <w:r>
        <w:rPr>
          <w:rFonts w:hint="eastAsia" w:ascii="Times New Roman" w:hAnsi="Times New Roman" w:eastAsia="宋体" w:cs="Times New Roman"/>
          <w:b/>
          <w:bCs/>
          <w:sz w:val="24"/>
          <w:szCs w:val="24"/>
        </w:rPr>
        <w:t>（实质性要求）</w:t>
      </w:r>
    </w:p>
    <w:p>
      <w:pPr>
        <w:tabs>
          <w:tab w:val="left" w:pos="7665"/>
        </w:tabs>
        <w:spacing w:line="360" w:lineRule="auto"/>
        <w:ind w:firstLine="480"/>
        <w:rPr>
          <w:rFonts w:hint="eastAsia" w:ascii="宋体" w:hAnsi="宋体" w:eastAsia="宋体" w:cs="宋体"/>
          <w:sz w:val="24"/>
          <w:szCs w:val="24"/>
          <w:lang w:eastAsia="zh-CN"/>
        </w:rPr>
      </w:pPr>
      <w:r>
        <w:rPr>
          <w:rFonts w:hint="eastAsia" w:ascii="宋体" w:hAnsi="宋体" w:eastAsia="宋体" w:cs="宋体"/>
          <w:sz w:val="24"/>
          <w:szCs w:val="24"/>
        </w:rPr>
        <w:t>供应商应自行承担参加谈判活动的全部费用</w:t>
      </w:r>
      <w:r>
        <w:rPr>
          <w:rFonts w:hint="eastAsia" w:ascii="宋体" w:hAnsi="宋体" w:cs="宋体"/>
          <w:sz w:val="24"/>
          <w:szCs w:val="24"/>
          <w:lang w:eastAsia="zh-CN"/>
        </w:rPr>
        <w:t>。</w:t>
      </w:r>
    </w:p>
    <w:p>
      <w:pPr>
        <w:pStyle w:val="73"/>
        <w:spacing w:line="360" w:lineRule="auto"/>
        <w:ind w:left="1" w:firstLine="482" w:firstLineChars="200"/>
        <w:rPr>
          <w:rFonts w:hint="eastAsia" w:ascii="宋体" w:hAnsi="宋体" w:eastAsia="宋体" w:cs="宋体"/>
          <w:b/>
          <w:bCs/>
          <w:sz w:val="24"/>
          <w:szCs w:val="24"/>
        </w:rPr>
      </w:pPr>
      <w:r>
        <w:rPr>
          <w:rFonts w:hint="eastAsia" w:ascii="宋体" w:hAnsi="宋体" w:eastAsia="宋体" w:cs="宋体"/>
          <w:b/>
          <w:bCs/>
          <w:sz w:val="24"/>
          <w:szCs w:val="24"/>
        </w:rPr>
        <w:t>5.充分、公平竞争保障措施（实质性要求）</w:t>
      </w:r>
    </w:p>
    <w:p>
      <w:pPr>
        <w:pStyle w:val="73"/>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73"/>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5.2利害关系授权代表处理。两家以上的供应商不得在同一合同项下的采购项目中，委托同一个自然人、同一家庭的人员、同一单位的人员作为其授权代表，否则，其响应文件作为无效处理。</w:t>
      </w:r>
    </w:p>
    <w:p>
      <w:pPr>
        <w:pStyle w:val="73"/>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本项目无符合本条规定的供应商。</w:t>
      </w:r>
    </w:p>
    <w:p>
      <w:pPr>
        <w:pStyle w:val="73"/>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5.4供应商实际控制人或者中高级管理人员，同时是采购代理机构工作人员，不得参与本项目政府采购活动。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5.5同一母公司的两家以上的子公司只能组成联合体参加本项目同一合同项下的采购活动，不得以不同供应商身份同时参加本项目同一合同项下的采购活动。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5.6供应商与采购代理机构存在关联关系，或者是采购代理机构的母公司或子公司，不得参加本项目政府采购活动。</w:t>
      </w:r>
    </w:p>
    <w:p>
      <w:pPr>
        <w:pStyle w:val="73"/>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5.7回避。政府采购活动中，采购人员及相关人员与供应商有下列利害关系之一的，应当回避：</w:t>
      </w:r>
    </w:p>
    <w:p>
      <w:pPr>
        <w:pStyle w:val="73"/>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（1）参加采购活动前3年内与供应商存在劳动关系；</w:t>
      </w:r>
    </w:p>
    <w:p>
      <w:pPr>
        <w:pStyle w:val="73"/>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（2）参加采购活动前3年内担任供应商的董事、监事；</w:t>
      </w:r>
    </w:p>
    <w:p>
      <w:pPr>
        <w:pStyle w:val="73"/>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（3）参加采购活动前3年内是供应商的控股股东或者实际控制人；</w:t>
      </w:r>
    </w:p>
    <w:p>
      <w:pPr>
        <w:pStyle w:val="73"/>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（4）与供应商的法定代表人或者负责人有夫妻、直系血亲、三代以内旁系血亲或者近姻亲关系；</w:t>
      </w:r>
    </w:p>
    <w:p>
      <w:pPr>
        <w:pStyle w:val="73"/>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（5）与供应商有其他可能影响政府采购活动公平、公正进行的关系。</w:t>
      </w:r>
    </w:p>
    <w:p>
      <w:pPr>
        <w:pStyle w:val="73"/>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谈判小组成员。</w:t>
      </w:r>
    </w:p>
    <w:p>
      <w:pPr>
        <w:pStyle w:val="73"/>
        <w:spacing w:line="360" w:lineRule="auto"/>
        <w:ind w:left="1" w:firstLine="480" w:firstLineChars="200"/>
        <w:rPr>
          <w:rFonts w:hint="eastAsia" w:ascii="宋体" w:hAnsi="宋体" w:eastAsia="宋体" w:cs="宋体"/>
          <w:b/>
          <w:bCs/>
          <w:sz w:val="24"/>
          <w:szCs w:val="24"/>
        </w:rPr>
      </w:pPr>
      <w:r>
        <w:rPr>
          <w:rFonts w:hint="eastAsia" w:ascii="宋体" w:hAnsi="宋体" w:eastAsia="宋体" w:cs="宋体"/>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73"/>
        <w:spacing w:line="360" w:lineRule="auto"/>
        <w:ind w:left="1"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6.联合体竞争性谈判</w:t>
      </w:r>
      <w:r>
        <w:rPr>
          <w:rFonts w:hint="eastAsia" w:hAnsi="宋体" w:cs="宋体"/>
          <w:b/>
          <w:bCs/>
          <w:sz w:val="24"/>
          <w:szCs w:val="24"/>
          <w:lang w:eastAsia="zh-CN"/>
        </w:rPr>
        <w:t>（</w:t>
      </w:r>
      <w:r>
        <w:rPr>
          <w:rFonts w:hint="eastAsia" w:hAnsi="宋体" w:cs="宋体"/>
          <w:b/>
          <w:bCs/>
          <w:sz w:val="24"/>
          <w:szCs w:val="24"/>
          <w:lang w:val="en-US" w:eastAsia="zh-CN"/>
        </w:rPr>
        <w:t>实质性要求</w:t>
      </w:r>
      <w:r>
        <w:rPr>
          <w:rFonts w:hint="eastAsia" w:hAnsi="宋体" w:cs="宋体"/>
          <w:b/>
          <w:bCs/>
          <w:sz w:val="24"/>
          <w:szCs w:val="24"/>
          <w:lang w:eastAsia="zh-CN"/>
        </w:rPr>
        <w:t>）</w:t>
      </w:r>
    </w:p>
    <w:p>
      <w:pPr>
        <w:spacing w:line="360" w:lineRule="auto"/>
        <w:ind w:firstLine="470" w:firstLineChars="196"/>
        <w:rPr>
          <w:rFonts w:hint="eastAsia" w:ascii="宋体" w:hAnsi="宋体" w:eastAsia="宋体" w:cs="宋体"/>
          <w:sz w:val="24"/>
          <w:szCs w:val="24"/>
          <w:lang w:val="en-US" w:eastAsia="zh-CN"/>
        </w:rPr>
      </w:pPr>
      <w:r>
        <w:rPr>
          <w:rFonts w:hint="eastAsia" w:ascii="宋体" w:hAnsi="宋体" w:cs="宋体"/>
          <w:sz w:val="24"/>
          <w:szCs w:val="24"/>
          <w:lang w:val="en-US" w:eastAsia="zh-CN"/>
        </w:rPr>
        <w:t>本项目不允许联合体</w:t>
      </w:r>
      <w:r>
        <w:rPr>
          <w:rFonts w:hint="eastAsia" w:ascii="宋体" w:hAnsi="宋体" w:eastAsia="宋体" w:cs="宋体"/>
          <w:sz w:val="24"/>
          <w:szCs w:val="24"/>
          <w:lang w:val="en-US" w:eastAsia="zh-CN"/>
        </w:rPr>
        <w:t>竞争性谈判。</w:t>
      </w:r>
    </w:p>
    <w:p>
      <w:pPr>
        <w:spacing w:line="360" w:lineRule="auto"/>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7.响应文件有效期</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本项目响应文件有效期为递交谈判响应文件截止之日起</w:t>
      </w:r>
      <w:r>
        <w:rPr>
          <w:rFonts w:hint="eastAsia" w:ascii="宋体" w:hAnsi="宋体" w:cs="宋体"/>
          <w:sz w:val="24"/>
          <w:szCs w:val="24"/>
          <w:lang w:val="en-US" w:eastAsia="zh-CN"/>
        </w:rPr>
        <w:t>90</w:t>
      </w:r>
      <w:r>
        <w:rPr>
          <w:rFonts w:hint="eastAsia" w:ascii="宋体" w:hAnsi="宋体" w:eastAsia="宋体" w:cs="宋体"/>
          <w:sz w:val="24"/>
          <w:szCs w:val="24"/>
        </w:rPr>
        <w:t>天。供应商响应文件中必须载明响应文件有效期，响应文件中载明的响应文件有效期可以长于谈判文件规定的期限，但不得短于谈判文件规定的期限。否则，其响应文件将作为无效处理。</w:t>
      </w:r>
    </w:p>
    <w:p>
      <w:pPr>
        <w:pStyle w:val="17"/>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8.知识产权（实质性要求）</w:t>
      </w:r>
    </w:p>
    <w:p>
      <w:pPr>
        <w:pStyle w:val="1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 除非谈判文件特别规定，采购人享有本项目实施过程中产生的知识成果及知识产权。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8.4 如采用供应商所不拥有的知识产权，则在报价中必须包括合法获取使用该知识产权的相关费用。</w:t>
      </w:r>
      <w:bookmarkEnd w:id="30"/>
    </w:p>
    <w:p>
      <w:pPr>
        <w:pStyle w:val="4"/>
        <w:keepNext w:val="0"/>
        <w:keepLines w:val="0"/>
        <w:spacing w:before="0" w:after="0" w:line="360" w:lineRule="auto"/>
        <w:jc w:val="center"/>
        <w:rPr>
          <w:rFonts w:hint="eastAsia" w:ascii="宋体" w:hAnsi="宋体" w:eastAsia="宋体" w:cs="宋体"/>
          <w:sz w:val="24"/>
          <w:szCs w:val="24"/>
        </w:rPr>
      </w:pPr>
      <w:bookmarkStart w:id="38" w:name="_Toc89075875"/>
      <w:bookmarkStart w:id="39" w:name="_Toc217446038"/>
      <w:bookmarkStart w:id="40" w:name="_Toc77400779"/>
      <w:bookmarkStart w:id="41" w:name="_Toc183682346"/>
      <w:bookmarkStart w:id="42" w:name="_Toc183582209"/>
      <w:r>
        <w:rPr>
          <w:rFonts w:hint="eastAsia" w:ascii="宋体" w:hAnsi="宋体" w:eastAsia="宋体" w:cs="宋体"/>
          <w:sz w:val="24"/>
          <w:szCs w:val="24"/>
        </w:rPr>
        <w:t>三、谈判文件</w:t>
      </w:r>
      <w:bookmarkEnd w:id="38"/>
      <w:bookmarkEnd w:id="39"/>
      <w:bookmarkEnd w:id="40"/>
      <w:bookmarkEnd w:id="41"/>
      <w:bookmarkEnd w:id="42"/>
    </w:p>
    <w:p>
      <w:pPr>
        <w:bidi w:val="0"/>
        <w:spacing w:line="360" w:lineRule="auto"/>
        <w:ind w:firstLine="482" w:firstLineChars="200"/>
        <w:rPr>
          <w:rFonts w:hint="eastAsia" w:ascii="Times New Roman" w:hAnsi="Times New Roman" w:eastAsia="宋体" w:cs="Times New Roman"/>
          <w:b/>
          <w:bCs/>
          <w:sz w:val="24"/>
          <w:szCs w:val="24"/>
        </w:rPr>
      </w:pPr>
      <w:bookmarkStart w:id="43" w:name="_Toc183682347"/>
      <w:bookmarkStart w:id="44" w:name="_Toc183582210"/>
      <w:bookmarkStart w:id="45" w:name="_Toc217446039"/>
      <w:bookmarkStart w:id="46" w:name="PO_默认文件内容_25"/>
      <w:r>
        <w:rPr>
          <w:rFonts w:hint="eastAsia" w:ascii="Times New Roman" w:hAnsi="Times New Roman" w:eastAsia="宋体" w:cs="Times New Roman"/>
          <w:b/>
          <w:bCs/>
          <w:sz w:val="24"/>
          <w:szCs w:val="24"/>
          <w:lang w:val="en-US" w:eastAsia="zh-CN"/>
        </w:rPr>
        <w:t>9</w:t>
      </w:r>
      <w:r>
        <w:rPr>
          <w:rFonts w:hint="eastAsia" w:ascii="Times New Roman" w:hAnsi="Times New Roman" w:eastAsia="宋体" w:cs="Times New Roman"/>
          <w:b/>
          <w:bCs/>
          <w:sz w:val="24"/>
          <w:szCs w:val="24"/>
        </w:rPr>
        <w:t>．谈判文件的构成</w:t>
      </w:r>
      <w:bookmarkEnd w:id="43"/>
      <w:bookmarkEnd w:id="44"/>
      <w:bookmarkEnd w:id="45"/>
      <w:r>
        <w:rPr>
          <w:rFonts w:hint="eastAsia" w:ascii="Times New Roman" w:hAnsi="Times New Roman" w:eastAsia="宋体" w:cs="Times New Roman"/>
          <w:b/>
          <w:bCs/>
          <w:sz w:val="24"/>
          <w:szCs w:val="24"/>
        </w:rPr>
        <w:t>（实质性要求）</w:t>
      </w:r>
    </w:p>
    <w:p>
      <w:pPr>
        <w:tabs>
          <w:tab w:val="left" w:pos="720"/>
        </w:tabs>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b/>
          <w:bCs/>
          <w:sz w:val="24"/>
          <w:szCs w:val="24"/>
        </w:rPr>
        <w:t>.</w:t>
      </w:r>
      <w:r>
        <w:rPr>
          <w:rFonts w:hint="eastAsia" w:ascii="宋体" w:hAnsi="宋体" w:eastAsia="宋体" w:cs="宋体"/>
          <w:sz w:val="24"/>
          <w:szCs w:val="24"/>
        </w:rPr>
        <w:t>1 谈判文件是供应商准备响应文件和参加谈判的依据，同时也是谈判的重要依据。谈判文件用以阐明谈判项目所需的资质、技术、服务及报价等要求、谈判程序、有关规定和注意事项以及合同主要条款等。</w:t>
      </w:r>
    </w:p>
    <w:p>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b/>
          <w:bCs/>
          <w:sz w:val="24"/>
          <w:szCs w:val="24"/>
        </w:rPr>
        <w:t>.</w:t>
      </w:r>
      <w:r>
        <w:rPr>
          <w:rFonts w:hint="eastAsia" w:ascii="宋体" w:hAnsi="宋体" w:eastAsia="宋体" w:cs="宋体"/>
          <w:sz w:val="24"/>
          <w:szCs w:val="24"/>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pPr>
        <w:bidi w:val="0"/>
        <w:spacing w:line="360" w:lineRule="auto"/>
        <w:ind w:firstLine="482" w:firstLineChars="200"/>
        <w:rPr>
          <w:rFonts w:hint="eastAsia" w:ascii="Times New Roman" w:hAnsi="Times New Roman" w:eastAsia="宋体" w:cs="Times New Roman"/>
          <w:b/>
          <w:bCs/>
          <w:sz w:val="24"/>
          <w:szCs w:val="24"/>
          <w:lang w:val="en-US" w:eastAsia="zh-CN"/>
        </w:rPr>
      </w:pPr>
      <w:bookmarkStart w:id="47" w:name="_Toc183682348"/>
      <w:bookmarkStart w:id="48" w:name="_Toc183582211"/>
      <w:bookmarkStart w:id="49" w:name="_Toc217446040"/>
      <w:r>
        <w:rPr>
          <w:rFonts w:hint="eastAsia" w:ascii="Times New Roman" w:hAnsi="Times New Roman" w:eastAsia="宋体" w:cs="Times New Roman"/>
          <w:b/>
          <w:bCs/>
          <w:sz w:val="24"/>
          <w:szCs w:val="24"/>
          <w:lang w:val="en-US" w:eastAsia="zh-CN"/>
        </w:rPr>
        <w:t>10. 谈判文件的澄清</w:t>
      </w:r>
      <w:bookmarkEnd w:id="47"/>
      <w:bookmarkEnd w:id="48"/>
      <w:r>
        <w:rPr>
          <w:rFonts w:hint="eastAsia" w:ascii="Times New Roman" w:hAnsi="Times New Roman" w:eastAsia="宋体" w:cs="Times New Roman"/>
          <w:b/>
          <w:bCs/>
          <w:sz w:val="24"/>
          <w:szCs w:val="24"/>
          <w:lang w:val="en-US" w:eastAsia="zh-CN"/>
        </w:rPr>
        <w:t>和修改</w:t>
      </w:r>
      <w:bookmarkEnd w:id="49"/>
    </w:p>
    <w:p>
      <w:pPr>
        <w:tabs>
          <w:tab w:val="left" w:pos="7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0</w:t>
      </w:r>
      <w:r>
        <w:rPr>
          <w:rFonts w:hint="eastAsia" w:ascii="宋体" w:hAnsi="宋体" w:eastAsia="宋体" w:cs="宋体"/>
          <w:sz w:val="24"/>
          <w:szCs w:val="24"/>
        </w:rPr>
        <w:t>.1 在递交响应文件截止时间前，采购人、采购代理机构可以对谈判文件进行澄清或者修改。</w:t>
      </w:r>
    </w:p>
    <w:p>
      <w:pPr>
        <w:tabs>
          <w:tab w:val="left" w:pos="7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0</w:t>
      </w:r>
      <w:r>
        <w:rPr>
          <w:rFonts w:hint="eastAsia" w:ascii="宋体" w:hAnsi="宋体" w:eastAsia="宋体" w:cs="宋体"/>
          <w:sz w:val="24"/>
          <w:szCs w:val="24"/>
        </w:rPr>
        <w:t>.2 采购代理机构对已发出的谈判文件进行澄清或者修改，应当以书面形式将澄清或者修改的内容通知所有按照规定获得了谈判文件的供应商，同时在</w:t>
      </w:r>
      <w:r>
        <w:rPr>
          <w:rFonts w:hint="eastAsia" w:ascii="宋体" w:hAnsi="宋体" w:cs="宋体"/>
          <w:sz w:val="24"/>
          <w:szCs w:val="24"/>
          <w:lang w:eastAsia="zh-CN"/>
        </w:rPr>
        <w:t>中国政府采购网（http://www.ccgp.gov.cn/）</w:t>
      </w:r>
      <w:r>
        <w:rPr>
          <w:rFonts w:hint="eastAsia" w:ascii="宋体" w:hAnsi="宋体" w:eastAsia="宋体" w:cs="宋体"/>
          <w:sz w:val="24"/>
          <w:szCs w:val="24"/>
        </w:rPr>
        <w:t>上发布更正公告。该澄清或者修改的内容为谈判文件的组成部分，澄清或者修改的内容可能影响响应文件编制的，采购人或者采购代理机构发布公告并书面通知供应商的时间，应当在首次提交响应文件截止之日起</w:t>
      </w:r>
      <w:r>
        <w:rPr>
          <w:rFonts w:hint="eastAsia" w:ascii="宋体" w:hAnsi="宋体" w:cs="宋体"/>
          <w:sz w:val="24"/>
          <w:szCs w:val="24"/>
          <w:lang w:val="en-US" w:eastAsia="zh-CN"/>
        </w:rPr>
        <w:t>3</w:t>
      </w:r>
      <w:r>
        <w:rPr>
          <w:rFonts w:hint="eastAsia" w:ascii="宋体" w:hAnsi="宋体" w:eastAsia="宋体" w:cs="宋体"/>
          <w:sz w:val="24"/>
          <w:szCs w:val="24"/>
        </w:rPr>
        <w:t>日前；不足上述时间的，应当顺延递交响应文件的截止时间。</w:t>
      </w:r>
    </w:p>
    <w:p>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0</w:t>
      </w:r>
      <w:r>
        <w:rPr>
          <w:rFonts w:hint="eastAsia" w:ascii="宋体" w:hAnsi="宋体" w:eastAsia="宋体" w:cs="宋体"/>
          <w:sz w:val="24"/>
          <w:szCs w:val="24"/>
        </w:rPr>
        <w:t>.3 供应商应于递交响应文件截止前，在</w:t>
      </w:r>
      <w:r>
        <w:rPr>
          <w:rFonts w:hint="eastAsia" w:ascii="宋体" w:hAnsi="宋体" w:cs="宋体"/>
          <w:sz w:val="24"/>
          <w:szCs w:val="24"/>
          <w:lang w:eastAsia="zh-CN"/>
        </w:rPr>
        <w:t>中国政府采购网（http://www.ccgp.gov.cn/）</w:t>
      </w:r>
      <w:r>
        <w:rPr>
          <w:rFonts w:hint="eastAsia" w:ascii="宋体" w:hAnsi="宋体" w:eastAsia="宋体" w:cs="宋体"/>
          <w:sz w:val="24"/>
          <w:szCs w:val="24"/>
        </w:rPr>
        <w:t>查询本项目的更正公告，以保证其对谈判文件做出正确的响应。供应商未按要求</w:t>
      </w:r>
      <w:r>
        <w:rPr>
          <w:rFonts w:hint="eastAsia" w:ascii="宋体" w:hAnsi="宋体" w:cs="宋体"/>
          <w:sz w:val="24"/>
          <w:szCs w:val="24"/>
          <w:lang w:val="en-US" w:eastAsia="zh-CN"/>
        </w:rPr>
        <w:t>报名获取</w:t>
      </w:r>
      <w:r>
        <w:rPr>
          <w:rFonts w:hint="eastAsia" w:ascii="宋体" w:hAnsi="宋体" w:eastAsia="宋体" w:cs="宋体"/>
          <w:sz w:val="24"/>
          <w:szCs w:val="24"/>
        </w:rPr>
        <w:t>相关文件，或由于未及时关注更正公告的信息造成的后果，其责任由供应商自行负责。</w:t>
      </w:r>
    </w:p>
    <w:p>
      <w:pPr>
        <w:tabs>
          <w:tab w:val="left" w:pos="7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更正通知通过供应商报名时备注的电子邮箱发送至所有按照规定获得了谈判文件的供应商，供应商在收到相应更正通知后，以书面形式给予确认。如供应商未给予书面回复，则视为收到并认可该更正通知的内容。</w:t>
      </w:r>
    </w:p>
    <w:p>
      <w:pPr>
        <w:tabs>
          <w:tab w:val="left" w:pos="7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0</w:t>
      </w:r>
      <w:r>
        <w:rPr>
          <w:rFonts w:hint="eastAsia" w:ascii="宋体" w:hAnsi="宋体" w:eastAsia="宋体" w:cs="宋体"/>
          <w:sz w:val="24"/>
          <w:szCs w:val="24"/>
        </w:rPr>
        <w:t>.4供应商认为需要对谈判文件进行澄清或者修改的，可以以书面形式向采购人或采购代理机构提出申请，由采购人或采购代理机构决定是否采纳供应商的申请事项。</w:t>
      </w:r>
    </w:p>
    <w:p>
      <w:pPr>
        <w:bidi w:val="0"/>
        <w:spacing w:line="360" w:lineRule="auto"/>
        <w:ind w:firstLine="482" w:firstLineChars="200"/>
        <w:rPr>
          <w:rFonts w:hint="eastAsia" w:ascii="Times New Roman" w:hAnsi="Times New Roman" w:eastAsia="宋体" w:cs="Times New Roman"/>
          <w:b/>
          <w:bCs/>
          <w:sz w:val="24"/>
          <w:szCs w:val="24"/>
          <w:lang w:val="en-US" w:eastAsia="zh-CN"/>
        </w:rPr>
      </w:pPr>
      <w:bookmarkStart w:id="50" w:name="_Toc208848971"/>
      <w:bookmarkStart w:id="51" w:name="_Toc217446041"/>
      <w:r>
        <w:rPr>
          <w:rFonts w:hint="eastAsia" w:ascii="Times New Roman" w:hAnsi="Times New Roman" w:eastAsia="宋体" w:cs="Times New Roman"/>
          <w:b/>
          <w:bCs/>
          <w:sz w:val="24"/>
          <w:szCs w:val="24"/>
          <w:lang w:val="en-US" w:eastAsia="zh-CN"/>
        </w:rPr>
        <w:t>11. 答疑会和现场考察</w:t>
      </w:r>
      <w:bookmarkEnd w:id="50"/>
      <w:bookmarkEnd w:id="51"/>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1</w:t>
      </w:r>
      <w:r>
        <w:rPr>
          <w:rFonts w:hint="eastAsia" w:ascii="宋体" w:hAnsi="宋体" w:eastAsia="宋体" w:cs="宋体"/>
          <w:sz w:val="24"/>
          <w:szCs w:val="24"/>
        </w:rPr>
        <w:t>.1 根据采购项目和具体情况，采购人、采购代理机构认为有必要，可以在谈判文件提供期限截止后响应文件提交截止前，组织已获取谈判文件的潜在供应商现场考察或者召开答疑会。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1</w:t>
      </w:r>
      <w:r>
        <w:rPr>
          <w:rFonts w:hint="eastAsia" w:ascii="宋体" w:hAnsi="宋体" w:eastAsia="宋体" w:cs="宋体"/>
          <w:sz w:val="24"/>
          <w:szCs w:val="24"/>
        </w:rPr>
        <w:t>.2采购人、采购代理机构组织现场考察或者召开答疑会的，将以书面形式通知所有按照规定获得了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adjustRightInd w:val="0"/>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1</w:t>
      </w:r>
      <w:r>
        <w:rPr>
          <w:rFonts w:hint="eastAsia" w:ascii="宋体" w:hAnsi="宋体" w:eastAsia="宋体" w:cs="宋体"/>
          <w:sz w:val="24"/>
          <w:szCs w:val="24"/>
        </w:rPr>
        <w:t>.3 供应商考察现场或者参加答疑会所发生的一切费用由供应商自己承担。</w:t>
      </w:r>
      <w:bookmarkEnd w:id="46"/>
    </w:p>
    <w:p>
      <w:pPr>
        <w:pStyle w:val="4"/>
        <w:keepNext w:val="0"/>
        <w:keepLines w:val="0"/>
        <w:spacing w:before="0" w:after="0" w:line="360" w:lineRule="auto"/>
        <w:jc w:val="center"/>
        <w:rPr>
          <w:rFonts w:hint="eastAsia" w:ascii="宋体" w:hAnsi="宋体" w:eastAsia="宋体" w:cs="宋体"/>
          <w:sz w:val="24"/>
          <w:szCs w:val="24"/>
        </w:rPr>
      </w:pPr>
      <w:bookmarkStart w:id="52" w:name="_Toc89075876"/>
      <w:bookmarkStart w:id="53" w:name="_Toc183682351"/>
      <w:bookmarkStart w:id="54" w:name="_Toc217446042"/>
      <w:bookmarkStart w:id="55" w:name="_Toc183582214"/>
      <w:bookmarkStart w:id="56" w:name="_Toc77400780"/>
      <w:bookmarkStart w:id="57" w:name="PO_默认文件内容_26"/>
      <w:r>
        <w:rPr>
          <w:rFonts w:hint="eastAsia" w:ascii="宋体" w:hAnsi="宋体" w:eastAsia="宋体" w:cs="宋体"/>
          <w:sz w:val="24"/>
          <w:szCs w:val="24"/>
        </w:rPr>
        <w:t>四、响应文件</w:t>
      </w:r>
      <w:bookmarkEnd w:id="52"/>
      <w:bookmarkEnd w:id="53"/>
      <w:bookmarkEnd w:id="54"/>
      <w:bookmarkEnd w:id="55"/>
      <w:bookmarkEnd w:id="56"/>
    </w:p>
    <w:p>
      <w:pPr>
        <w:bidi w:val="0"/>
        <w:spacing w:line="360" w:lineRule="auto"/>
        <w:ind w:firstLine="482" w:firstLineChars="200"/>
        <w:rPr>
          <w:rFonts w:hint="eastAsia" w:ascii="Times New Roman" w:hAnsi="Times New Roman" w:eastAsia="宋体" w:cs="Times New Roman"/>
          <w:b/>
          <w:bCs/>
          <w:sz w:val="24"/>
          <w:szCs w:val="24"/>
          <w:lang w:val="en-US" w:eastAsia="zh-CN"/>
        </w:rPr>
      </w:pPr>
      <w:bookmarkStart w:id="58" w:name="_Toc183682352"/>
      <w:bookmarkStart w:id="59" w:name="_Toc217446043"/>
      <w:bookmarkStart w:id="60" w:name="_Toc183582215"/>
      <w:r>
        <w:rPr>
          <w:rFonts w:hint="eastAsia" w:ascii="Times New Roman" w:hAnsi="Times New Roman" w:eastAsia="宋体" w:cs="Times New Roman"/>
          <w:b/>
          <w:bCs/>
          <w:sz w:val="24"/>
          <w:szCs w:val="24"/>
          <w:lang w:val="en-US" w:eastAsia="zh-CN"/>
        </w:rPr>
        <w:t>12.响应文件的组成（实质性要求）</w:t>
      </w:r>
    </w:p>
    <w:p>
      <w:pPr>
        <w:spacing w:line="360" w:lineRule="auto"/>
        <w:ind w:left="2" w:leftChars="1"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.1供应商应按照谈判文件的规定和要求编制资格性响应文件、施工响应文件。供应商在成交后将成交项目的非主体、非关键性工作分包他人完成的，应当在响应文件中载明或谈判过程中澄清。</w:t>
      </w:r>
    </w:p>
    <w:p>
      <w:pPr>
        <w:spacing w:line="360" w:lineRule="auto"/>
        <w:ind w:left="2" w:leftChars="1"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.2供应商编写的响应文件应包括资格性响应文件和施工响应文件两部分，根据资格预审文件、谈判文件的规定要求提供。</w:t>
      </w:r>
    </w:p>
    <w:p>
      <w:pPr>
        <w:bidi w:val="0"/>
        <w:spacing w:line="360" w:lineRule="auto"/>
        <w:ind w:firstLine="482" w:firstLineChars="2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13.响应文件的语言</w:t>
      </w:r>
      <w:bookmarkEnd w:id="58"/>
      <w:bookmarkEnd w:id="59"/>
      <w:bookmarkEnd w:id="60"/>
      <w:r>
        <w:rPr>
          <w:rFonts w:hint="eastAsia" w:ascii="Times New Roman" w:hAnsi="Times New Roman" w:eastAsia="宋体" w:cs="Times New Roman"/>
          <w:b/>
          <w:bCs/>
          <w:sz w:val="24"/>
          <w:szCs w:val="24"/>
          <w:lang w:val="en-US" w:eastAsia="zh-CN"/>
        </w:rPr>
        <w:t>（实质性要求）</w:t>
      </w:r>
    </w:p>
    <w:p>
      <w:pPr>
        <w:tabs>
          <w:tab w:val="left" w:pos="1134"/>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.1供应商提交的响应文件以及供应商与采购组织单位就有关谈判采购的所有来往书面文件均须使用中文。响应文件中如附有外文资料，主要部分要对应翻译成中文并加盖供应商公章后附在相关外文资料后面。</w:t>
      </w:r>
    </w:p>
    <w:p>
      <w:pPr>
        <w:tabs>
          <w:tab w:val="left" w:pos="1134"/>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.2 翻译的中文资料与外文资料如果出现差异和矛盾时，以中文为准。涉嫌提供虚假材料的按照相关法律法规处理。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.3 如因未翻译而造成对供应商的不利后果，由供应商承担。</w:t>
      </w:r>
    </w:p>
    <w:p>
      <w:pPr>
        <w:bidi w:val="0"/>
        <w:spacing w:line="360" w:lineRule="auto"/>
        <w:ind w:firstLine="482" w:firstLineChars="200"/>
        <w:rPr>
          <w:rFonts w:hint="eastAsia" w:ascii="Times New Roman" w:hAnsi="Times New Roman" w:eastAsia="宋体" w:cs="Times New Roman"/>
          <w:b/>
          <w:bCs/>
          <w:sz w:val="24"/>
          <w:szCs w:val="24"/>
          <w:lang w:val="en-US" w:eastAsia="zh-CN"/>
        </w:rPr>
      </w:pPr>
      <w:bookmarkStart w:id="61" w:name="_Toc183582216"/>
      <w:bookmarkStart w:id="62" w:name="_Toc183682353"/>
      <w:bookmarkStart w:id="63" w:name="_Toc217446044"/>
      <w:r>
        <w:rPr>
          <w:rFonts w:hint="eastAsia" w:ascii="Times New Roman" w:hAnsi="Times New Roman" w:eastAsia="宋体" w:cs="Times New Roman"/>
          <w:b/>
          <w:bCs/>
          <w:sz w:val="24"/>
          <w:szCs w:val="24"/>
          <w:lang w:val="en-US" w:eastAsia="zh-CN"/>
        </w:rPr>
        <w:t>14．计量单位</w:t>
      </w:r>
      <w:bookmarkEnd w:id="61"/>
      <w:bookmarkEnd w:id="62"/>
      <w:bookmarkEnd w:id="63"/>
      <w:r>
        <w:rPr>
          <w:rFonts w:hint="eastAsia" w:ascii="Times New Roman" w:hAnsi="Times New Roman" w:eastAsia="宋体" w:cs="Times New Roman"/>
          <w:b/>
          <w:bCs/>
          <w:sz w:val="24"/>
          <w:szCs w:val="24"/>
          <w:lang w:val="en-US" w:eastAsia="zh-CN"/>
        </w:rPr>
        <w:t>（实质性要求）</w:t>
      </w:r>
    </w:p>
    <w:p>
      <w:pPr>
        <w:spacing w:line="360" w:lineRule="auto"/>
        <w:ind w:firstLine="470" w:firstLineChars="196"/>
        <w:rPr>
          <w:rFonts w:hint="eastAsia" w:ascii="宋体" w:hAnsi="宋体" w:eastAsia="宋体" w:cs="宋体"/>
          <w:b/>
          <w:bCs/>
          <w:sz w:val="24"/>
          <w:szCs w:val="24"/>
        </w:rPr>
      </w:pPr>
      <w:r>
        <w:rPr>
          <w:rFonts w:hint="eastAsia" w:ascii="宋体" w:hAnsi="宋体" w:eastAsia="宋体" w:cs="宋体"/>
          <w:sz w:val="24"/>
          <w:szCs w:val="24"/>
        </w:rPr>
        <w:t>除谈判文件中另有规定外，本次采购项目所有合同项下的报价均采用国家法定的计量单位。</w:t>
      </w:r>
      <w:bookmarkStart w:id="64" w:name="_Toc217446045"/>
    </w:p>
    <w:p>
      <w:pPr>
        <w:bidi w:val="0"/>
        <w:spacing w:line="360" w:lineRule="auto"/>
        <w:ind w:firstLine="482" w:firstLineChars="2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15. 报价（实质性要求）</w:t>
      </w:r>
    </w:p>
    <w:p>
      <w:pPr>
        <w:pStyle w:val="84"/>
        <w:numPr>
          <w:ilvl w:val="0"/>
          <w:numId w:val="0"/>
        </w:numPr>
        <w:spacing w:line="360" w:lineRule="auto"/>
        <w:ind w:left="426" w:leftChars="0"/>
        <w:rPr>
          <w:rFonts w:hint="eastAsia" w:ascii="宋体" w:hAnsi="宋体" w:eastAsia="宋体" w:cs="宋体"/>
          <w:sz w:val="24"/>
          <w:szCs w:val="24"/>
        </w:rPr>
      </w:pPr>
      <w:r>
        <w:rPr>
          <w:rFonts w:hint="eastAsia" w:ascii="宋体" w:hAnsi="宋体" w:cs="宋体"/>
          <w:sz w:val="24"/>
          <w:szCs w:val="24"/>
          <w:lang w:val="en-US" w:eastAsia="zh-CN"/>
        </w:rPr>
        <w:t>15.1</w:t>
      </w:r>
      <w:r>
        <w:rPr>
          <w:rFonts w:hint="eastAsia" w:ascii="宋体" w:hAnsi="宋体" w:eastAsia="宋体" w:cs="宋体"/>
          <w:sz w:val="24"/>
          <w:szCs w:val="24"/>
        </w:rPr>
        <w:t>供应商应认真核实本项目的工程量清单。工程量清单（纸质或电子版）不一致时以□纸质</w:t>
      </w:r>
      <w:r>
        <w:rPr>
          <w:rFonts w:hint="eastAsia" w:ascii="宋体" w:hAnsi="宋体" w:cs="宋体"/>
          <w:sz w:val="24"/>
          <w:szCs w:val="24"/>
          <w:lang w:eastAsia="zh-CN"/>
        </w:rPr>
        <w:t>☑</w:t>
      </w:r>
      <w:r>
        <w:rPr>
          <w:rFonts w:hint="eastAsia" w:ascii="宋体" w:hAnsi="宋体" w:eastAsia="宋体" w:cs="宋体"/>
          <w:sz w:val="24"/>
          <w:szCs w:val="24"/>
        </w:rPr>
        <w:t>电子版为准。</w:t>
      </w:r>
    </w:p>
    <w:p>
      <w:pPr>
        <w:pStyle w:val="84"/>
        <w:numPr>
          <w:ilvl w:val="0"/>
          <w:numId w:val="0"/>
        </w:numPr>
        <w:spacing w:line="360" w:lineRule="auto"/>
        <w:ind w:left="426" w:leftChars="0"/>
        <w:rPr>
          <w:rFonts w:hint="eastAsia" w:ascii="宋体" w:hAnsi="宋体" w:eastAsia="宋体" w:cs="宋体"/>
          <w:sz w:val="24"/>
          <w:szCs w:val="24"/>
        </w:rPr>
      </w:pPr>
      <w:r>
        <w:rPr>
          <w:rFonts w:hint="eastAsia" w:ascii="宋体" w:hAnsi="宋体" w:cs="宋体"/>
          <w:sz w:val="24"/>
          <w:szCs w:val="24"/>
          <w:lang w:val="en-US" w:eastAsia="zh-CN"/>
        </w:rPr>
        <w:t>15.2</w:t>
      </w:r>
      <w:r>
        <w:rPr>
          <w:rFonts w:hint="eastAsia" w:ascii="宋体" w:hAnsi="宋体" w:eastAsia="宋体" w:cs="宋体"/>
          <w:sz w:val="24"/>
          <w:szCs w:val="24"/>
        </w:rPr>
        <w:t>所有报价一律以人民币报价。采购人不接受任何非人民币币种的报价。</w:t>
      </w:r>
    </w:p>
    <w:p>
      <w:pPr>
        <w:pStyle w:val="84"/>
        <w:numPr>
          <w:ilvl w:val="0"/>
          <w:numId w:val="0"/>
        </w:numPr>
        <w:spacing w:line="360" w:lineRule="auto"/>
        <w:ind w:left="426" w:leftChars="0"/>
        <w:rPr>
          <w:rFonts w:hint="eastAsia" w:ascii="宋体" w:hAnsi="宋体" w:eastAsia="宋体" w:cs="宋体"/>
          <w:sz w:val="24"/>
          <w:szCs w:val="24"/>
        </w:rPr>
      </w:pPr>
      <w:r>
        <w:rPr>
          <w:rFonts w:hint="eastAsia" w:ascii="宋体" w:hAnsi="宋体" w:cs="宋体"/>
          <w:sz w:val="24"/>
          <w:szCs w:val="24"/>
          <w:lang w:val="en-US" w:eastAsia="zh-CN"/>
        </w:rPr>
        <w:t>15.3</w:t>
      </w:r>
      <w:r>
        <w:rPr>
          <w:rFonts w:hint="eastAsia" w:ascii="宋体" w:hAnsi="宋体" w:eastAsia="宋体" w:cs="宋体"/>
          <w:sz w:val="24"/>
          <w:szCs w:val="24"/>
        </w:rPr>
        <w:t>供应商的报价是其响应本项目要求的全部工作内容的价格体现，包括供应商完成本项目所需的一切费用。</w:t>
      </w:r>
    </w:p>
    <w:p>
      <w:pPr>
        <w:pStyle w:val="84"/>
        <w:numPr>
          <w:ilvl w:val="0"/>
          <w:numId w:val="0"/>
        </w:numPr>
        <w:spacing w:line="360" w:lineRule="auto"/>
        <w:ind w:left="426" w:leftChars="0"/>
        <w:rPr>
          <w:rFonts w:hint="eastAsia" w:ascii="宋体" w:hAnsi="宋体" w:eastAsia="宋体" w:cs="宋体"/>
          <w:sz w:val="24"/>
          <w:szCs w:val="24"/>
        </w:rPr>
      </w:pPr>
      <w:r>
        <w:rPr>
          <w:rFonts w:hint="eastAsia" w:ascii="宋体" w:hAnsi="宋体" w:cs="宋体"/>
          <w:sz w:val="24"/>
          <w:szCs w:val="24"/>
          <w:lang w:val="en-US" w:eastAsia="zh-CN"/>
        </w:rPr>
        <w:t>15.4</w:t>
      </w:r>
      <w:r>
        <w:rPr>
          <w:rFonts w:hint="eastAsia" w:ascii="宋体" w:hAnsi="宋体" w:eastAsia="宋体" w:cs="宋体"/>
          <w:sz w:val="24"/>
          <w:szCs w:val="24"/>
        </w:rPr>
        <w:t>本项目合同价格形式为</w:t>
      </w:r>
      <w:r>
        <w:rPr>
          <w:rFonts w:hint="eastAsia" w:ascii="宋体" w:hAnsi="宋体" w:cs="宋体"/>
          <w:sz w:val="24"/>
          <w:szCs w:val="24"/>
          <w:lang w:eastAsia="zh-CN"/>
        </w:rPr>
        <w:t>☑</w:t>
      </w:r>
      <w:r>
        <w:rPr>
          <w:rFonts w:hint="eastAsia" w:ascii="宋体" w:hAnsi="宋体" w:eastAsia="宋体" w:cs="宋体"/>
          <w:sz w:val="24"/>
          <w:szCs w:val="24"/>
        </w:rPr>
        <w:t>固定单价合同□固定总价合同。</w:t>
      </w:r>
    </w:p>
    <w:p>
      <w:pPr>
        <w:pStyle w:val="84"/>
        <w:numPr>
          <w:ilvl w:val="0"/>
          <w:numId w:val="0"/>
        </w:numPr>
        <w:spacing w:line="360" w:lineRule="auto"/>
        <w:ind w:left="426" w:leftChars="0"/>
        <w:rPr>
          <w:rFonts w:hint="eastAsia" w:ascii="宋体" w:hAnsi="宋体" w:eastAsia="宋体" w:cs="宋体"/>
          <w:sz w:val="24"/>
          <w:szCs w:val="24"/>
        </w:rPr>
      </w:pPr>
      <w:r>
        <w:rPr>
          <w:rFonts w:hint="eastAsia" w:ascii="宋体" w:hAnsi="宋体" w:cs="宋体"/>
          <w:sz w:val="24"/>
          <w:szCs w:val="24"/>
          <w:lang w:val="en-US" w:eastAsia="zh-CN"/>
        </w:rPr>
        <w:t>15.5</w:t>
      </w:r>
      <w:r>
        <w:rPr>
          <w:rFonts w:hint="eastAsia" w:ascii="宋体" w:hAnsi="宋体" w:eastAsia="宋体" w:cs="宋体"/>
          <w:sz w:val="24"/>
          <w:szCs w:val="24"/>
        </w:rPr>
        <w:t>本项目采用工程量清单报价，合同为固定单价合同。（本条适用于固定单价合同项目）</w:t>
      </w:r>
    </w:p>
    <w:p>
      <w:pPr>
        <w:pStyle w:val="84"/>
        <w:spacing w:line="360" w:lineRule="auto"/>
        <w:ind w:left="426" w:firstLine="31680"/>
        <w:rPr>
          <w:rFonts w:hint="eastAsia" w:ascii="宋体" w:hAnsi="宋体" w:eastAsia="宋体" w:cs="宋体"/>
          <w:sz w:val="24"/>
          <w:szCs w:val="24"/>
        </w:rPr>
      </w:pPr>
      <w:r>
        <w:rPr>
          <w:rFonts w:hint="eastAsia" w:ascii="宋体" w:hAnsi="宋体" w:eastAsia="宋体" w:cs="宋体"/>
          <w:sz w:val="24"/>
          <w:szCs w:val="24"/>
        </w:rPr>
        <w:t>已标价工程量清单的扉页（仅指投标总价扉页，下同）应由注册或登记在本单位的造价人员签字并盖执业印章。除此之外，造价人员无需在响应文件其他任何地方签字或盖执业印章。供应商委托工程造价咨询企业编制已标价工程量清单的，应在响应文件中附工程造价咨询委托合同，由注册或登记在工程造价咨询企业的造价人员签字并盖执业印章。</w:t>
      </w:r>
    </w:p>
    <w:p>
      <w:pPr>
        <w:pStyle w:val="84"/>
        <w:spacing w:line="360" w:lineRule="auto"/>
        <w:ind w:left="426" w:firstLine="31680"/>
        <w:rPr>
          <w:rFonts w:hint="eastAsia" w:ascii="宋体" w:hAnsi="宋体" w:eastAsia="宋体" w:cs="宋体"/>
          <w:sz w:val="24"/>
          <w:szCs w:val="24"/>
        </w:rPr>
      </w:pPr>
      <w:r>
        <w:rPr>
          <w:rFonts w:hint="eastAsia" w:ascii="宋体" w:hAnsi="宋体" w:eastAsia="宋体" w:cs="宋体"/>
          <w:sz w:val="24"/>
          <w:szCs w:val="24"/>
        </w:rPr>
        <w:t>供应商最后报价超过采购预算或最高限价（金额详见“供应商须知附表”）的,其响应文件按无效处理。</w:t>
      </w:r>
    </w:p>
    <w:p>
      <w:pPr>
        <w:pStyle w:val="84"/>
        <w:spacing w:line="360" w:lineRule="auto"/>
        <w:ind w:left="426" w:firstLine="31680"/>
        <w:rPr>
          <w:rFonts w:hint="eastAsia" w:ascii="宋体" w:hAnsi="宋体" w:eastAsia="宋体" w:cs="宋体"/>
          <w:sz w:val="24"/>
          <w:szCs w:val="24"/>
        </w:rPr>
      </w:pPr>
      <w:r>
        <w:rPr>
          <w:rFonts w:hint="eastAsia" w:ascii="宋体" w:hAnsi="宋体" w:eastAsia="宋体" w:cs="宋体"/>
          <w:sz w:val="24"/>
          <w:szCs w:val="24"/>
        </w:rPr>
        <w:t>供应商在首次提交的响应文件中的报价（即首次报价）应按谈判文件及工程量清单编制要求，列出报价的构成及明细，包括但不限于分部分项工程、措施项目、其他项目、规费及税金等。其中安全文明施工费、暂列金额、暂估价、规费及税金应按工程量清单（总说明）的要求计取。</w:t>
      </w:r>
    </w:p>
    <w:p>
      <w:pPr>
        <w:pStyle w:val="84"/>
        <w:spacing w:line="360" w:lineRule="auto"/>
        <w:ind w:left="426" w:firstLine="31680"/>
        <w:rPr>
          <w:rFonts w:hint="eastAsia" w:ascii="宋体" w:hAnsi="宋体" w:eastAsia="宋体" w:cs="宋体"/>
          <w:sz w:val="24"/>
          <w:szCs w:val="24"/>
        </w:rPr>
      </w:pPr>
      <w:r>
        <w:rPr>
          <w:rFonts w:hint="eastAsia" w:ascii="宋体" w:hAnsi="宋体" w:eastAsia="宋体" w:cs="宋体"/>
          <w:sz w:val="24"/>
          <w:szCs w:val="24"/>
        </w:rPr>
        <w:t>供应商对工程量清单中的分部分项工程量清单项目的单价未填报或填报为零的，视为单价遗漏。出现单价遗漏情况，视为其费用已分摊在工程量清单其他相关子目的单价（价格）之中。如成交，供应商应完成该项目，但该项目不得另行计价。</w:t>
      </w:r>
    </w:p>
    <w:p>
      <w:pPr>
        <w:pStyle w:val="84"/>
        <w:spacing w:line="360" w:lineRule="auto"/>
        <w:ind w:left="426" w:firstLine="31680"/>
        <w:rPr>
          <w:rFonts w:hint="eastAsia" w:ascii="宋体" w:hAnsi="宋体" w:eastAsia="宋体" w:cs="宋体"/>
          <w:sz w:val="24"/>
          <w:szCs w:val="24"/>
        </w:rPr>
      </w:pPr>
      <w:r>
        <w:rPr>
          <w:rFonts w:hint="eastAsia" w:ascii="宋体" w:hAnsi="宋体" w:eastAsia="宋体" w:cs="宋体"/>
          <w:sz w:val="24"/>
          <w:szCs w:val="24"/>
        </w:rPr>
        <w:t>供应商提交的已标价工程量清单应符合本项目工程量清单以及清单说明的要求。当供应商的已标价工程量清单有下列情形之一的，应按照无效响应文件处理。</w:t>
      </w:r>
    </w:p>
    <w:p>
      <w:pPr>
        <w:pStyle w:val="84"/>
        <w:numPr>
          <w:ilvl w:val="0"/>
          <w:numId w:val="2"/>
        </w:numPr>
        <w:spacing w:line="360" w:lineRule="auto"/>
        <w:ind w:left="993" w:hanging="567" w:firstLineChars="0"/>
        <w:rPr>
          <w:rFonts w:hint="eastAsia" w:ascii="宋体" w:hAnsi="宋体" w:eastAsia="宋体" w:cs="宋体"/>
          <w:sz w:val="24"/>
          <w:szCs w:val="24"/>
        </w:rPr>
      </w:pPr>
      <w:r>
        <w:rPr>
          <w:rFonts w:hint="eastAsia" w:ascii="宋体" w:hAnsi="宋体" w:eastAsia="宋体" w:cs="宋体"/>
          <w:sz w:val="24"/>
          <w:szCs w:val="24"/>
        </w:rPr>
        <w:t>已标价工程量清单中的项目名称、项目特征描述（与采购文件工程量清单中的项目特征描述的实质性内容一致的除外）、计量单位、工程量与采购文件工程量清单不一致的；</w:t>
      </w:r>
    </w:p>
    <w:p>
      <w:pPr>
        <w:pStyle w:val="84"/>
        <w:numPr>
          <w:ilvl w:val="0"/>
          <w:numId w:val="2"/>
        </w:numPr>
        <w:spacing w:line="360" w:lineRule="auto"/>
        <w:ind w:left="993" w:hanging="567" w:firstLineChars="0"/>
        <w:rPr>
          <w:rFonts w:hint="eastAsia" w:ascii="宋体" w:hAnsi="宋体" w:eastAsia="宋体" w:cs="宋体"/>
          <w:sz w:val="24"/>
          <w:szCs w:val="24"/>
        </w:rPr>
      </w:pPr>
      <w:r>
        <w:rPr>
          <w:rFonts w:hint="eastAsia" w:ascii="宋体" w:hAnsi="宋体" w:eastAsia="宋体" w:cs="宋体"/>
          <w:sz w:val="24"/>
          <w:szCs w:val="24"/>
        </w:rPr>
        <w:t>供应商未按采购文件工程量清单总说明规定或其持有的《四川省施工企业工程规费计取标准》证书中的规费标准(采购文件工程量清单总说明无规定时)计取规费的；</w:t>
      </w:r>
    </w:p>
    <w:p>
      <w:pPr>
        <w:pStyle w:val="84"/>
        <w:numPr>
          <w:ilvl w:val="0"/>
          <w:numId w:val="2"/>
        </w:numPr>
        <w:spacing w:line="360" w:lineRule="auto"/>
        <w:ind w:left="993" w:hanging="567" w:firstLineChars="0"/>
        <w:rPr>
          <w:rFonts w:hint="eastAsia" w:ascii="宋体" w:hAnsi="宋体" w:eastAsia="宋体" w:cs="宋体"/>
          <w:sz w:val="24"/>
          <w:szCs w:val="24"/>
        </w:rPr>
      </w:pPr>
      <w:r>
        <w:rPr>
          <w:rFonts w:hint="eastAsia" w:ascii="宋体" w:hAnsi="宋体" w:eastAsia="宋体" w:cs="宋体"/>
          <w:sz w:val="24"/>
          <w:szCs w:val="24"/>
        </w:rPr>
        <w:t>采购文件明确了安全文明施工费金额或费率并要求按此金额或费率填报而供应商填报错误或未填报的；</w:t>
      </w:r>
    </w:p>
    <w:p>
      <w:pPr>
        <w:pStyle w:val="84"/>
        <w:numPr>
          <w:ilvl w:val="0"/>
          <w:numId w:val="2"/>
        </w:numPr>
        <w:spacing w:line="360" w:lineRule="auto"/>
        <w:ind w:left="993" w:hanging="567" w:firstLineChars="0"/>
        <w:rPr>
          <w:rFonts w:hint="eastAsia" w:ascii="宋体" w:hAnsi="宋体" w:eastAsia="宋体" w:cs="宋体"/>
          <w:sz w:val="24"/>
          <w:szCs w:val="24"/>
        </w:rPr>
      </w:pPr>
      <w:r>
        <w:rPr>
          <w:rFonts w:hint="eastAsia" w:ascii="宋体" w:hAnsi="宋体" w:eastAsia="宋体" w:cs="宋体"/>
          <w:sz w:val="24"/>
          <w:szCs w:val="24"/>
        </w:rPr>
        <w:t>已标价工程量清单中暂列金额未按采购文件工程量清单中列明的金额填报的；</w:t>
      </w:r>
    </w:p>
    <w:p>
      <w:pPr>
        <w:pStyle w:val="84"/>
        <w:numPr>
          <w:ilvl w:val="0"/>
          <w:numId w:val="2"/>
        </w:numPr>
        <w:spacing w:line="360" w:lineRule="auto"/>
        <w:ind w:left="993" w:hanging="567" w:firstLineChars="0"/>
        <w:rPr>
          <w:rFonts w:hint="eastAsia" w:ascii="宋体" w:hAnsi="宋体" w:eastAsia="宋体" w:cs="宋体"/>
          <w:sz w:val="24"/>
          <w:szCs w:val="24"/>
        </w:rPr>
      </w:pPr>
      <w:r>
        <w:rPr>
          <w:rFonts w:hint="eastAsia" w:ascii="宋体" w:hAnsi="宋体" w:eastAsia="宋体" w:cs="宋体"/>
          <w:sz w:val="24"/>
          <w:szCs w:val="24"/>
        </w:rPr>
        <w:t>已标价工程量清单中材料、工程设备暂估价未按采购文件工程量清单中列出的单价计入综合单价的；</w:t>
      </w:r>
    </w:p>
    <w:p>
      <w:pPr>
        <w:pStyle w:val="84"/>
        <w:numPr>
          <w:ilvl w:val="0"/>
          <w:numId w:val="2"/>
        </w:numPr>
        <w:spacing w:line="360" w:lineRule="auto"/>
        <w:ind w:left="993" w:hanging="567" w:firstLineChars="0"/>
        <w:rPr>
          <w:rFonts w:hint="eastAsia" w:ascii="宋体" w:hAnsi="宋体" w:eastAsia="宋体" w:cs="宋体"/>
          <w:sz w:val="24"/>
          <w:szCs w:val="24"/>
        </w:rPr>
      </w:pPr>
      <w:r>
        <w:rPr>
          <w:rFonts w:hint="eastAsia" w:ascii="宋体" w:hAnsi="宋体" w:eastAsia="宋体" w:cs="宋体"/>
          <w:sz w:val="24"/>
          <w:szCs w:val="24"/>
        </w:rPr>
        <w:t>已标价工程量清单中专业工程暂估价未按采购文件工程量清单中列明的金额填写的；</w:t>
      </w:r>
    </w:p>
    <w:p>
      <w:pPr>
        <w:pStyle w:val="84"/>
        <w:numPr>
          <w:ilvl w:val="0"/>
          <w:numId w:val="2"/>
        </w:numPr>
        <w:spacing w:line="360" w:lineRule="auto"/>
        <w:ind w:left="993" w:hanging="567" w:firstLineChars="0"/>
        <w:rPr>
          <w:rFonts w:hint="eastAsia" w:ascii="宋体" w:hAnsi="宋体" w:eastAsia="宋体" w:cs="宋体"/>
          <w:sz w:val="24"/>
          <w:szCs w:val="24"/>
        </w:rPr>
      </w:pPr>
      <w:r>
        <w:rPr>
          <w:rFonts w:hint="eastAsia" w:ascii="宋体" w:hAnsi="宋体" w:eastAsia="宋体" w:cs="宋体"/>
          <w:sz w:val="24"/>
          <w:szCs w:val="24"/>
        </w:rPr>
        <w:t>已标价工程量清单中计日工未按采购文件工程量清单中列明的数量进行报价的；</w:t>
      </w:r>
    </w:p>
    <w:p>
      <w:pPr>
        <w:pStyle w:val="84"/>
        <w:numPr>
          <w:ilvl w:val="0"/>
          <w:numId w:val="2"/>
        </w:numPr>
        <w:spacing w:line="360" w:lineRule="auto"/>
        <w:ind w:left="993" w:hanging="567" w:firstLineChars="0"/>
        <w:rPr>
          <w:rFonts w:hint="eastAsia" w:ascii="宋体" w:hAnsi="宋体" w:eastAsia="宋体" w:cs="宋体"/>
          <w:sz w:val="24"/>
          <w:szCs w:val="24"/>
        </w:rPr>
      </w:pPr>
      <w:r>
        <w:rPr>
          <w:rFonts w:hint="eastAsia" w:ascii="宋体" w:hAnsi="宋体" w:eastAsia="宋体" w:cs="宋体"/>
          <w:sz w:val="24"/>
          <w:szCs w:val="24"/>
        </w:rPr>
        <w:t>当已标价工程量清单中的任何单价、合价或总价，出现两个及以上金额的。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供应商的最后报价只有一个总价，且相对首次报价有调整（上调取“+”，下调取“-”），则该调整金额将会以百分比（A）形式套用于首次报价中除暂列金额、专业暂估价以及包干费用以外的各项目单价，调整后的单价（B）作为工程变更及竣工结算的依据。百分比（A）计算如下（保留两位小数）：</w:t>
      </w:r>
    </w:p>
    <w:p>
      <w:pPr>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（±）调整金额</w:t>
      </w:r>
    </w:p>
    <w:p>
      <w:pPr>
        <w:spacing w:line="360" w:lineRule="auto"/>
        <w:rPr>
          <w:rFonts w:hint="eastAsia" w:ascii="宋体" w:hAnsi="宋体" w:eastAsia="宋体" w:cs="宋体"/>
          <w:sz w:val="24"/>
          <w:szCs w:val="24"/>
        </w:rPr>
      </w:pPr>
      <w:r>
        <w:rPr>
          <w:rFonts w:hint="eastAsia" w:ascii="宋体" w:hAnsi="宋体" w:eastAsia="宋体" w:cs="宋体"/>
          <w:sz w:val="24"/>
          <w:szCs w:val="24"/>
        </w:rPr>
        <w:t>百分比（A）= ×100%</w:t>
      </w:r>
    </w:p>
    <w:p>
      <w:pPr>
        <w:spacing w:line="360" w:lineRule="auto"/>
        <w:ind w:firstLine="1680" w:firstLineChars="700"/>
        <w:rPr>
          <w:rFonts w:hint="eastAsia" w:ascii="宋体" w:hAnsi="宋体" w:eastAsia="宋体" w:cs="宋体"/>
          <w:sz w:val="24"/>
          <w:szCs w:val="24"/>
        </w:rPr>
      </w:pPr>
      <w:r>
        <w:rPr>
          <w:rFonts w:hint="eastAsia" w:ascii="宋体" w:hAnsi="宋体" w:eastAsia="宋体" w:cs="宋体"/>
          <w:sz w:val="24"/>
          <w:szCs w:val="24"/>
        </w:rPr>
        <w:t>修正后的首次报价-暂列金额-专业工程暂估价-包干费用</w:t>
      </w:r>
    </w:p>
    <w:p>
      <w:pPr>
        <w:spacing w:line="360" w:lineRule="auto"/>
        <w:rPr>
          <w:rFonts w:hint="eastAsia" w:ascii="宋体" w:hAnsi="宋体" w:eastAsia="宋体" w:cs="宋体"/>
          <w:sz w:val="24"/>
          <w:szCs w:val="24"/>
        </w:rPr>
      </w:pPr>
      <w:r>
        <w:rPr>
          <w:rFonts w:hint="eastAsia" w:ascii="宋体" w:hAnsi="宋体" w:eastAsia="宋体" w:cs="宋体"/>
          <w:sz w:val="24"/>
          <w:szCs w:val="24"/>
        </w:rPr>
        <w:t>调整后的单价B =修正后的首次报价中的单价×（1+A）</w:t>
      </w:r>
    </w:p>
    <w:bookmarkEnd w:id="64"/>
    <w:p>
      <w:pPr>
        <w:spacing w:line="360" w:lineRule="auto"/>
        <w:ind w:left="2" w:leftChars="1"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cs="宋体"/>
          <w:b/>
          <w:bCs/>
          <w:sz w:val="24"/>
          <w:szCs w:val="24"/>
          <w:lang w:val="en-US" w:eastAsia="zh-CN"/>
        </w:rPr>
        <w:t>6</w:t>
      </w:r>
      <w:r>
        <w:rPr>
          <w:rFonts w:hint="eastAsia" w:ascii="宋体" w:hAnsi="宋体" w:eastAsia="宋体" w:cs="宋体"/>
          <w:b/>
          <w:bCs/>
          <w:sz w:val="24"/>
          <w:szCs w:val="24"/>
        </w:rPr>
        <w:t>.响应文件格式</w:t>
      </w:r>
    </w:p>
    <w:p>
      <w:pPr>
        <w:spacing w:line="360" w:lineRule="auto"/>
        <w:ind w:left="2" w:leftChars="1"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6</w:t>
      </w:r>
      <w:r>
        <w:rPr>
          <w:rFonts w:hint="eastAsia" w:ascii="宋体" w:hAnsi="宋体" w:eastAsia="宋体" w:cs="宋体"/>
          <w:sz w:val="24"/>
          <w:szCs w:val="24"/>
        </w:rPr>
        <w:t>.1 供应商应执行谈判文件第七章的规定要求。</w:t>
      </w:r>
    </w:p>
    <w:p>
      <w:pPr>
        <w:spacing w:line="360" w:lineRule="auto"/>
        <w:ind w:left="2" w:leftChars="1"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6</w:t>
      </w:r>
      <w:r>
        <w:rPr>
          <w:rFonts w:hint="eastAsia" w:ascii="宋体" w:hAnsi="宋体" w:eastAsia="宋体" w:cs="宋体"/>
          <w:sz w:val="24"/>
          <w:szCs w:val="24"/>
        </w:rPr>
        <w:t>.2 对于谈判文件没有格式要求的由供应商自行编写。</w:t>
      </w:r>
    </w:p>
    <w:p>
      <w:pPr>
        <w:spacing w:line="360" w:lineRule="auto"/>
        <w:ind w:firstLine="472" w:firstLineChars="196"/>
        <w:rPr>
          <w:rFonts w:hint="eastAsia" w:ascii="宋体" w:hAnsi="宋体" w:eastAsia="宋体" w:cs="宋体"/>
          <w:b/>
          <w:bCs/>
          <w:sz w:val="24"/>
          <w:szCs w:val="24"/>
        </w:rPr>
      </w:pPr>
      <w:bookmarkStart w:id="65" w:name="_Toc183682361"/>
      <w:bookmarkStart w:id="66" w:name="_Toc217446051"/>
      <w:bookmarkStart w:id="67" w:name="_Toc183582224"/>
      <w:r>
        <w:rPr>
          <w:rFonts w:hint="eastAsia" w:ascii="宋体" w:hAnsi="宋体" w:eastAsia="宋体" w:cs="宋体"/>
          <w:b/>
          <w:bCs/>
          <w:sz w:val="24"/>
          <w:szCs w:val="24"/>
        </w:rPr>
        <w:t>1</w:t>
      </w:r>
      <w:r>
        <w:rPr>
          <w:rFonts w:hint="eastAsia" w:ascii="宋体" w:hAnsi="宋体" w:cs="宋体"/>
          <w:b/>
          <w:bCs/>
          <w:sz w:val="24"/>
          <w:szCs w:val="24"/>
          <w:lang w:val="en-US" w:eastAsia="zh-CN"/>
        </w:rPr>
        <w:t>7</w:t>
      </w:r>
      <w:r>
        <w:rPr>
          <w:rFonts w:hint="eastAsia" w:ascii="宋体" w:hAnsi="宋体" w:eastAsia="宋体" w:cs="宋体"/>
          <w:b/>
          <w:bCs/>
          <w:sz w:val="24"/>
          <w:szCs w:val="24"/>
        </w:rPr>
        <w:t>.响应文件的编制和签署</w:t>
      </w:r>
    </w:p>
    <w:p>
      <w:pPr>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.1 资格性响应文件正本</w:t>
      </w:r>
      <w:r>
        <w:rPr>
          <w:rFonts w:hint="eastAsia" w:ascii="宋体" w:hAnsi="宋体" w:cs="宋体"/>
          <w:sz w:val="24"/>
          <w:szCs w:val="24"/>
          <w:lang w:val="en-US" w:eastAsia="zh-CN"/>
        </w:rPr>
        <w:t>1</w:t>
      </w:r>
      <w:r>
        <w:rPr>
          <w:rFonts w:hint="eastAsia" w:ascii="宋体" w:hAnsi="宋体" w:eastAsia="宋体" w:cs="宋体"/>
          <w:sz w:val="24"/>
          <w:szCs w:val="24"/>
        </w:rPr>
        <w:t>份副本</w:t>
      </w:r>
      <w:r>
        <w:rPr>
          <w:rFonts w:hint="eastAsia" w:ascii="宋体" w:hAnsi="宋体" w:cs="宋体"/>
          <w:sz w:val="24"/>
          <w:szCs w:val="24"/>
          <w:lang w:val="en-US" w:eastAsia="zh-CN"/>
        </w:rPr>
        <w:t>2</w:t>
      </w:r>
      <w:r>
        <w:rPr>
          <w:rFonts w:hint="eastAsia" w:ascii="宋体" w:hAnsi="宋体" w:eastAsia="宋体" w:cs="宋体"/>
          <w:sz w:val="24"/>
          <w:szCs w:val="24"/>
        </w:rPr>
        <w:t>份，并在其封面上清楚地标明资格性响应文件、采购项目名称、采购项目编号、包件号及名称（若有）、供应商名称以及“正本”或“副本”字样。若正本和副本有不一致的内容，以正本书面响应文件为准。</w:t>
      </w:r>
    </w:p>
    <w:p>
      <w:pPr>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.2 施工响应文件正本</w:t>
      </w:r>
      <w:r>
        <w:rPr>
          <w:rFonts w:hint="eastAsia" w:ascii="宋体" w:hAnsi="宋体" w:cs="宋体"/>
          <w:sz w:val="24"/>
          <w:szCs w:val="24"/>
          <w:lang w:val="en-US" w:eastAsia="zh-CN"/>
        </w:rPr>
        <w:t>1</w:t>
      </w:r>
      <w:r>
        <w:rPr>
          <w:rFonts w:hint="eastAsia" w:ascii="宋体" w:hAnsi="宋体" w:eastAsia="宋体" w:cs="宋体"/>
          <w:sz w:val="24"/>
          <w:szCs w:val="24"/>
        </w:rPr>
        <w:t>份副本</w:t>
      </w:r>
      <w:r>
        <w:rPr>
          <w:rFonts w:hint="eastAsia" w:ascii="宋体" w:hAnsi="宋体" w:cs="宋体"/>
          <w:sz w:val="24"/>
          <w:szCs w:val="24"/>
          <w:lang w:val="en-US" w:eastAsia="zh-CN"/>
        </w:rPr>
        <w:t>2</w:t>
      </w:r>
      <w:r>
        <w:rPr>
          <w:rFonts w:hint="eastAsia" w:ascii="宋体" w:hAnsi="宋体" w:eastAsia="宋体" w:cs="宋体"/>
          <w:sz w:val="24"/>
          <w:szCs w:val="24"/>
        </w:rPr>
        <w:t>份，并在其封面上清楚地标明施工响应文件、采购项目名称、采购项目编号、包件号及名称（若有）、供应商名称以及“正本”或“副本”字样。若正本和副本有不一致的内容，以正本书面响应文件为准。</w:t>
      </w:r>
    </w:p>
    <w:bookmarkEnd w:id="65"/>
    <w:bookmarkEnd w:id="66"/>
    <w:bookmarkEnd w:id="67"/>
    <w:p>
      <w:pPr>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.3 响应文件正本和副本均需打印或用不褪色、不变质的墨水书写，并在规定签章处签字和盖章。响应文件副本可采用正本的复印件。本项目响应文件提供纸质响应文件/提供电子响应文件（二选一，采购人、采购代理机构不得同时要求供应商提供纸质响应文件和电子响应文件）。</w:t>
      </w:r>
    </w:p>
    <w:p>
      <w:pPr>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.4响应文件的打印和书写应清楚工整，任何行间插字、涂改或增删，必须由供应商的法定代表人/单位负责人或其授权代表签字并盖供应商公章。</w:t>
      </w:r>
    </w:p>
    <w:p>
      <w:pPr>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.5</w:t>
      </w:r>
      <w:r>
        <w:rPr>
          <w:rFonts w:hint="eastAsia" w:ascii="宋体" w:hAnsi="宋体" w:eastAsia="宋体" w:cs="宋体"/>
          <w:b/>
          <w:bCs/>
          <w:sz w:val="24"/>
          <w:szCs w:val="24"/>
        </w:rPr>
        <w:t>（实质性要求）</w:t>
      </w:r>
      <w:r>
        <w:rPr>
          <w:rFonts w:hint="eastAsia" w:ascii="宋体" w:hAnsi="宋体" w:eastAsia="宋体" w:cs="宋体"/>
          <w:sz w:val="24"/>
          <w:szCs w:val="24"/>
        </w:rPr>
        <w:t>响应文件应由供应商法定代表人/主要负责人/本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p>
    <w:p>
      <w:pPr>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.6响应文件正本和副本需要逐页编目编码。</w:t>
      </w:r>
    </w:p>
    <w:p>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.7要求提供纸质响应文件的，响应文件正本和副本应当采用胶装方式装订成册，不得散装或者合页装订。</w:t>
      </w:r>
    </w:p>
    <w:p>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.8</w:t>
      </w:r>
      <w:r>
        <w:rPr>
          <w:rFonts w:hint="eastAsia" w:ascii="宋体" w:hAnsi="宋体" w:eastAsia="宋体" w:cs="宋体"/>
          <w:b/>
          <w:bCs/>
          <w:sz w:val="24"/>
          <w:szCs w:val="24"/>
        </w:rPr>
        <w:t>（实质性要求）</w:t>
      </w:r>
      <w:r>
        <w:rPr>
          <w:rFonts w:hint="eastAsia" w:ascii="宋体" w:hAnsi="宋体" w:eastAsia="宋体" w:cs="宋体"/>
          <w:sz w:val="24"/>
          <w:szCs w:val="24"/>
        </w:rPr>
        <w:t>响应文件应按谈判文件的要求签署、盖章（第八章2.2.6规定的例外情形除外）。</w:t>
      </w:r>
    </w:p>
    <w:p>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.9提供纸质响应文件的，响应文件统一用A4幅面纸印制，除另有规定外。</w:t>
      </w:r>
    </w:p>
    <w:p>
      <w:pPr>
        <w:tabs>
          <w:tab w:val="left" w:pos="1080"/>
        </w:tabs>
        <w:spacing w:line="360" w:lineRule="auto"/>
        <w:ind w:firstLine="463" w:firstLineChars="192"/>
        <w:rPr>
          <w:rFonts w:hint="eastAsia" w:ascii="宋体" w:hAnsi="宋体" w:eastAsia="宋体" w:cs="宋体"/>
          <w:b/>
          <w:bCs/>
          <w:sz w:val="24"/>
          <w:szCs w:val="24"/>
        </w:rPr>
      </w:pPr>
      <w:bookmarkStart w:id="68" w:name="_Toc217446053"/>
      <w:bookmarkStart w:id="69" w:name="_Toc183682363"/>
      <w:bookmarkStart w:id="70" w:name="_Toc77400781"/>
      <w:bookmarkStart w:id="71" w:name="_Toc183582226"/>
      <w:bookmarkStart w:id="72" w:name="_Toc89075877"/>
      <w:r>
        <w:rPr>
          <w:rFonts w:hint="eastAsia" w:ascii="宋体" w:hAnsi="宋体" w:eastAsia="宋体" w:cs="宋体"/>
          <w:b/>
          <w:bCs/>
          <w:sz w:val="24"/>
          <w:szCs w:val="24"/>
        </w:rPr>
        <w:t>1</w:t>
      </w:r>
      <w:r>
        <w:rPr>
          <w:rFonts w:hint="eastAsia" w:ascii="宋体" w:hAnsi="宋体" w:cs="宋体"/>
          <w:b/>
          <w:bCs/>
          <w:sz w:val="24"/>
          <w:szCs w:val="24"/>
          <w:lang w:val="en-US" w:eastAsia="zh-CN"/>
        </w:rPr>
        <w:t>8</w:t>
      </w:r>
      <w:r>
        <w:rPr>
          <w:rFonts w:hint="eastAsia" w:ascii="宋体" w:hAnsi="宋体" w:eastAsia="宋体" w:cs="宋体"/>
          <w:b/>
          <w:bCs/>
          <w:sz w:val="24"/>
          <w:szCs w:val="24"/>
        </w:rPr>
        <w:t>.响应文件的密封和标注（不属于本项目谈判小组评审范畴，由采购人、采购代理机构在接收响应文件时及时处理，不适用于电子化采购中通过网络系统提供电子响应文件）</w:t>
      </w:r>
    </w:p>
    <w:p>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8</w:t>
      </w:r>
      <w:r>
        <w:rPr>
          <w:rFonts w:hint="eastAsia" w:ascii="宋体" w:hAnsi="宋体" w:eastAsia="宋体" w:cs="宋体"/>
          <w:sz w:val="24"/>
          <w:szCs w:val="24"/>
        </w:rPr>
        <w:t>.1 响应文件可以单独密封包装，也可以所有响应文件密封包装在一个密封袋内。</w:t>
      </w:r>
    </w:p>
    <w:p>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8</w:t>
      </w:r>
      <w:r>
        <w:rPr>
          <w:rFonts w:hint="eastAsia" w:ascii="宋体" w:hAnsi="宋体" w:eastAsia="宋体" w:cs="宋体"/>
          <w:sz w:val="24"/>
          <w:szCs w:val="24"/>
        </w:rPr>
        <w:t>.2 响应文件密封袋的最外层应清楚地标明采购项目名称、采购项目编号、包件号及名称（若有）、供应商名称。</w:t>
      </w:r>
    </w:p>
    <w:p>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8</w:t>
      </w:r>
      <w:r>
        <w:rPr>
          <w:rFonts w:hint="eastAsia" w:ascii="宋体" w:hAnsi="宋体" w:eastAsia="宋体" w:cs="宋体"/>
          <w:sz w:val="24"/>
          <w:szCs w:val="24"/>
        </w:rPr>
        <w:t>.3 所有外层密封袋的封口处应粘贴牢固。</w:t>
      </w:r>
    </w:p>
    <w:p>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8</w:t>
      </w:r>
      <w:r>
        <w:rPr>
          <w:rFonts w:hint="eastAsia" w:ascii="宋体" w:hAnsi="宋体" w:eastAsia="宋体" w:cs="宋体"/>
          <w:sz w:val="24"/>
          <w:szCs w:val="24"/>
        </w:rPr>
        <w:t>.4 未密封的响应文件，采购人、采购代理机构将拒收或者在时间允许的范围内，要求供应商密封完善后接收。</w:t>
      </w:r>
    </w:p>
    <w:p>
      <w:pPr>
        <w:tabs>
          <w:tab w:val="left" w:pos="1080"/>
        </w:tabs>
        <w:spacing w:line="360" w:lineRule="auto"/>
        <w:ind w:firstLine="463" w:firstLineChars="192"/>
        <w:rPr>
          <w:rFonts w:hint="eastAsia" w:ascii="宋体" w:hAnsi="宋体" w:eastAsia="宋体" w:cs="宋体"/>
          <w:b/>
          <w:bCs/>
          <w:sz w:val="24"/>
          <w:szCs w:val="24"/>
        </w:rPr>
      </w:pPr>
      <w:r>
        <w:rPr>
          <w:rFonts w:hint="eastAsia" w:ascii="宋体" w:hAnsi="宋体" w:cs="宋体"/>
          <w:b/>
          <w:bCs/>
          <w:sz w:val="24"/>
          <w:szCs w:val="24"/>
          <w:lang w:val="en-US" w:eastAsia="zh-CN"/>
        </w:rPr>
        <w:t>19</w:t>
      </w:r>
      <w:r>
        <w:rPr>
          <w:rFonts w:hint="eastAsia" w:ascii="宋体" w:hAnsi="宋体" w:eastAsia="宋体" w:cs="宋体"/>
          <w:b/>
          <w:bCs/>
          <w:sz w:val="24"/>
          <w:szCs w:val="24"/>
        </w:rPr>
        <w:t>.响应文件的递交</w:t>
      </w:r>
    </w:p>
    <w:p>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cs="宋体"/>
          <w:sz w:val="24"/>
          <w:szCs w:val="24"/>
          <w:lang w:val="en-US" w:eastAsia="zh-CN"/>
        </w:rPr>
        <w:t>19</w:t>
      </w:r>
      <w:r>
        <w:rPr>
          <w:rFonts w:hint="eastAsia" w:ascii="宋体" w:hAnsi="宋体" w:eastAsia="宋体" w:cs="宋体"/>
          <w:sz w:val="24"/>
          <w:szCs w:val="24"/>
        </w:rPr>
        <w:t>.1 资格性响应文件和施工响应文件应于递交响应文件截止时间前送达指定地点，采购代理机构拒绝接收截止时间后送达的响应文件。供应商在递交响应文件时，用正楷填写本谈判须知附件二“递交响应文件签收表”然后将签收表和响应文件一并递交给采购代理机构工作人员。</w:t>
      </w:r>
    </w:p>
    <w:p>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.2报价表在谈判后，由谈判小组要求供应商进行报价时递交。</w:t>
      </w:r>
    </w:p>
    <w:p>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cs="宋体"/>
          <w:sz w:val="24"/>
          <w:szCs w:val="24"/>
          <w:lang w:val="en-US" w:eastAsia="zh-CN"/>
        </w:rPr>
        <w:t>19</w:t>
      </w:r>
      <w:r>
        <w:rPr>
          <w:rFonts w:hint="eastAsia" w:ascii="宋体" w:hAnsi="宋体" w:eastAsia="宋体" w:cs="宋体"/>
          <w:sz w:val="24"/>
          <w:szCs w:val="24"/>
        </w:rPr>
        <w:t>.3本次采购不接收邮寄的响应文件。</w:t>
      </w:r>
    </w:p>
    <w:bookmarkEnd w:id="68"/>
    <w:bookmarkEnd w:id="69"/>
    <w:bookmarkEnd w:id="70"/>
    <w:bookmarkEnd w:id="71"/>
    <w:bookmarkEnd w:id="72"/>
    <w:p>
      <w:pPr>
        <w:tabs>
          <w:tab w:val="left" w:pos="1080"/>
        </w:tabs>
        <w:spacing w:line="360" w:lineRule="auto"/>
        <w:ind w:firstLine="463" w:firstLineChars="192"/>
        <w:rPr>
          <w:rFonts w:hint="eastAsia" w:ascii="宋体" w:hAnsi="宋体" w:eastAsia="宋体" w:cs="宋体"/>
          <w:b/>
          <w:bCs/>
          <w:sz w:val="24"/>
          <w:szCs w:val="24"/>
        </w:rPr>
      </w:pPr>
      <w:bookmarkStart w:id="73" w:name="_Toc217446055"/>
      <w:bookmarkStart w:id="74" w:name="_Toc183582228"/>
      <w:bookmarkStart w:id="75" w:name="_Toc183682365"/>
      <w:r>
        <w:rPr>
          <w:rFonts w:hint="eastAsia" w:ascii="宋体" w:hAnsi="宋体" w:eastAsia="宋体" w:cs="宋体"/>
          <w:b/>
          <w:bCs/>
          <w:sz w:val="24"/>
          <w:szCs w:val="24"/>
        </w:rPr>
        <w:t>2</w:t>
      </w:r>
      <w:r>
        <w:rPr>
          <w:rFonts w:hint="eastAsia" w:ascii="宋体" w:hAnsi="宋体" w:cs="宋体"/>
          <w:b/>
          <w:bCs/>
          <w:sz w:val="24"/>
          <w:szCs w:val="24"/>
          <w:lang w:val="en-US" w:eastAsia="zh-CN"/>
        </w:rPr>
        <w:t>0</w:t>
      </w:r>
      <w:r>
        <w:rPr>
          <w:rFonts w:hint="eastAsia" w:ascii="宋体" w:hAnsi="宋体" w:eastAsia="宋体" w:cs="宋体"/>
          <w:b/>
          <w:bCs/>
          <w:sz w:val="24"/>
          <w:szCs w:val="24"/>
        </w:rPr>
        <w:t>.响应文件的修改和撤回（补充、修改响应文件的密封和标注按照本章“19.响应文件的密封和标注”规定处理）</w:t>
      </w:r>
    </w:p>
    <w:p>
      <w:pPr>
        <w:pStyle w:val="12"/>
        <w:spacing w:line="360" w:lineRule="auto"/>
        <w:ind w:firstLine="316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0</w:t>
      </w:r>
      <w:r>
        <w:rPr>
          <w:rFonts w:hint="eastAsia" w:ascii="宋体" w:hAnsi="宋体" w:eastAsia="宋体" w:cs="宋体"/>
          <w:sz w:val="24"/>
          <w:szCs w:val="24"/>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0</w:t>
      </w:r>
      <w:r>
        <w:rPr>
          <w:rFonts w:hint="eastAsia" w:ascii="宋体" w:hAnsi="宋体" w:eastAsia="宋体" w:cs="宋体"/>
          <w:sz w:val="24"/>
          <w:szCs w:val="24"/>
        </w:rPr>
        <w:t>.2供应商对响应文件修改的书面材料或撤回的通知应该按规定进行编写、密封、标注和递送，并注明“修改响应文件”字样。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0</w:t>
      </w:r>
      <w:r>
        <w:rPr>
          <w:rFonts w:hint="eastAsia" w:ascii="宋体" w:hAnsi="宋体" w:eastAsia="宋体" w:cs="宋体"/>
          <w:sz w:val="24"/>
          <w:szCs w:val="24"/>
        </w:rPr>
        <w:t>.3供应商不得在递交截止时间起至响应文件有效期期满前撤销其响应文件，否则将认定其响应文件有效期的承诺为虚假承诺，并依法追究其法律责任。</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0</w:t>
      </w:r>
      <w:r>
        <w:rPr>
          <w:rFonts w:hint="eastAsia" w:ascii="宋体" w:hAnsi="宋体" w:eastAsia="宋体" w:cs="宋体"/>
          <w:sz w:val="24"/>
          <w:szCs w:val="24"/>
        </w:rPr>
        <w:t>.4供应商对其提交的响应文件的真实性、合法性承担法律责任。</w:t>
      </w:r>
      <w:bookmarkEnd w:id="73"/>
      <w:bookmarkEnd w:id="74"/>
      <w:bookmarkEnd w:id="75"/>
    </w:p>
    <w:p>
      <w:pPr>
        <w:pStyle w:val="4"/>
        <w:keepNext w:val="0"/>
        <w:keepLines w:val="0"/>
        <w:spacing w:line="360" w:lineRule="auto"/>
        <w:jc w:val="center"/>
        <w:rPr>
          <w:rFonts w:hint="eastAsia" w:ascii="宋体" w:hAnsi="宋体" w:eastAsia="宋体" w:cs="宋体"/>
          <w:sz w:val="24"/>
          <w:szCs w:val="24"/>
        </w:rPr>
      </w:pPr>
      <w:bookmarkStart w:id="76" w:name="_Toc183582231"/>
      <w:bookmarkStart w:id="77" w:name="_Toc89075878"/>
      <w:bookmarkStart w:id="78" w:name="_Toc217446056"/>
      <w:bookmarkStart w:id="79" w:name="_Toc77400782"/>
      <w:bookmarkStart w:id="80" w:name="_Toc183682368"/>
      <w:r>
        <w:rPr>
          <w:rFonts w:hint="eastAsia" w:ascii="宋体" w:hAnsi="宋体" w:eastAsia="宋体" w:cs="宋体"/>
          <w:sz w:val="24"/>
          <w:szCs w:val="24"/>
        </w:rPr>
        <w:t>五、评审</w:t>
      </w:r>
    </w:p>
    <w:p>
      <w:pPr>
        <w:spacing w:line="360" w:lineRule="auto"/>
        <w:ind w:firstLine="480"/>
        <w:rPr>
          <w:rFonts w:hint="eastAsia" w:ascii="宋体" w:hAnsi="宋体" w:eastAsia="宋体" w:cs="宋体"/>
          <w:sz w:val="24"/>
          <w:szCs w:val="24"/>
        </w:rPr>
      </w:pPr>
      <w:r>
        <w:rPr>
          <w:rFonts w:hint="eastAsia" w:ascii="宋体" w:hAnsi="宋体" w:cs="宋体"/>
          <w:sz w:val="24"/>
          <w:szCs w:val="24"/>
          <w:lang w:val="en-US" w:eastAsia="zh-CN"/>
        </w:rPr>
        <w:t>21.</w:t>
      </w:r>
      <w:r>
        <w:rPr>
          <w:rFonts w:hint="eastAsia" w:ascii="宋体" w:hAnsi="宋体" w:eastAsia="宋体" w:cs="宋体"/>
          <w:sz w:val="24"/>
          <w:szCs w:val="24"/>
        </w:rPr>
        <w:t>谈判小组的组建及其评审工作按照有关法律制度和本文件第八章的规定进行。</w:t>
      </w:r>
    </w:p>
    <w:p>
      <w:pPr>
        <w:pStyle w:val="4"/>
        <w:keepNext w:val="0"/>
        <w:keepLines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六、成交事项</w:t>
      </w:r>
    </w:p>
    <w:p>
      <w:pPr>
        <w:bidi w:val="0"/>
        <w:spacing w:line="360" w:lineRule="auto"/>
        <w:ind w:firstLine="482" w:firstLineChars="2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22.确定成交供应商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w:t>
      </w:r>
      <w:r>
        <w:rPr>
          <w:rFonts w:hint="eastAsia"/>
          <w:sz w:val="24"/>
          <w:szCs w:val="24"/>
          <w:lang w:val="en-US" w:eastAsia="zh-CN"/>
        </w:rPr>
        <w:t>2</w:t>
      </w:r>
      <w:r>
        <w:rPr>
          <w:rFonts w:hint="eastAsia"/>
          <w:sz w:val="24"/>
          <w:szCs w:val="24"/>
        </w:rPr>
        <w:t>.1本项目采购人将按谈判小组推荐的成交候选供应商顺序确定成交供应商。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w:t>
      </w:r>
      <w:r>
        <w:rPr>
          <w:rFonts w:hint="eastAsia"/>
          <w:sz w:val="24"/>
          <w:szCs w:val="24"/>
          <w:lang w:val="en-US" w:eastAsia="zh-CN"/>
        </w:rPr>
        <w:t>2</w:t>
      </w:r>
      <w:r>
        <w:rPr>
          <w:rFonts w:hint="eastAsia"/>
          <w:sz w:val="24"/>
          <w:szCs w:val="24"/>
        </w:rPr>
        <w:t>.2采购代理机构自评审结束后2个工作日内将谈判报告及有关资料送交采购人确定成交供应商。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w:t>
      </w:r>
      <w:r>
        <w:rPr>
          <w:rFonts w:hint="eastAsia"/>
          <w:sz w:val="24"/>
          <w:szCs w:val="24"/>
          <w:lang w:val="en-US" w:eastAsia="zh-CN"/>
        </w:rPr>
        <w:t>2</w:t>
      </w:r>
      <w:r>
        <w:rPr>
          <w:rFonts w:hint="eastAsia"/>
          <w:sz w:val="24"/>
          <w:szCs w:val="24"/>
        </w:rPr>
        <w:t>.3采购人收到谈判报告及有关资料后，将在5个工作日内按照谈判报告中推荐的成交候选供应商顺序确定成交供应商。采购人逾期未确定成交供应商且不提出异议的，视为确定谈判报告提出的排序第一的供应商为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w:t>
      </w:r>
      <w:r>
        <w:rPr>
          <w:rFonts w:hint="eastAsia"/>
          <w:sz w:val="24"/>
          <w:szCs w:val="24"/>
          <w:lang w:val="en-US" w:eastAsia="zh-CN"/>
        </w:rPr>
        <w:t>2</w:t>
      </w:r>
      <w:r>
        <w:rPr>
          <w:rFonts w:hint="eastAsia"/>
          <w:sz w:val="24"/>
          <w:szCs w:val="24"/>
        </w:rPr>
        <w:t>.4采购人确定成交供应商过程中，发现成交候选供应商有下列情形之一的，不予确定其为成交供应商：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（1）成交候选供应商属于禁止参加本项目采购活动的；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（2）成交候选供应商因不可抗力，不能继续参加政府采购活动；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（3）成交候选供应商无偿赠与或者低于成本价竞争；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（4）成交候选供应商提供虚假材料；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（5）成交候选供应商恶意串通。</w:t>
      </w:r>
    </w:p>
    <w:p>
      <w:pPr>
        <w:bidi w:val="0"/>
        <w:spacing w:line="360" w:lineRule="auto"/>
        <w:ind w:firstLine="482" w:firstLineChars="2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23.成交结果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23.1采购人确定成交供应商后，将及时书面通知采购代理机构，由采购代理机构发出成交通知书并发布成交结果公告。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23.2成交供应商应当及时领取成交通知书。本项目需要交纳履约保证金的，成交供应商应当及时向采购人交纳。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.3成交供应商不能及时领取成交通知书，采购人或者采购代理机应当通过邮寄、快递等方式将项目成交通知书送达成交供应商。</w:t>
      </w:r>
    </w:p>
    <w:p>
      <w:pPr>
        <w:bidi w:val="0"/>
        <w:spacing w:line="360" w:lineRule="auto"/>
        <w:ind w:firstLine="482" w:firstLineChars="2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24.成交通知书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24.1成交通知书为签订政府采购合同的依据之一，是合同的有效组成部分。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24.2成交通知书对采购人和成交供应商均具有法律效力。成交通知书发出后，采购人无正当理由改变成交结果，或者成交供应商无正当理由放弃成交的，将承担相应的法律责任。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24.3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pPr>
        <w:pStyle w:val="4"/>
        <w:keepNext w:val="0"/>
        <w:keepLines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七、合同事项</w:t>
      </w:r>
    </w:p>
    <w:p>
      <w:pPr>
        <w:bidi w:val="0"/>
        <w:spacing w:line="360" w:lineRule="auto"/>
        <w:ind w:firstLine="482" w:firstLineChars="200"/>
        <w:rPr>
          <w:rFonts w:hint="eastAsia" w:ascii="Times New Roman" w:hAnsi="Times New Roman" w:eastAsia="宋体" w:cs="Times New Roman"/>
          <w:b/>
          <w:bCs/>
          <w:sz w:val="24"/>
          <w:szCs w:val="24"/>
          <w:lang w:val="en-US" w:eastAsia="zh-CN"/>
        </w:rPr>
      </w:pPr>
      <w:bookmarkStart w:id="81" w:name="_Toc101174151"/>
      <w:bookmarkStart w:id="82" w:name="_Toc101338364"/>
      <w:bookmarkStart w:id="83" w:name="_Toc209847069"/>
      <w:bookmarkStart w:id="84" w:name="_Toc101250646"/>
      <w:bookmarkStart w:id="85" w:name="_Toc430773927"/>
      <w:r>
        <w:rPr>
          <w:rFonts w:hint="eastAsia" w:ascii="Times New Roman" w:hAnsi="Times New Roman" w:eastAsia="宋体" w:cs="Times New Roman"/>
          <w:b/>
          <w:bCs/>
          <w:sz w:val="24"/>
          <w:szCs w:val="24"/>
          <w:lang w:val="en-US" w:eastAsia="zh-CN"/>
        </w:rPr>
        <w:t>25.签订合同</w:t>
      </w:r>
      <w:bookmarkEnd w:id="81"/>
      <w:bookmarkEnd w:id="82"/>
      <w:bookmarkEnd w:id="83"/>
      <w:bookmarkEnd w:id="84"/>
      <w:bookmarkEnd w:id="85"/>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5</w:t>
      </w:r>
      <w:r>
        <w:rPr>
          <w:rFonts w:hint="eastAsia" w:ascii="宋体" w:hAnsi="宋体" w:eastAsia="宋体" w:cs="宋体"/>
          <w:sz w:val="24"/>
          <w:szCs w:val="24"/>
        </w:rPr>
        <w:t>.1 成交供应商应在成交通知书发出之日起三十日内与采购人签订采购合同。由于成交供应商的原因逾期未与采购人签订采购合同的，将视为放弃成交，取消其成交资格并将按相关规定进行处理。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5</w:t>
      </w:r>
      <w:r>
        <w:rPr>
          <w:rFonts w:hint="eastAsia" w:ascii="宋体" w:hAnsi="宋体" w:eastAsia="宋体" w:cs="宋体"/>
          <w:sz w:val="24"/>
          <w:szCs w:val="24"/>
        </w:rPr>
        <w:t>.2 谈判文件、成交供应商的响应文件及双方确认的澄清文件等，均为有法律约束力的合同组成部分。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5</w:t>
      </w:r>
      <w:r>
        <w:rPr>
          <w:rFonts w:hint="eastAsia" w:ascii="宋体" w:hAnsi="宋体" w:eastAsia="宋体" w:cs="宋体"/>
          <w:sz w:val="24"/>
          <w:szCs w:val="24"/>
        </w:rPr>
        <w:t>.3 采购人不得向成交供应商提出任何不合理的要求，作为签订合同的条件，不得与成交供应商私下订立背离合同实质性内容的任何协议，所签订的合同不得对谈判文件和成交供应商响应文件确定的事项进行修改。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5</w:t>
      </w:r>
      <w:r>
        <w:rPr>
          <w:rFonts w:hint="eastAsia" w:ascii="宋体" w:hAnsi="宋体" w:eastAsia="宋体" w:cs="宋体"/>
          <w:sz w:val="24"/>
          <w:szCs w:val="24"/>
        </w:rPr>
        <w:t>.4 成交供应商因不可抗力原因不能履行采购合同或放弃成交的，采购人可以与后一位序的成交候选供应商签订采购合同，依此类推。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5</w:t>
      </w:r>
      <w:r>
        <w:rPr>
          <w:rFonts w:hint="eastAsia" w:ascii="宋体" w:hAnsi="宋体" w:eastAsia="宋体" w:cs="宋体"/>
          <w:sz w:val="24"/>
          <w:szCs w:val="24"/>
        </w:rPr>
        <w:t>.5竞争性谈判文件、成交供应商提交的响应文件、谈判中的最后报价、成交供应商承诺书、成交通知书等均称为有法律约束力的合同组成内容。</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cs="宋体"/>
          <w:b/>
          <w:bCs/>
          <w:sz w:val="24"/>
          <w:szCs w:val="24"/>
          <w:lang w:val="en-US" w:eastAsia="zh-CN"/>
        </w:rPr>
        <w:t>6</w:t>
      </w:r>
      <w:r>
        <w:rPr>
          <w:rFonts w:hint="eastAsia" w:ascii="宋体" w:hAnsi="宋体" w:eastAsia="宋体" w:cs="宋体"/>
          <w:b/>
          <w:bCs/>
          <w:sz w:val="24"/>
          <w:szCs w:val="24"/>
        </w:rPr>
        <w:t>.合同分包（实质性要求）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本项目合同接受分包与否，以“供应商须知附表”勾选项为准。</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cs="宋体"/>
          <w:b/>
          <w:bCs/>
          <w:sz w:val="24"/>
          <w:szCs w:val="24"/>
          <w:lang w:val="en-US" w:eastAsia="zh-CN"/>
        </w:rPr>
        <w:t>7</w:t>
      </w:r>
      <w:r>
        <w:rPr>
          <w:rFonts w:hint="eastAsia" w:ascii="宋体" w:hAnsi="宋体" w:eastAsia="宋体" w:cs="宋体"/>
          <w:b/>
          <w:bCs/>
          <w:sz w:val="24"/>
          <w:szCs w:val="24"/>
        </w:rPr>
        <w:t>.合同转包（实质性要求）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成交供应商转包的，视同拒绝履行政府采购合同义务，将依法追究法律责任。</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cs="宋体"/>
          <w:b/>
          <w:bCs/>
          <w:sz w:val="24"/>
          <w:szCs w:val="24"/>
          <w:lang w:val="en-US" w:eastAsia="zh-CN"/>
        </w:rPr>
        <w:t>8</w:t>
      </w:r>
      <w:r>
        <w:rPr>
          <w:rFonts w:hint="eastAsia" w:ascii="宋体" w:hAnsi="宋体" w:eastAsia="宋体" w:cs="宋体"/>
          <w:b/>
          <w:bCs/>
          <w:sz w:val="24"/>
          <w:szCs w:val="24"/>
        </w:rPr>
        <w:t>.补充合同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合同履行过程中，采购人需要追加与合同标的相同的货物、工程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spacing w:line="360" w:lineRule="auto"/>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29</w:t>
      </w:r>
      <w:r>
        <w:rPr>
          <w:rFonts w:hint="eastAsia" w:ascii="宋体" w:hAnsi="宋体" w:eastAsia="宋体" w:cs="宋体"/>
          <w:b/>
          <w:bCs/>
          <w:sz w:val="24"/>
          <w:szCs w:val="24"/>
        </w:rPr>
        <w:t>.履约保证金（实质性要求）</w:t>
      </w:r>
    </w:p>
    <w:p>
      <w:pPr>
        <w:spacing w:line="360" w:lineRule="auto"/>
        <w:ind w:firstLine="480" w:firstLineChars="200"/>
        <w:rPr>
          <w:rFonts w:hint="default" w:ascii="宋体" w:hAnsi="宋体" w:eastAsia="宋体" w:cs="宋体"/>
          <w:sz w:val="24"/>
          <w:szCs w:val="24"/>
          <w:lang w:val="en-US"/>
        </w:rPr>
      </w:pPr>
      <w:r>
        <w:rPr>
          <w:rFonts w:hint="eastAsia" w:ascii="宋体" w:hAnsi="宋体" w:cs="宋体"/>
          <w:sz w:val="24"/>
          <w:szCs w:val="24"/>
          <w:lang w:val="en-US" w:eastAsia="zh-CN"/>
        </w:rPr>
        <w:t>本项目不收取履约保证金。</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cs="宋体"/>
          <w:b/>
          <w:bCs/>
          <w:sz w:val="24"/>
          <w:szCs w:val="24"/>
          <w:lang w:val="en-US" w:eastAsia="zh-CN"/>
        </w:rPr>
        <w:t>0</w:t>
      </w:r>
      <w:r>
        <w:rPr>
          <w:rFonts w:hint="eastAsia" w:ascii="宋体" w:hAnsi="宋体" w:eastAsia="宋体" w:cs="宋体"/>
          <w:b/>
          <w:bCs/>
          <w:sz w:val="24"/>
          <w:szCs w:val="24"/>
        </w:rPr>
        <w:t>.履行合同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0</w:t>
      </w:r>
      <w:r>
        <w:rPr>
          <w:rFonts w:hint="eastAsia" w:ascii="宋体" w:hAnsi="宋体" w:eastAsia="宋体" w:cs="宋体"/>
          <w:sz w:val="24"/>
          <w:szCs w:val="24"/>
        </w:rPr>
        <w:t>.1 成交供应商与采购人签订合同后，合同双方应严格执行合同条款，履行合同规定的义务，保证合同的顺利完成。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0</w:t>
      </w:r>
      <w:r>
        <w:rPr>
          <w:rFonts w:hint="eastAsia" w:ascii="宋体" w:hAnsi="宋体" w:eastAsia="宋体" w:cs="宋体"/>
          <w:sz w:val="24"/>
          <w:szCs w:val="24"/>
        </w:rPr>
        <w:t>.2 在合同履行过程中，如发生合同纠纷，合同双方应按照合同约定及《</w:t>
      </w:r>
      <w:r>
        <w:rPr>
          <w:rFonts w:hint="eastAsia" w:ascii="宋体" w:hAnsi="宋体" w:cs="宋体"/>
          <w:sz w:val="24"/>
          <w:szCs w:val="24"/>
          <w:lang w:val="en-US" w:eastAsia="zh-CN"/>
        </w:rPr>
        <w:t>中华人民共和国民法典</w:t>
      </w:r>
      <w:r>
        <w:rPr>
          <w:rFonts w:hint="eastAsia" w:ascii="宋体" w:hAnsi="宋体" w:eastAsia="宋体" w:cs="宋体"/>
          <w:sz w:val="24"/>
          <w:szCs w:val="24"/>
        </w:rPr>
        <w:t>》的有关规定进行处理。</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cs="宋体"/>
          <w:b/>
          <w:bCs/>
          <w:sz w:val="24"/>
          <w:szCs w:val="24"/>
          <w:lang w:val="en-US" w:eastAsia="zh-CN"/>
        </w:rPr>
        <w:t>1</w:t>
      </w:r>
      <w:r>
        <w:rPr>
          <w:rFonts w:hint="eastAsia" w:ascii="宋体" w:hAnsi="宋体" w:eastAsia="宋体" w:cs="宋体"/>
          <w:b/>
          <w:bCs/>
          <w:sz w:val="24"/>
          <w:szCs w:val="24"/>
        </w:rPr>
        <w:t>.验收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本项目采购人将严格按照政府采购相关法律法规的要求进行验收。</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cs="宋体"/>
          <w:b/>
          <w:bCs/>
          <w:sz w:val="24"/>
          <w:szCs w:val="24"/>
          <w:lang w:val="en-US" w:eastAsia="zh-CN"/>
        </w:rPr>
        <w:t>2</w:t>
      </w:r>
      <w:r>
        <w:rPr>
          <w:rFonts w:hint="eastAsia" w:ascii="宋体" w:hAnsi="宋体" w:eastAsia="宋体" w:cs="宋体"/>
          <w:b/>
          <w:bCs/>
          <w:sz w:val="24"/>
          <w:szCs w:val="24"/>
        </w:rPr>
        <w:t>.资金支付</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按照采购合同约定支付。</w:t>
      </w:r>
    </w:p>
    <w:p>
      <w:pPr>
        <w:pStyle w:val="4"/>
        <w:keepNext w:val="0"/>
        <w:keepLines w:val="0"/>
        <w:spacing w:before="0" w:after="0" w:line="360" w:lineRule="auto"/>
        <w:jc w:val="center"/>
        <w:rPr>
          <w:rFonts w:hint="eastAsia" w:ascii="宋体" w:hAnsi="宋体" w:eastAsia="宋体" w:cs="宋体"/>
          <w:sz w:val="24"/>
          <w:szCs w:val="24"/>
        </w:rPr>
      </w:pPr>
      <w:r>
        <w:rPr>
          <w:rFonts w:hint="eastAsia" w:ascii="宋体" w:hAnsi="宋体" w:eastAsia="宋体" w:cs="宋体"/>
          <w:sz w:val="24"/>
          <w:szCs w:val="24"/>
        </w:rPr>
        <w:t>八、谈判纪律要求</w:t>
      </w:r>
    </w:p>
    <w:p>
      <w:pPr>
        <w:tabs>
          <w:tab w:val="left" w:pos="851"/>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cs="宋体"/>
          <w:b/>
          <w:bCs/>
          <w:sz w:val="24"/>
          <w:szCs w:val="24"/>
          <w:lang w:val="en-US" w:eastAsia="zh-CN"/>
        </w:rPr>
        <w:t>3</w:t>
      </w:r>
      <w:r>
        <w:rPr>
          <w:rFonts w:hint="eastAsia" w:ascii="宋体" w:hAnsi="宋体" w:eastAsia="宋体" w:cs="宋体"/>
          <w:b/>
          <w:bCs/>
          <w:sz w:val="24"/>
          <w:szCs w:val="24"/>
        </w:rPr>
        <w:t>.供应商不得具有的情形</w:t>
      </w:r>
    </w:p>
    <w:p>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供应商参加本项目谈判不得有下列情形：</w:t>
      </w:r>
    </w:p>
    <w:p>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（1）提供虚假材料谋取成交；</w:t>
      </w:r>
    </w:p>
    <w:p>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（2）采取不正当手段诋毁、排挤其他供应商；</w:t>
      </w:r>
    </w:p>
    <w:p>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（3）与采购人、采购代理机构、或其他供应商恶意串通；</w:t>
      </w:r>
    </w:p>
    <w:p>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（4）向采购人、采购代理机构、谈判小组成员行贿或者提供其他不正当利益；</w:t>
      </w:r>
    </w:p>
    <w:p>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（5）在谈判过程中与采购人、采购代理机构进行协商；</w:t>
      </w:r>
    </w:p>
    <w:p>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（6）成交后无正当理由拒不与采购人签订政府采购合同；</w:t>
      </w:r>
    </w:p>
    <w:p>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（7）未按照谈判文件确定的事项签订政府采购合同；</w:t>
      </w:r>
    </w:p>
    <w:p>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（8）将政府采购合同转包或者违规分包；</w:t>
      </w:r>
    </w:p>
    <w:p>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（9）提供假冒伪劣产品；</w:t>
      </w:r>
    </w:p>
    <w:p>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（10）擅自变更、中止或者终止政府采购合同；</w:t>
      </w:r>
    </w:p>
    <w:p>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（11）拒绝有关部门的监督检查或者向监督检查部门提供虚假情况；</w:t>
      </w:r>
    </w:p>
    <w:p>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（12）法律法规规定的其他情形。</w:t>
      </w:r>
    </w:p>
    <w:p>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供应商有上述情形的，按照规定追究法律责任，具备（1）-（8）条情形之一的，同时将取消成交资格或者认定成交无效。</w:t>
      </w:r>
    </w:p>
    <w:p>
      <w:pPr>
        <w:tabs>
          <w:tab w:val="left" w:pos="851"/>
        </w:tabs>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九、询问、质疑和投诉</w:t>
      </w:r>
    </w:p>
    <w:p>
      <w:pPr>
        <w:widowControl/>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询问、质疑、投诉的接收和处理严格按照《中华人共和国政府采购法》、《中华人民共和国政府采购法实施条例》、《政府采购货物和服务招标投标管理办法》、《政府采购质疑和投诉办法》、《财政部关于加强政府采购供应商投诉受理审查工作的通知》和《四川省政府采购供应商投诉处理工作规程》的规定办理（详细规定请在中国政府采购网政策法规模块查询）。</w:t>
      </w:r>
    </w:p>
    <w:p>
      <w:pPr>
        <w:tabs>
          <w:tab w:val="left" w:pos="851"/>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十、其他</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5</w:t>
      </w:r>
      <w:r>
        <w:rPr>
          <w:rFonts w:hint="eastAsia" w:ascii="宋体" w:hAnsi="宋体" w:eastAsia="宋体" w:cs="宋体"/>
          <w:sz w:val="24"/>
          <w:szCs w:val="24"/>
        </w:rPr>
        <w:t>.本谈判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文件不再做调整。</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6</w:t>
      </w:r>
      <w:r>
        <w:rPr>
          <w:rFonts w:hint="eastAsia" w:ascii="宋体" w:hAnsi="宋体" w:eastAsia="宋体" w:cs="宋体"/>
          <w:sz w:val="24"/>
          <w:szCs w:val="24"/>
        </w:rPr>
        <w:t>.（实质性要求）国家或行业主管部门对供应商和采购产品的技术标准、质量标准和资格资质条件等有强制性规定的，必需符合其要求。</w:t>
      </w:r>
    </w:p>
    <w:p>
      <w:pPr>
        <w:widowControl/>
        <w:spacing w:line="360" w:lineRule="auto"/>
        <w:jc w:val="left"/>
        <w:rPr>
          <w:rFonts w:hint="eastAsia" w:ascii="宋体" w:hAnsi="宋体" w:eastAsia="宋体" w:cs="宋体"/>
          <w:sz w:val="24"/>
          <w:szCs w:val="24"/>
        </w:rPr>
      </w:pPr>
    </w:p>
    <w:p>
      <w:pPr>
        <w:widowControl/>
        <w:spacing w:line="360" w:lineRule="auto"/>
        <w:jc w:val="left"/>
        <w:rPr>
          <w:rFonts w:hint="eastAsia" w:ascii="宋体" w:hAnsi="宋体" w:eastAsia="宋体" w:cs="宋体"/>
          <w:sz w:val="24"/>
          <w:szCs w:val="24"/>
        </w:rPr>
      </w:pPr>
    </w:p>
    <w:p>
      <w:pPr>
        <w:widowControl/>
        <w:spacing w:line="360" w:lineRule="auto"/>
        <w:jc w:val="left"/>
        <w:rPr>
          <w:rFonts w:hint="eastAsia" w:ascii="宋体" w:hAnsi="宋体" w:eastAsia="宋体" w:cs="宋体"/>
          <w:sz w:val="24"/>
          <w:szCs w:val="24"/>
        </w:rPr>
      </w:pPr>
    </w:p>
    <w:p>
      <w:pPr>
        <w:widowControl/>
        <w:spacing w:line="360" w:lineRule="auto"/>
        <w:jc w:val="left"/>
        <w:rPr>
          <w:rFonts w:hint="eastAsia" w:ascii="宋体" w:hAnsi="宋体" w:eastAsia="宋体" w:cs="宋体"/>
          <w:sz w:val="24"/>
          <w:szCs w:val="24"/>
        </w:rPr>
      </w:pPr>
    </w:p>
    <w:p>
      <w:pPr>
        <w:widowControl/>
        <w:spacing w:line="360" w:lineRule="auto"/>
        <w:jc w:val="left"/>
        <w:rPr>
          <w:rFonts w:hint="eastAsia" w:ascii="宋体" w:hAnsi="宋体" w:eastAsia="宋体" w:cs="宋体"/>
          <w:sz w:val="24"/>
          <w:szCs w:val="24"/>
        </w:rPr>
      </w:pPr>
    </w:p>
    <w:p>
      <w:pPr>
        <w:pStyle w:val="37"/>
        <w:spacing w:line="360" w:lineRule="auto"/>
        <w:rPr>
          <w:rFonts w:hint="eastAsia" w:ascii="宋体" w:hAnsi="宋体" w:eastAsia="宋体" w:cs="宋体"/>
          <w:sz w:val="24"/>
          <w:szCs w:val="24"/>
        </w:rPr>
      </w:pPr>
      <w:bookmarkStart w:id="86" w:name="_Toc509579142"/>
      <w:bookmarkStart w:id="87" w:name="_Toc41037904"/>
      <w:r>
        <w:rPr>
          <w:rFonts w:hint="eastAsia" w:ascii="宋体" w:hAnsi="宋体" w:eastAsia="宋体" w:cs="宋体"/>
          <w:sz w:val="24"/>
          <w:szCs w:val="24"/>
        </w:rPr>
        <w:br w:type="page"/>
      </w:r>
      <w:r>
        <w:rPr>
          <w:rFonts w:hint="eastAsia" w:ascii="宋体" w:hAnsi="宋体" w:eastAsia="宋体" w:cs="宋体"/>
          <w:sz w:val="24"/>
          <w:szCs w:val="24"/>
        </w:rPr>
        <w:t>第三章</w:t>
      </w:r>
      <w:r>
        <w:rPr>
          <w:rFonts w:hint="eastAsia" w:ascii="宋体" w:hAnsi="宋体" w:cs="宋体"/>
          <w:sz w:val="24"/>
          <w:szCs w:val="24"/>
          <w:lang w:val="en-US" w:eastAsia="zh-CN"/>
        </w:rPr>
        <w:t xml:space="preserve">  </w:t>
      </w:r>
      <w:r>
        <w:rPr>
          <w:rFonts w:hint="eastAsia" w:ascii="宋体" w:hAnsi="宋体" w:eastAsia="宋体" w:cs="宋体"/>
          <w:sz w:val="24"/>
          <w:szCs w:val="24"/>
        </w:rPr>
        <w:t>供应商的资格、资质性及其他类似效力要求</w:t>
      </w:r>
      <w:bookmarkEnd w:id="86"/>
      <w:bookmarkEnd w:id="87"/>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一、参加谈判的供应商应具备下列资格条件：</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5、参加本次采购活动前三年内，在经营活动中没有重大违法记录；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7、根据采购项目提出的特殊条件：</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7.1、供应商须承诺供应商及其现任法定代表人或主要负责人无行贿犯罪记录；</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7.2、</w:t>
      </w:r>
      <w:r>
        <w:rPr>
          <w:rFonts w:hint="eastAsia" w:ascii="宋体" w:hAnsi="宋体" w:eastAsia="宋体" w:cs="宋体"/>
          <w:sz w:val="24"/>
          <w:szCs w:val="24"/>
        </w:rPr>
        <w:t>供应商具有国家建设行政主管部门颁发的建筑机电安装工程专业承包二级及以上资质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w:t>
      </w:r>
      <w:r>
        <w:rPr>
          <w:rFonts w:hint="eastAsia" w:ascii="宋体" w:hAnsi="宋体" w:eastAsia="宋体" w:cs="宋体"/>
          <w:sz w:val="24"/>
          <w:szCs w:val="24"/>
        </w:rPr>
        <w:t>具有中华人民共和国特种设备安装改造维修许可证（压力管道安装GC2级及以上资质）或特种设备生产许可证（工业管道安装GC2级及以上）</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w:t>
      </w:r>
      <w:r>
        <w:rPr>
          <w:rFonts w:hint="eastAsia" w:ascii="宋体" w:hAnsi="宋体" w:eastAsia="宋体" w:cs="宋体"/>
          <w:sz w:val="24"/>
          <w:szCs w:val="24"/>
        </w:rPr>
        <w:t>具有医疗器械产品注册证（医用中心供氧系统、医用中心吸引系统、医用真空负压机、医用空气压缩机）</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7.5、</w:t>
      </w:r>
      <w:r>
        <w:rPr>
          <w:rFonts w:hint="eastAsia" w:ascii="宋体" w:hAnsi="宋体" w:eastAsia="宋体" w:cs="宋体"/>
          <w:sz w:val="24"/>
          <w:szCs w:val="24"/>
        </w:rPr>
        <w:t>供应商具有</w:t>
      </w:r>
      <w:r>
        <w:rPr>
          <w:rFonts w:hint="eastAsia" w:ascii="宋体" w:hAnsi="宋体" w:eastAsia="宋体" w:cs="宋体"/>
          <w:sz w:val="24"/>
          <w:szCs w:val="24"/>
          <w:lang w:val="en-US" w:eastAsia="zh-CN"/>
        </w:rPr>
        <w:t>有效的安全生产许可证</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lang w:eastAsia="zh-CN"/>
        </w:rPr>
      </w:pPr>
      <w:r>
        <w:rPr>
          <w:rFonts w:hint="eastAsia" w:ascii="宋体" w:hAnsi="宋体" w:eastAsia="宋体" w:cs="宋体"/>
          <w:sz w:val="24"/>
          <w:szCs w:val="24"/>
        </w:rPr>
        <w:t>8、</w:t>
      </w:r>
      <w:r>
        <w:rPr>
          <w:rFonts w:hint="eastAsia" w:ascii="宋体" w:hAnsi="宋体" w:eastAsia="宋体" w:cs="宋体"/>
          <w:sz w:val="24"/>
          <w:szCs w:val="24"/>
          <w:lang w:eastAsia="zh-CN"/>
        </w:rPr>
        <w:t>本项目不允许联合体参与采购活动。</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9、落实采购政策需满足的资格要求：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lang w:val="en-US" w:eastAsia="zh-CN"/>
        </w:rPr>
      </w:pPr>
      <w:r>
        <w:rPr>
          <w:rFonts w:hint="eastAsia" w:ascii="宋体" w:hAnsi="宋体" w:cs="宋体"/>
          <w:sz w:val="24"/>
          <w:szCs w:val="24"/>
          <w:lang w:eastAsia="zh-CN"/>
        </w:rPr>
        <w:t>本项目为专门面向中小企业采购项目（注:监狱企业、残疾人福利性单位视同小型、微型企业）。</w:t>
      </w:r>
    </w:p>
    <w:p>
      <w:pPr>
        <w:spacing w:line="360" w:lineRule="auto"/>
        <w:rPr>
          <w:rFonts w:hint="eastAsia" w:ascii="宋体" w:hAnsi="宋体" w:eastAsia="宋体" w:cs="宋体"/>
          <w:sz w:val="24"/>
          <w:szCs w:val="24"/>
        </w:rPr>
      </w:pPr>
    </w:p>
    <w:p>
      <w:pPr>
        <w:spacing w:line="360" w:lineRule="auto"/>
        <w:ind w:firstLine="540" w:firstLineChars="225"/>
        <w:rPr>
          <w:rFonts w:hint="eastAsia" w:ascii="宋体" w:hAnsi="宋体" w:eastAsia="宋体" w:cs="宋体"/>
          <w:sz w:val="24"/>
          <w:szCs w:val="24"/>
        </w:rPr>
      </w:pPr>
    </w:p>
    <w:p>
      <w:pPr>
        <w:spacing w:line="360" w:lineRule="auto"/>
        <w:ind w:firstLine="540" w:firstLineChars="225"/>
        <w:rPr>
          <w:rFonts w:hint="eastAsia" w:ascii="宋体" w:hAnsi="宋体" w:eastAsia="宋体" w:cs="宋体"/>
          <w:sz w:val="24"/>
          <w:szCs w:val="24"/>
        </w:rPr>
      </w:pP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注：1.重大违法记录是指：供应商因违法经营受到刑事处罚，或被行政主管部门处以责令停业整顿，暂扣或者吊销营业执照，处于较大金额罚款。（“较大数额罚款”认定为200万元以上的罚款，法律、行政法规以及国务院有关部门明确规定相关领域“较大数额罚款”标准高于200万元的，从其规定。）。</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2、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bookmarkStart w:id="88" w:name="_bookmark4"/>
      <w:bookmarkEnd w:id="88"/>
    </w:p>
    <w:p>
      <w:pPr>
        <w:spacing w:line="360" w:lineRule="auto"/>
        <w:ind w:firstLine="540" w:firstLineChars="225"/>
        <w:rPr>
          <w:rFonts w:hint="eastAsia" w:ascii="宋体" w:hAnsi="宋体" w:eastAsia="宋体" w:cs="宋体"/>
          <w:sz w:val="24"/>
          <w:szCs w:val="24"/>
        </w:rPr>
      </w:pPr>
    </w:p>
    <w:p>
      <w:pPr>
        <w:widowControl/>
        <w:spacing w:line="360" w:lineRule="auto"/>
        <w:jc w:val="left"/>
        <w:rPr>
          <w:rFonts w:hint="eastAsia" w:ascii="宋体" w:hAnsi="宋体" w:eastAsia="宋体" w:cs="宋体"/>
          <w:sz w:val="24"/>
          <w:szCs w:val="24"/>
        </w:rPr>
      </w:pPr>
    </w:p>
    <w:p>
      <w:pPr>
        <w:pStyle w:val="37"/>
        <w:spacing w:line="360" w:lineRule="auto"/>
        <w:rPr>
          <w:rFonts w:hint="eastAsia" w:ascii="宋体" w:hAnsi="宋体" w:eastAsia="宋体" w:cs="宋体"/>
          <w:sz w:val="24"/>
          <w:szCs w:val="24"/>
        </w:rPr>
      </w:pPr>
      <w:bookmarkStart w:id="89" w:name="_Toc41037905"/>
      <w:bookmarkStart w:id="90" w:name="_Toc509579143"/>
      <w:r>
        <w:rPr>
          <w:rFonts w:hint="eastAsia" w:ascii="宋体" w:hAnsi="宋体" w:eastAsia="宋体" w:cs="宋体"/>
          <w:sz w:val="24"/>
          <w:szCs w:val="24"/>
        </w:rPr>
        <w:br w:type="page"/>
      </w:r>
      <w:r>
        <w:rPr>
          <w:rFonts w:hint="eastAsia" w:ascii="宋体" w:hAnsi="宋体" w:eastAsia="宋体" w:cs="宋体"/>
          <w:sz w:val="24"/>
          <w:szCs w:val="24"/>
        </w:rPr>
        <w:t>第四章</w:t>
      </w:r>
      <w:r>
        <w:rPr>
          <w:rFonts w:hint="eastAsia" w:ascii="宋体" w:hAnsi="宋体" w:cs="宋体"/>
          <w:sz w:val="24"/>
          <w:szCs w:val="24"/>
          <w:lang w:val="en-US" w:eastAsia="zh-CN"/>
        </w:rPr>
        <w:t xml:space="preserve">  </w:t>
      </w:r>
      <w:r>
        <w:rPr>
          <w:rFonts w:hint="eastAsia" w:ascii="宋体" w:hAnsi="宋体" w:eastAsia="宋体" w:cs="宋体"/>
          <w:sz w:val="24"/>
          <w:szCs w:val="24"/>
        </w:rPr>
        <w:t>供应商应当提供的资格、资质性及其他类似效力要求的相关证明材料</w:t>
      </w:r>
      <w:bookmarkEnd w:id="89"/>
      <w:bookmarkEnd w:id="90"/>
    </w:p>
    <w:p>
      <w:pPr>
        <w:spacing w:line="360" w:lineRule="auto"/>
        <w:ind w:firstLine="538"/>
        <w:rPr>
          <w:rFonts w:hint="eastAsia" w:ascii="宋体" w:hAnsi="宋体" w:eastAsia="宋体" w:cs="宋体"/>
          <w:sz w:val="24"/>
          <w:szCs w:val="24"/>
        </w:rPr>
      </w:pPr>
    </w:p>
    <w:p>
      <w:pPr>
        <w:spacing w:line="360" w:lineRule="auto"/>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一、应当提供的供应商资格、资质性及其他类似效力要求的相关证明材料</w:t>
      </w:r>
    </w:p>
    <w:p>
      <w:pPr>
        <w:spacing w:line="360" w:lineRule="auto"/>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（一）资格要求相关证明材料：</w:t>
      </w:r>
    </w:p>
    <w:p>
      <w:pPr>
        <w:spacing w:line="360" w:lineRule="auto"/>
        <w:ind w:firstLine="48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1、具有独立承担民事责任的能力；</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①供应商若为企业法人：提供“统一社会信用代码营业执照”复印件；②若为事业法人：提供“统一社会信用代码法人登记证书”复印件；③若为其他组织：提供“对应主管部门颁发的准许执业证明文件或营业执照”复印件；④供应商若为自然人：提供“身份证明材料”复印件。</w:t>
      </w:r>
      <w:r>
        <w:rPr>
          <w:rFonts w:hint="eastAsia" w:ascii="宋体" w:hAnsi="宋体" w:cs="宋体"/>
          <w:b w:val="0"/>
          <w:bCs w:val="0"/>
          <w:sz w:val="24"/>
          <w:szCs w:val="24"/>
          <w:lang w:eastAsia="zh-CN"/>
        </w:rPr>
        <w:t>）</w:t>
      </w:r>
    </w:p>
    <w:p>
      <w:pPr>
        <w:spacing w:line="360" w:lineRule="auto"/>
        <w:ind w:firstLine="48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2、具有良好的商业信誉和健全的财务会计制度；</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提供承诺函</w:t>
      </w:r>
      <w:r>
        <w:rPr>
          <w:rFonts w:hint="eastAsia" w:ascii="宋体" w:hAnsi="宋体" w:cs="宋体"/>
          <w:b w:val="0"/>
          <w:bCs w:val="0"/>
          <w:sz w:val="24"/>
          <w:szCs w:val="24"/>
          <w:lang w:eastAsia="zh-CN"/>
        </w:rPr>
        <w:t>）</w:t>
      </w:r>
    </w:p>
    <w:p>
      <w:pPr>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3、具有履行合同所必须的设备和专业技术能力；</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提供承诺函</w:t>
      </w:r>
      <w:r>
        <w:rPr>
          <w:rFonts w:hint="eastAsia" w:ascii="宋体" w:hAnsi="宋体" w:cs="宋体"/>
          <w:b w:val="0"/>
          <w:bCs w:val="0"/>
          <w:sz w:val="24"/>
          <w:szCs w:val="24"/>
          <w:lang w:eastAsia="zh-CN"/>
        </w:rPr>
        <w:t>）</w:t>
      </w:r>
    </w:p>
    <w:p>
      <w:pPr>
        <w:spacing w:line="360" w:lineRule="auto"/>
        <w:ind w:firstLine="480"/>
        <w:rPr>
          <w:rFonts w:hint="eastAsia" w:ascii="宋体" w:hAnsi="宋体" w:cs="宋体"/>
          <w:b w:val="0"/>
          <w:bCs w:val="0"/>
          <w:sz w:val="24"/>
          <w:szCs w:val="24"/>
          <w:lang w:eastAsia="zh-CN"/>
        </w:rPr>
      </w:pPr>
      <w:r>
        <w:rPr>
          <w:rFonts w:hint="eastAsia" w:ascii="宋体" w:hAnsi="宋体" w:eastAsia="宋体" w:cs="宋体"/>
          <w:b w:val="0"/>
          <w:bCs w:val="0"/>
          <w:sz w:val="24"/>
          <w:szCs w:val="24"/>
        </w:rPr>
        <w:t>4、具有依法缴纳税收和社会保障资金的良好记录；</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提供承诺函</w:t>
      </w:r>
      <w:r>
        <w:rPr>
          <w:rFonts w:hint="eastAsia" w:ascii="宋体" w:hAnsi="宋体" w:cs="宋体"/>
          <w:b w:val="0"/>
          <w:bCs w:val="0"/>
          <w:sz w:val="24"/>
          <w:szCs w:val="24"/>
          <w:lang w:eastAsia="zh-CN"/>
        </w:rPr>
        <w:t>）</w:t>
      </w:r>
    </w:p>
    <w:p>
      <w:pPr>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5、参加本次采购活动前三年内，在经营活动中没有重大违法记录；</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提供承诺函</w:t>
      </w:r>
      <w:r>
        <w:rPr>
          <w:rFonts w:hint="eastAsia" w:ascii="宋体" w:hAnsi="宋体" w:cs="宋体"/>
          <w:b w:val="0"/>
          <w:bCs w:val="0"/>
          <w:sz w:val="24"/>
          <w:szCs w:val="24"/>
          <w:lang w:eastAsia="zh-CN"/>
        </w:rPr>
        <w:t>）</w:t>
      </w:r>
    </w:p>
    <w:p>
      <w:pPr>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6、法律、行政法规规定的其他条件；</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提供承诺函</w:t>
      </w:r>
      <w:r>
        <w:rPr>
          <w:rFonts w:hint="eastAsia" w:ascii="宋体" w:hAnsi="宋体" w:cs="宋体"/>
          <w:b w:val="0"/>
          <w:bCs w:val="0"/>
          <w:sz w:val="24"/>
          <w:szCs w:val="24"/>
          <w:lang w:eastAsia="zh-CN"/>
        </w:rPr>
        <w:t>）</w:t>
      </w:r>
    </w:p>
    <w:p>
      <w:pPr>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7、根据采购项目提出的特殊条件：</w:t>
      </w:r>
    </w:p>
    <w:p>
      <w:pPr>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7.1、供应商须承诺供应商及其现任法定代表人或主要负责人无行贿犯罪记录；</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提供承诺函</w:t>
      </w:r>
      <w:r>
        <w:rPr>
          <w:rFonts w:hint="eastAsia" w:ascii="宋体" w:hAnsi="宋体" w:cs="宋体"/>
          <w:b w:val="0"/>
          <w:bCs w:val="0"/>
          <w:sz w:val="24"/>
          <w:szCs w:val="24"/>
          <w:lang w:eastAsia="zh-CN"/>
        </w:rPr>
        <w:t>）</w:t>
      </w:r>
    </w:p>
    <w:p>
      <w:pPr>
        <w:spacing w:line="360" w:lineRule="auto"/>
        <w:ind w:firstLine="48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7.2、</w:t>
      </w:r>
      <w:r>
        <w:rPr>
          <w:rFonts w:hint="eastAsia" w:ascii="宋体" w:hAnsi="宋体" w:eastAsia="宋体" w:cs="宋体"/>
          <w:b w:val="0"/>
          <w:bCs w:val="0"/>
          <w:sz w:val="24"/>
          <w:szCs w:val="24"/>
        </w:rPr>
        <w:t>供应商具有国家建设行政主管部门颁发的建筑机电安装工程专业承包二级及以上资质</w:t>
      </w:r>
      <w:r>
        <w:rPr>
          <w:rFonts w:hint="eastAsia" w:ascii="宋体" w:hAnsi="宋体" w:eastAsia="宋体" w:cs="宋体"/>
          <w:b w:val="0"/>
          <w:bCs w:val="0"/>
          <w:sz w:val="24"/>
          <w:szCs w:val="24"/>
          <w:lang w:eastAsia="zh-CN"/>
        </w:rPr>
        <w:t>；</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提供证书复印件</w:t>
      </w:r>
      <w:r>
        <w:rPr>
          <w:rFonts w:hint="eastAsia" w:ascii="宋体" w:hAnsi="宋体" w:cs="宋体"/>
          <w:b w:val="0"/>
          <w:bCs w:val="0"/>
          <w:sz w:val="24"/>
          <w:szCs w:val="24"/>
          <w:lang w:eastAsia="zh-CN"/>
        </w:rPr>
        <w:t>）</w:t>
      </w:r>
    </w:p>
    <w:p>
      <w:pPr>
        <w:spacing w:line="360" w:lineRule="auto"/>
        <w:ind w:firstLine="48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7.3、</w:t>
      </w:r>
      <w:r>
        <w:rPr>
          <w:rFonts w:hint="eastAsia" w:ascii="宋体" w:hAnsi="宋体" w:eastAsia="宋体" w:cs="宋体"/>
          <w:b w:val="0"/>
          <w:bCs w:val="0"/>
          <w:sz w:val="24"/>
          <w:szCs w:val="24"/>
        </w:rPr>
        <w:t>具有中华人民共和国特种设备安装改造维修许可证（压力管道安装GC2级及以上资质）或特种设备生产许可证（工业管道安装GC2级及以上）</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提供证书复印件</w:t>
      </w:r>
      <w:r>
        <w:rPr>
          <w:rFonts w:hint="eastAsia" w:ascii="宋体" w:hAnsi="宋体" w:cs="宋体"/>
          <w:b w:val="0"/>
          <w:bCs w:val="0"/>
          <w:sz w:val="24"/>
          <w:szCs w:val="24"/>
          <w:lang w:eastAsia="zh-CN"/>
        </w:rPr>
        <w:t>）</w:t>
      </w:r>
    </w:p>
    <w:p>
      <w:pPr>
        <w:spacing w:line="360" w:lineRule="auto"/>
        <w:ind w:firstLine="48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7.4、</w:t>
      </w:r>
      <w:r>
        <w:rPr>
          <w:rFonts w:hint="eastAsia" w:ascii="宋体" w:hAnsi="宋体" w:eastAsia="宋体" w:cs="宋体"/>
          <w:b w:val="0"/>
          <w:bCs w:val="0"/>
          <w:sz w:val="24"/>
          <w:szCs w:val="24"/>
        </w:rPr>
        <w:t>具有医疗器械产品注册证（医用中心供氧系统、医用中心吸引系统、医用真空负压机、医用空气压缩机）</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提供证明材料</w:t>
      </w:r>
      <w:r>
        <w:rPr>
          <w:rFonts w:hint="eastAsia" w:ascii="宋体" w:hAnsi="宋体" w:cs="宋体"/>
          <w:b w:val="0"/>
          <w:bCs w:val="0"/>
          <w:sz w:val="24"/>
          <w:szCs w:val="24"/>
          <w:lang w:eastAsia="zh-CN"/>
        </w:rPr>
        <w:t>）</w:t>
      </w:r>
    </w:p>
    <w:p>
      <w:pPr>
        <w:spacing w:line="360" w:lineRule="auto"/>
        <w:ind w:firstLine="48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7.5、</w:t>
      </w:r>
      <w:r>
        <w:rPr>
          <w:rFonts w:hint="eastAsia" w:ascii="宋体" w:hAnsi="宋体" w:eastAsia="宋体" w:cs="宋体"/>
          <w:b w:val="0"/>
          <w:bCs w:val="0"/>
          <w:sz w:val="24"/>
          <w:szCs w:val="24"/>
        </w:rPr>
        <w:t>供应商具有</w:t>
      </w:r>
      <w:r>
        <w:rPr>
          <w:rFonts w:hint="eastAsia" w:ascii="宋体" w:hAnsi="宋体" w:eastAsia="宋体" w:cs="宋体"/>
          <w:b w:val="0"/>
          <w:bCs w:val="0"/>
          <w:sz w:val="24"/>
          <w:szCs w:val="24"/>
          <w:lang w:val="en-US" w:eastAsia="zh-CN"/>
        </w:rPr>
        <w:t>有效的安全生产许可证</w:t>
      </w:r>
      <w:r>
        <w:rPr>
          <w:rFonts w:hint="eastAsia" w:ascii="宋体" w:hAnsi="宋体" w:eastAsia="宋体" w:cs="宋体"/>
          <w:b w:val="0"/>
          <w:bCs w:val="0"/>
          <w:sz w:val="24"/>
          <w:szCs w:val="24"/>
          <w:lang w:eastAsia="zh-CN"/>
        </w:rPr>
        <w:t>；</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提供证书复印件</w:t>
      </w:r>
      <w:r>
        <w:rPr>
          <w:rFonts w:hint="eastAsia" w:ascii="宋体" w:hAnsi="宋体" w:cs="宋体"/>
          <w:b w:val="0"/>
          <w:bCs w:val="0"/>
          <w:sz w:val="24"/>
          <w:szCs w:val="24"/>
          <w:lang w:eastAsia="zh-CN"/>
        </w:rPr>
        <w:t>）</w:t>
      </w:r>
    </w:p>
    <w:p>
      <w:pPr>
        <w:spacing w:line="360" w:lineRule="auto"/>
        <w:ind w:firstLine="48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8、</w:t>
      </w:r>
      <w:r>
        <w:rPr>
          <w:rFonts w:hint="eastAsia" w:ascii="宋体" w:hAnsi="宋体" w:eastAsia="宋体" w:cs="宋体"/>
          <w:b w:val="0"/>
          <w:bCs w:val="0"/>
          <w:sz w:val="24"/>
          <w:szCs w:val="24"/>
          <w:lang w:eastAsia="zh-CN"/>
        </w:rPr>
        <w:t>本项目不允许联合体参与采购活动。</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提供承诺函</w:t>
      </w:r>
      <w:r>
        <w:rPr>
          <w:rFonts w:hint="eastAsia" w:ascii="宋体" w:hAnsi="宋体" w:cs="宋体"/>
          <w:b w:val="0"/>
          <w:bCs w:val="0"/>
          <w:sz w:val="24"/>
          <w:szCs w:val="24"/>
          <w:lang w:eastAsia="zh-CN"/>
        </w:rPr>
        <w:t>）</w:t>
      </w:r>
    </w:p>
    <w:p>
      <w:pPr>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9、落实采购政策需满足的资格要求：</w:t>
      </w:r>
    </w:p>
    <w:p>
      <w:pPr>
        <w:spacing w:line="360" w:lineRule="auto"/>
        <w:ind w:firstLine="480"/>
        <w:rPr>
          <w:rFonts w:hint="eastAsia" w:ascii="宋体" w:hAnsi="宋体" w:eastAsia="宋体" w:cs="宋体"/>
          <w:b w:val="0"/>
          <w:bCs w:val="0"/>
          <w:sz w:val="24"/>
          <w:szCs w:val="24"/>
          <w:lang w:val="en-US"/>
        </w:rPr>
      </w:pPr>
      <w:r>
        <w:rPr>
          <w:rFonts w:hint="eastAsia" w:ascii="宋体" w:hAnsi="宋体" w:cs="宋体"/>
          <w:b w:val="0"/>
          <w:bCs w:val="0"/>
          <w:sz w:val="24"/>
          <w:szCs w:val="24"/>
          <w:lang w:eastAsia="zh-CN"/>
        </w:rPr>
        <w:t>本项目为专门面向中小企业采购项目（注:监狱企业、残疾人福利性单位视同小型、微型企业）。（</w:t>
      </w:r>
      <w:r>
        <w:rPr>
          <w:rFonts w:hint="eastAsia" w:ascii="宋体" w:hAnsi="宋体" w:cs="宋体"/>
          <w:b w:val="0"/>
          <w:bCs w:val="0"/>
          <w:sz w:val="24"/>
          <w:szCs w:val="24"/>
          <w:lang w:val="en-US" w:eastAsia="zh-CN"/>
        </w:rPr>
        <w:t>提供中小企业声明函</w:t>
      </w:r>
      <w:r>
        <w:rPr>
          <w:rFonts w:hint="eastAsia" w:ascii="宋体" w:hAnsi="宋体" w:cs="宋体"/>
          <w:b w:val="0"/>
          <w:bCs w:val="0"/>
          <w:sz w:val="24"/>
          <w:szCs w:val="24"/>
          <w:lang w:eastAsia="zh-CN"/>
        </w:rPr>
        <w:t>）</w:t>
      </w:r>
    </w:p>
    <w:p>
      <w:pPr>
        <w:spacing w:line="360" w:lineRule="auto"/>
        <w:ind w:firstLine="480"/>
        <w:rPr>
          <w:rFonts w:hint="eastAsia" w:ascii="宋体" w:hAnsi="宋体" w:eastAsia="宋体" w:cs="宋体"/>
          <w:b/>
          <w:bCs/>
          <w:sz w:val="24"/>
          <w:szCs w:val="24"/>
        </w:rPr>
      </w:pPr>
      <w:r>
        <w:rPr>
          <w:rFonts w:hint="eastAsia" w:ascii="宋体" w:hAnsi="宋体" w:eastAsia="宋体" w:cs="宋体"/>
          <w:b/>
          <w:bCs/>
          <w:sz w:val="24"/>
          <w:szCs w:val="24"/>
        </w:rPr>
        <w:t>（二）其他类似效力要求相关证明材料：</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（1）法定代表人/单位负责人身份证明材料复印件。</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谈判的，则可不提供。）</w:t>
      </w:r>
    </w:p>
    <w:p>
      <w:pPr>
        <w:spacing w:line="360" w:lineRule="auto"/>
        <w:ind w:firstLine="480"/>
        <w:rPr>
          <w:rFonts w:hint="eastAsia" w:ascii="宋体" w:hAnsi="宋体" w:eastAsia="宋体" w:cs="宋体"/>
          <w:sz w:val="24"/>
          <w:szCs w:val="24"/>
        </w:rPr>
      </w:pP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注：1、本章要求提供的相关证明材料应当与第</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章的规定要求对应，除</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自愿以外，不能要求</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提供额外的证明材料。如果要求提供额外的证明材料，</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有权不予提供，且不影响</w:t>
      </w:r>
      <w:r>
        <w:rPr>
          <w:rFonts w:hint="eastAsia" w:ascii="宋体" w:hAnsi="宋体" w:eastAsia="宋体" w:cs="宋体"/>
          <w:b/>
          <w:bCs/>
          <w:sz w:val="24"/>
          <w:szCs w:val="24"/>
          <w:lang w:eastAsia="zh-CN"/>
        </w:rPr>
        <w:t>响应文件</w:t>
      </w:r>
      <w:r>
        <w:rPr>
          <w:rFonts w:hint="eastAsia" w:ascii="宋体" w:hAnsi="宋体" w:eastAsia="宋体" w:cs="宋体"/>
          <w:b/>
          <w:bCs/>
          <w:sz w:val="24"/>
          <w:szCs w:val="24"/>
        </w:rPr>
        <w:t>的有效性和完整性。</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2、本章要求提供的相关证明材料应当结合采购项目具体情况和</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的组织机构性质确定，不得一概而论。</w:t>
      </w: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p>
    <w:p>
      <w:pPr>
        <w:pStyle w:val="37"/>
        <w:spacing w:line="360" w:lineRule="auto"/>
        <w:rPr>
          <w:rFonts w:hint="eastAsia" w:ascii="宋体" w:hAnsi="宋体" w:eastAsia="宋体" w:cs="宋体"/>
          <w:sz w:val="24"/>
          <w:szCs w:val="24"/>
        </w:rPr>
      </w:pPr>
      <w:bookmarkStart w:id="91" w:name="_Toc41037906"/>
      <w:bookmarkStart w:id="92" w:name="_Toc509579144"/>
      <w:r>
        <w:rPr>
          <w:rFonts w:hint="eastAsia" w:ascii="宋体" w:hAnsi="宋体" w:eastAsia="宋体" w:cs="宋体"/>
          <w:sz w:val="24"/>
          <w:szCs w:val="24"/>
        </w:rPr>
        <w:br w:type="page"/>
      </w:r>
      <w:r>
        <w:rPr>
          <w:rFonts w:hint="eastAsia" w:ascii="宋体" w:hAnsi="宋体" w:eastAsia="宋体" w:cs="宋体"/>
          <w:sz w:val="24"/>
          <w:szCs w:val="24"/>
        </w:rPr>
        <w:t>第五章</w:t>
      </w:r>
      <w:r>
        <w:rPr>
          <w:rFonts w:hint="eastAsia" w:ascii="宋体" w:hAnsi="宋体" w:cs="宋体"/>
          <w:sz w:val="24"/>
          <w:szCs w:val="24"/>
          <w:lang w:val="en-US" w:eastAsia="zh-CN"/>
        </w:rPr>
        <w:t xml:space="preserve">  </w:t>
      </w:r>
      <w:r>
        <w:rPr>
          <w:rFonts w:hint="eastAsia" w:ascii="宋体" w:hAnsi="宋体" w:eastAsia="宋体" w:cs="宋体"/>
          <w:sz w:val="24"/>
          <w:szCs w:val="24"/>
        </w:rPr>
        <w:t>采购项目技术、服务、政府采购合同内容条款</w:t>
      </w:r>
      <w:r>
        <w:rPr>
          <w:rFonts w:hint="eastAsia" w:ascii="宋体" w:hAnsi="宋体" w:eastAsia="宋体" w:cs="宋体"/>
          <w:sz w:val="24"/>
          <w:szCs w:val="24"/>
        </w:rPr>
        <w:br w:type="textWrapping"/>
      </w:r>
      <w:r>
        <w:rPr>
          <w:rFonts w:hint="eastAsia" w:ascii="宋体" w:hAnsi="宋体" w:eastAsia="宋体" w:cs="宋体"/>
          <w:sz w:val="24"/>
          <w:szCs w:val="24"/>
        </w:rPr>
        <w:t>及其他商务要求</w:t>
      </w:r>
      <w:bookmarkEnd w:id="91"/>
      <w:bookmarkEnd w:id="92"/>
    </w:p>
    <w:p>
      <w:pPr>
        <w:tabs>
          <w:tab w:val="left" w:pos="7665"/>
        </w:tabs>
        <w:spacing w:line="360" w:lineRule="auto"/>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一、项目概况</w:t>
      </w:r>
    </w:p>
    <w:p>
      <w:pPr>
        <w:tabs>
          <w:tab w:val="left" w:pos="7665"/>
        </w:tabs>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本项目为</w:t>
      </w:r>
      <w:r>
        <w:rPr>
          <w:rFonts w:hint="eastAsia" w:ascii="宋体" w:hAnsi="宋体" w:eastAsia="宋体" w:cs="宋体"/>
          <w:color w:val="auto"/>
          <w:kern w:val="0"/>
          <w:sz w:val="24"/>
          <w:lang w:val="zh-CN"/>
        </w:rPr>
        <w:t>富顺县中医医院手术室、内镜中心医用气体工程</w:t>
      </w:r>
      <w:r>
        <w:rPr>
          <w:rFonts w:hint="eastAsia" w:ascii="宋体" w:hAnsi="宋体" w:eastAsia="宋体" w:cs="宋体"/>
          <w:color w:val="auto"/>
          <w:kern w:val="0"/>
          <w:sz w:val="24"/>
        </w:rPr>
        <w:t>，主要内容为定手术复苏室、内镜中心安装设备带等。</w:t>
      </w:r>
    </w:p>
    <w:p>
      <w:pPr>
        <w:tabs>
          <w:tab w:val="left" w:pos="7665"/>
        </w:tabs>
        <w:spacing w:line="360" w:lineRule="auto"/>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二、采购内容</w:t>
      </w:r>
    </w:p>
    <w:p>
      <w:pPr>
        <w:tabs>
          <w:tab w:val="left" w:pos="7665"/>
        </w:tabs>
        <w:spacing w:line="360" w:lineRule="auto"/>
        <w:ind w:firstLine="482" w:firstLineChars="200"/>
        <w:rPr>
          <w:rFonts w:hint="eastAsia" w:ascii="宋体" w:hAnsi="宋体" w:eastAsia="宋体" w:cs="宋体"/>
          <w:b/>
          <w:bCs/>
          <w:color w:val="auto"/>
          <w:kern w:val="0"/>
          <w:sz w:val="24"/>
          <w:lang w:val="en-US" w:eastAsia="zh-CN"/>
        </w:rPr>
      </w:pPr>
      <w:bookmarkStart w:id="93" w:name="_Toc14200"/>
      <w:bookmarkStart w:id="94" w:name="_Toc3120"/>
      <w:bookmarkStart w:id="95" w:name="_Toc5478"/>
      <w:bookmarkStart w:id="96" w:name="_Toc4701"/>
      <w:bookmarkStart w:id="97" w:name="_Toc16486"/>
      <w:bookmarkStart w:id="98" w:name="_Toc24400"/>
      <w:r>
        <w:rPr>
          <w:rFonts w:hint="eastAsia" w:ascii="宋体" w:hAnsi="宋体" w:eastAsia="宋体" w:cs="宋体"/>
          <w:b/>
          <w:bCs/>
          <w:color w:val="auto"/>
          <w:kern w:val="0"/>
          <w:sz w:val="24"/>
          <w:lang w:val="en-US" w:eastAsia="zh-CN"/>
        </w:rPr>
        <w:t>（1）采购内容</w:t>
      </w:r>
    </w:p>
    <w:tbl>
      <w:tblPr>
        <w:tblStyle w:val="40"/>
        <w:tblW w:w="8728" w:type="dxa"/>
        <w:tblInd w:w="0" w:type="dxa"/>
        <w:tblLayout w:type="fixed"/>
        <w:tblCellMar>
          <w:top w:w="0" w:type="dxa"/>
          <w:left w:w="0" w:type="dxa"/>
          <w:bottom w:w="0" w:type="dxa"/>
          <w:right w:w="0" w:type="dxa"/>
        </w:tblCellMar>
      </w:tblPr>
      <w:tblGrid>
        <w:gridCol w:w="858"/>
        <w:gridCol w:w="3690"/>
        <w:gridCol w:w="885"/>
        <w:gridCol w:w="975"/>
        <w:gridCol w:w="2320"/>
      </w:tblGrid>
      <w:tr>
        <w:tblPrEx>
          <w:tblCellMar>
            <w:top w:w="0" w:type="dxa"/>
            <w:left w:w="0" w:type="dxa"/>
            <w:bottom w:w="0" w:type="dxa"/>
            <w:right w:w="0" w:type="dxa"/>
          </w:tblCellMar>
        </w:tblPrEx>
        <w:trPr>
          <w:trHeight w:val="532" w:hRule="atLeast"/>
        </w:trPr>
        <w:tc>
          <w:tcPr>
            <w:tcW w:w="858" w:type="dxa"/>
            <w:tcBorders>
              <w:top w:val="single" w:color="auto" w:sz="4" w:space="0"/>
              <w:left w:val="single" w:color="auto" w:sz="4" w:space="0"/>
              <w:bottom w:val="single" w:color="auto" w:sz="4" w:space="0"/>
              <w:right w:val="single" w:color="auto" w:sz="8" w:space="0"/>
            </w:tcBorders>
            <w:noWrap w:val="0"/>
            <w:vAlign w:val="center"/>
          </w:tcPr>
          <w:p>
            <w:pPr>
              <w:pStyle w:val="37"/>
              <w:spacing w:before="0" w:after="0" w:line="360" w:lineRule="auto"/>
              <w:rPr>
                <w:rFonts w:ascii="宋体" w:hAnsi="宋体" w:cs="宋体"/>
                <w:b w:val="0"/>
                <w:bCs w:val="0"/>
                <w:color w:val="auto"/>
                <w:sz w:val="24"/>
                <w:szCs w:val="24"/>
              </w:rPr>
            </w:pPr>
            <w:r>
              <w:rPr>
                <w:rFonts w:hint="eastAsia" w:ascii="宋体" w:hAnsi="宋体" w:cs="宋体"/>
                <w:b w:val="0"/>
                <w:bCs w:val="0"/>
                <w:color w:val="auto"/>
                <w:sz w:val="24"/>
                <w:szCs w:val="24"/>
              </w:rPr>
              <w:t>序号</w:t>
            </w:r>
          </w:p>
        </w:tc>
        <w:tc>
          <w:tcPr>
            <w:tcW w:w="3690" w:type="dxa"/>
            <w:tcBorders>
              <w:top w:val="single" w:color="auto" w:sz="4" w:space="0"/>
              <w:bottom w:val="single" w:color="auto" w:sz="4" w:space="0"/>
              <w:right w:val="single" w:color="auto" w:sz="8" w:space="0"/>
            </w:tcBorders>
            <w:noWrap w:val="0"/>
            <w:vAlign w:val="center"/>
          </w:tcPr>
          <w:p>
            <w:pPr>
              <w:pStyle w:val="37"/>
              <w:spacing w:before="0" w:after="0" w:line="360" w:lineRule="auto"/>
              <w:rPr>
                <w:rFonts w:ascii="宋体" w:hAnsi="宋体" w:cs="宋体"/>
                <w:b w:val="0"/>
                <w:bCs w:val="0"/>
                <w:color w:val="auto"/>
                <w:sz w:val="24"/>
                <w:szCs w:val="24"/>
              </w:rPr>
            </w:pPr>
            <w:r>
              <w:rPr>
                <w:rFonts w:hint="eastAsia" w:ascii="宋体" w:hAnsi="宋体" w:cs="宋体"/>
                <w:b w:val="0"/>
                <w:bCs w:val="0"/>
                <w:color w:val="auto"/>
                <w:sz w:val="24"/>
                <w:szCs w:val="24"/>
              </w:rPr>
              <w:t>项目名称</w:t>
            </w:r>
          </w:p>
        </w:tc>
        <w:tc>
          <w:tcPr>
            <w:tcW w:w="885" w:type="dxa"/>
            <w:tcBorders>
              <w:top w:val="single" w:color="auto" w:sz="4" w:space="0"/>
              <w:bottom w:val="single" w:color="auto" w:sz="4" w:space="0"/>
              <w:right w:val="single" w:color="auto" w:sz="8" w:space="0"/>
            </w:tcBorders>
            <w:noWrap w:val="0"/>
            <w:vAlign w:val="center"/>
          </w:tcPr>
          <w:p>
            <w:pPr>
              <w:pStyle w:val="37"/>
              <w:spacing w:before="0" w:after="0" w:line="360" w:lineRule="auto"/>
              <w:rPr>
                <w:rFonts w:ascii="宋体" w:hAnsi="宋体" w:cs="宋体"/>
                <w:b w:val="0"/>
                <w:bCs w:val="0"/>
                <w:color w:val="auto"/>
                <w:sz w:val="24"/>
                <w:szCs w:val="24"/>
              </w:rPr>
            </w:pPr>
            <w:r>
              <w:rPr>
                <w:rFonts w:hint="eastAsia" w:ascii="宋体" w:hAnsi="宋体" w:cs="宋体"/>
                <w:b w:val="0"/>
                <w:bCs w:val="0"/>
                <w:color w:val="auto"/>
                <w:sz w:val="24"/>
                <w:szCs w:val="24"/>
              </w:rPr>
              <w:t>数量</w:t>
            </w:r>
          </w:p>
        </w:tc>
        <w:tc>
          <w:tcPr>
            <w:tcW w:w="975" w:type="dxa"/>
            <w:tcBorders>
              <w:top w:val="single" w:color="auto" w:sz="4" w:space="0"/>
              <w:bottom w:val="single" w:color="auto" w:sz="4" w:space="0"/>
              <w:right w:val="single" w:color="auto" w:sz="8" w:space="0"/>
            </w:tcBorders>
            <w:noWrap w:val="0"/>
            <w:vAlign w:val="center"/>
          </w:tcPr>
          <w:p>
            <w:pPr>
              <w:pStyle w:val="37"/>
              <w:spacing w:before="0" w:after="0" w:line="360" w:lineRule="auto"/>
              <w:rPr>
                <w:rFonts w:ascii="宋体" w:hAnsi="宋体" w:cs="宋体"/>
                <w:b w:val="0"/>
                <w:bCs w:val="0"/>
                <w:color w:val="auto"/>
                <w:sz w:val="24"/>
                <w:szCs w:val="24"/>
              </w:rPr>
            </w:pPr>
            <w:r>
              <w:rPr>
                <w:rFonts w:hint="eastAsia" w:ascii="宋体" w:hAnsi="宋体" w:cs="宋体"/>
                <w:b w:val="0"/>
                <w:bCs w:val="0"/>
                <w:color w:val="auto"/>
                <w:sz w:val="24"/>
                <w:szCs w:val="24"/>
              </w:rPr>
              <w:t>单位</w:t>
            </w:r>
          </w:p>
        </w:tc>
        <w:tc>
          <w:tcPr>
            <w:tcW w:w="2320" w:type="dxa"/>
            <w:tcBorders>
              <w:top w:val="single" w:color="auto" w:sz="4" w:space="0"/>
              <w:bottom w:val="single" w:color="auto" w:sz="4" w:space="0"/>
              <w:right w:val="single" w:color="auto" w:sz="4" w:space="0"/>
            </w:tcBorders>
            <w:noWrap w:val="0"/>
            <w:vAlign w:val="center"/>
          </w:tcPr>
          <w:p>
            <w:pPr>
              <w:pStyle w:val="37"/>
              <w:spacing w:before="0" w:after="0" w:line="360" w:lineRule="auto"/>
              <w:rPr>
                <w:rFonts w:ascii="宋体" w:hAnsi="宋体" w:cs="宋体"/>
                <w:b w:val="0"/>
                <w:bCs w:val="0"/>
                <w:color w:val="auto"/>
                <w:sz w:val="24"/>
                <w:szCs w:val="24"/>
              </w:rPr>
            </w:pPr>
            <w:r>
              <w:rPr>
                <w:rFonts w:hint="eastAsia" w:ascii="宋体" w:hAnsi="宋体" w:cs="宋体"/>
                <w:b w:val="0"/>
                <w:bCs w:val="0"/>
                <w:color w:val="auto"/>
                <w:sz w:val="24"/>
                <w:szCs w:val="24"/>
              </w:rPr>
              <w:t>项目地点</w:t>
            </w:r>
          </w:p>
        </w:tc>
      </w:tr>
      <w:tr>
        <w:tblPrEx>
          <w:tblCellMar>
            <w:top w:w="0" w:type="dxa"/>
            <w:left w:w="0" w:type="dxa"/>
            <w:bottom w:w="0" w:type="dxa"/>
            <w:right w:w="0" w:type="dxa"/>
          </w:tblCellMar>
        </w:tblPrEx>
        <w:trPr>
          <w:trHeight w:val="582" w:hRule="atLeast"/>
        </w:trPr>
        <w:tc>
          <w:tcPr>
            <w:tcW w:w="858" w:type="dxa"/>
            <w:tcBorders>
              <w:top w:val="single" w:color="auto" w:sz="4" w:space="0"/>
              <w:left w:val="single" w:color="auto" w:sz="4" w:space="0"/>
              <w:bottom w:val="single" w:color="auto" w:sz="4" w:space="0"/>
              <w:right w:val="single" w:color="auto" w:sz="8" w:space="0"/>
            </w:tcBorders>
            <w:noWrap w:val="0"/>
            <w:vAlign w:val="center"/>
          </w:tcPr>
          <w:p>
            <w:pPr>
              <w:pStyle w:val="37"/>
              <w:spacing w:before="0" w:after="0" w:line="360" w:lineRule="auto"/>
              <w:rPr>
                <w:rFonts w:ascii="宋体" w:hAnsi="宋体" w:cs="宋体"/>
                <w:b w:val="0"/>
                <w:bCs w:val="0"/>
                <w:color w:val="auto"/>
                <w:sz w:val="24"/>
                <w:szCs w:val="24"/>
              </w:rPr>
            </w:pPr>
            <w:r>
              <w:rPr>
                <w:rFonts w:ascii="宋体" w:hAnsi="宋体" w:cs="宋体"/>
                <w:b w:val="0"/>
                <w:bCs w:val="0"/>
                <w:color w:val="auto"/>
                <w:sz w:val="24"/>
                <w:szCs w:val="24"/>
              </w:rPr>
              <w:t>1</w:t>
            </w:r>
          </w:p>
        </w:tc>
        <w:tc>
          <w:tcPr>
            <w:tcW w:w="3690" w:type="dxa"/>
            <w:tcBorders>
              <w:top w:val="single" w:color="auto" w:sz="4" w:space="0"/>
              <w:bottom w:val="single" w:color="auto" w:sz="4" w:space="0"/>
              <w:right w:val="single" w:color="auto" w:sz="8" w:space="0"/>
            </w:tcBorders>
            <w:noWrap w:val="0"/>
            <w:vAlign w:val="center"/>
          </w:tcPr>
          <w:p>
            <w:pPr>
              <w:pStyle w:val="37"/>
              <w:rPr>
                <w:rFonts w:hint="eastAsia" w:ascii="宋体" w:hAnsi="宋体" w:cs="宋体"/>
                <w:b w:val="0"/>
                <w:bCs w:val="0"/>
                <w:color w:val="auto"/>
                <w:sz w:val="24"/>
                <w:szCs w:val="24"/>
              </w:rPr>
            </w:pPr>
            <w:r>
              <w:rPr>
                <w:rFonts w:hint="eastAsia" w:ascii="宋体" w:hAnsi="宋体" w:cs="宋体"/>
                <w:b w:val="0"/>
                <w:bCs w:val="0"/>
                <w:color w:val="auto"/>
                <w:sz w:val="24"/>
                <w:szCs w:val="24"/>
              </w:rPr>
              <w:t>富顺县中医医院手术室、内镜中心医用气体工程</w:t>
            </w:r>
          </w:p>
        </w:tc>
        <w:tc>
          <w:tcPr>
            <w:tcW w:w="885" w:type="dxa"/>
            <w:tcBorders>
              <w:top w:val="single" w:color="auto" w:sz="4" w:space="0"/>
              <w:bottom w:val="single" w:color="auto" w:sz="4" w:space="0"/>
              <w:right w:val="single" w:color="auto" w:sz="8" w:space="0"/>
            </w:tcBorders>
            <w:noWrap w:val="0"/>
            <w:vAlign w:val="center"/>
          </w:tcPr>
          <w:p>
            <w:pPr>
              <w:pStyle w:val="37"/>
              <w:spacing w:before="0" w:after="0" w:line="360" w:lineRule="auto"/>
              <w:rPr>
                <w:rFonts w:ascii="宋体" w:hAnsi="宋体" w:cs="宋体"/>
                <w:b w:val="0"/>
                <w:bCs w:val="0"/>
                <w:color w:val="auto"/>
                <w:sz w:val="24"/>
                <w:szCs w:val="24"/>
              </w:rPr>
            </w:pPr>
            <w:r>
              <w:rPr>
                <w:rFonts w:ascii="宋体" w:hAnsi="宋体" w:cs="宋体"/>
                <w:b w:val="0"/>
                <w:bCs w:val="0"/>
                <w:color w:val="auto"/>
                <w:sz w:val="24"/>
                <w:szCs w:val="24"/>
              </w:rPr>
              <w:t>1</w:t>
            </w:r>
          </w:p>
        </w:tc>
        <w:tc>
          <w:tcPr>
            <w:tcW w:w="975" w:type="dxa"/>
            <w:tcBorders>
              <w:top w:val="single" w:color="auto" w:sz="4" w:space="0"/>
              <w:bottom w:val="single" w:color="auto" w:sz="4" w:space="0"/>
              <w:right w:val="single" w:color="auto" w:sz="8" w:space="0"/>
            </w:tcBorders>
            <w:noWrap w:val="0"/>
            <w:vAlign w:val="center"/>
          </w:tcPr>
          <w:p>
            <w:pPr>
              <w:pStyle w:val="37"/>
              <w:spacing w:before="0" w:after="0" w:line="360" w:lineRule="auto"/>
              <w:rPr>
                <w:rFonts w:ascii="宋体" w:hAnsi="宋体" w:cs="宋体"/>
                <w:b w:val="0"/>
                <w:bCs w:val="0"/>
                <w:color w:val="auto"/>
                <w:sz w:val="24"/>
                <w:szCs w:val="24"/>
              </w:rPr>
            </w:pPr>
            <w:r>
              <w:rPr>
                <w:rFonts w:hint="eastAsia" w:ascii="宋体" w:hAnsi="宋体" w:cs="宋体"/>
                <w:b w:val="0"/>
                <w:bCs w:val="0"/>
                <w:color w:val="auto"/>
                <w:sz w:val="24"/>
                <w:szCs w:val="24"/>
              </w:rPr>
              <w:t>项</w:t>
            </w:r>
          </w:p>
        </w:tc>
        <w:tc>
          <w:tcPr>
            <w:tcW w:w="2320" w:type="dxa"/>
            <w:tcBorders>
              <w:top w:val="single" w:color="auto" w:sz="4" w:space="0"/>
              <w:bottom w:val="single" w:color="auto" w:sz="4" w:space="0"/>
              <w:right w:val="single" w:color="auto" w:sz="4" w:space="0"/>
            </w:tcBorders>
            <w:noWrap w:val="0"/>
            <w:vAlign w:val="center"/>
          </w:tcPr>
          <w:p>
            <w:pPr>
              <w:pStyle w:val="37"/>
              <w:spacing w:before="0" w:after="0" w:line="360" w:lineRule="auto"/>
              <w:rPr>
                <w:rFonts w:hint="eastAsia" w:ascii="宋体" w:hAnsi="宋体" w:cs="宋体"/>
                <w:b w:val="0"/>
                <w:bCs w:val="0"/>
                <w:color w:val="auto"/>
                <w:sz w:val="24"/>
                <w:szCs w:val="24"/>
              </w:rPr>
            </w:pPr>
            <w:r>
              <w:rPr>
                <w:rFonts w:hint="eastAsia" w:ascii="宋体" w:hAnsi="宋体" w:cs="宋体"/>
                <w:b w:val="0"/>
                <w:bCs w:val="0"/>
                <w:color w:val="auto"/>
                <w:sz w:val="24"/>
                <w:szCs w:val="24"/>
              </w:rPr>
              <w:t>富顺县中医医院</w:t>
            </w:r>
          </w:p>
        </w:tc>
      </w:tr>
    </w:tbl>
    <w:p>
      <w:pPr>
        <w:tabs>
          <w:tab w:val="left" w:pos="7665"/>
        </w:tabs>
        <w:spacing w:line="360" w:lineRule="auto"/>
        <w:ind w:firstLine="482" w:firstLineChars="200"/>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（2）工程量内容清单：见附件</w:t>
      </w:r>
      <w:bookmarkStart w:id="99" w:name="_Toc31188"/>
      <w:bookmarkStart w:id="100" w:name="_Toc13830"/>
      <w:bookmarkStart w:id="101" w:name="_Toc20805"/>
      <w:bookmarkStart w:id="102" w:name="_Toc7061"/>
      <w:bookmarkStart w:id="103" w:name="_Toc11415"/>
      <w:bookmarkStart w:id="104" w:name="_Toc1157"/>
      <w:r>
        <w:rPr>
          <w:rFonts w:hint="eastAsia" w:ascii="宋体" w:hAnsi="宋体" w:eastAsia="宋体" w:cs="宋体"/>
          <w:b/>
          <w:bCs/>
          <w:color w:val="auto"/>
          <w:kern w:val="0"/>
          <w:sz w:val="24"/>
          <w:lang w:val="en-US" w:eastAsia="zh-CN"/>
        </w:rPr>
        <w:t>--图纸、工程量清单。</w:t>
      </w:r>
    </w:p>
    <w:p>
      <w:pPr>
        <w:tabs>
          <w:tab w:val="left" w:pos="7665"/>
        </w:tabs>
        <w:spacing w:line="360" w:lineRule="auto"/>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三、项目</w:t>
      </w:r>
      <w:bookmarkEnd w:id="99"/>
      <w:bookmarkEnd w:id="100"/>
      <w:bookmarkEnd w:id="101"/>
      <w:bookmarkEnd w:id="102"/>
      <w:r>
        <w:rPr>
          <w:rFonts w:hint="eastAsia" w:ascii="宋体" w:hAnsi="宋体" w:eastAsia="宋体" w:cs="宋体"/>
          <w:b/>
          <w:bCs/>
          <w:color w:val="auto"/>
          <w:kern w:val="0"/>
          <w:sz w:val="24"/>
          <w:lang w:val="en-US" w:eastAsia="zh-CN"/>
        </w:rPr>
        <w:t>技术要求</w:t>
      </w:r>
      <w:bookmarkEnd w:id="103"/>
      <w:bookmarkEnd w:id="104"/>
    </w:p>
    <w:p>
      <w:pPr>
        <w:tabs>
          <w:tab w:val="left" w:pos="7665"/>
        </w:tabs>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1、质量要求：按采购人提供的有关图纸、设计说明、工程量清单和相关要求进行施工，达到或超过国家规范和相关质量要求。</w:t>
      </w:r>
    </w:p>
    <w:p>
      <w:pPr>
        <w:tabs>
          <w:tab w:val="left" w:pos="7665"/>
        </w:tabs>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2、材料要求：按要求供应施工材料，所有材料均为符合国家质检部门及生产厂商的质量要求的全新货物。</w:t>
      </w:r>
    </w:p>
    <w:p>
      <w:pPr>
        <w:tabs>
          <w:tab w:val="left" w:pos="7665"/>
        </w:tabs>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3、服务要求：对工程项目的施工质量、工期及后期服务作出详细、完整的承诺，并提供工程管理人员的书面详细资料。</w:t>
      </w:r>
    </w:p>
    <w:p>
      <w:pPr>
        <w:tabs>
          <w:tab w:val="left" w:pos="7665"/>
        </w:tabs>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4、报价要求：本项目报价须附已组价清单。</w:t>
      </w:r>
    </w:p>
    <w:p>
      <w:pPr>
        <w:tabs>
          <w:tab w:val="left" w:pos="7665"/>
        </w:tabs>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5、增减工程：根据工程量清单内项目和内容计价方式为固定单价，签订合同时比照采购人提供的经评审的采购控制明细单价，明细单价超过部分必须调减不得高出控制单价，增减工程量按实结算。材料价格调整按施工同期《自贡建设》信息中价，信息价中没有的材料价格按市场价由采购人认质认价。</w:t>
      </w:r>
    </w:p>
    <w:p>
      <w:pPr>
        <w:tabs>
          <w:tab w:val="left" w:pos="7665"/>
        </w:tabs>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6、竣工结算：本工程结算总价不得超过中标价。</w:t>
      </w:r>
    </w:p>
    <w:p>
      <w:pPr>
        <w:tabs>
          <w:tab w:val="left" w:pos="7665"/>
        </w:tabs>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7、安全责任：工程在运输、安装、调试等整个工程活动期间，在工程实施地点范围内，所有安全责任均由施工方负责。</w:t>
      </w:r>
    </w:p>
    <w:p>
      <w:pPr>
        <w:tabs>
          <w:tab w:val="left" w:pos="7665"/>
        </w:tabs>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8、施工组织方案要求包括但不限于以下内容：</w:t>
      </w:r>
    </w:p>
    <w:p>
      <w:pPr>
        <w:numPr>
          <w:ilvl w:val="0"/>
          <w:numId w:val="3"/>
        </w:numPr>
        <w:tabs>
          <w:tab w:val="left" w:pos="7665"/>
        </w:tabs>
        <w:spacing w:line="360" w:lineRule="auto"/>
        <w:rPr>
          <w:rFonts w:hint="eastAsia" w:ascii="宋体" w:hAnsi="宋体" w:cs="宋体"/>
          <w:color w:val="auto"/>
          <w:sz w:val="24"/>
        </w:rPr>
      </w:pPr>
      <w:r>
        <w:rPr>
          <w:rFonts w:hint="eastAsia" w:ascii="宋体" w:hAnsi="宋体" w:cs="宋体"/>
          <w:color w:val="auto"/>
          <w:sz w:val="24"/>
        </w:rPr>
        <w:t>施工组织与技术保障措施方案：供应商根据针对本项目的难点、重点、特点作出认真仔细的分析，提出的施工方案与技术措施适合本工程实际情况；</w:t>
      </w:r>
    </w:p>
    <w:p>
      <w:pPr>
        <w:numPr>
          <w:ilvl w:val="0"/>
          <w:numId w:val="3"/>
        </w:numPr>
        <w:tabs>
          <w:tab w:val="left" w:pos="7665"/>
        </w:tabs>
        <w:spacing w:line="360" w:lineRule="auto"/>
        <w:rPr>
          <w:rFonts w:hint="eastAsia" w:ascii="宋体" w:hAnsi="宋体" w:cs="宋体"/>
          <w:color w:val="auto"/>
          <w:sz w:val="24"/>
        </w:rPr>
      </w:pPr>
      <w:r>
        <w:rPr>
          <w:rFonts w:hint="eastAsia" w:ascii="宋体" w:hAnsi="宋体" w:cs="宋体"/>
          <w:color w:val="auto"/>
          <w:sz w:val="24"/>
        </w:rPr>
        <w:t>安全保证措施及安全应急预案：供应商根据针对本项目编制安全保证措施及安全应急预案措施，如遇夏季施工、雨季施工、应急等措施等；</w:t>
      </w:r>
    </w:p>
    <w:p>
      <w:pPr>
        <w:numPr>
          <w:ilvl w:val="0"/>
          <w:numId w:val="3"/>
        </w:numPr>
        <w:tabs>
          <w:tab w:val="left" w:pos="7665"/>
        </w:tabs>
        <w:spacing w:line="360" w:lineRule="auto"/>
        <w:rPr>
          <w:rFonts w:hint="eastAsia" w:ascii="宋体" w:hAnsi="宋体" w:cs="宋体"/>
          <w:color w:val="auto"/>
          <w:sz w:val="24"/>
        </w:rPr>
      </w:pPr>
      <w:r>
        <w:rPr>
          <w:rFonts w:hint="eastAsia" w:ascii="宋体" w:hAnsi="宋体" w:cs="宋体"/>
          <w:color w:val="auto"/>
          <w:sz w:val="24"/>
        </w:rPr>
        <w:t>质量保证措施方案：供应商根据针对本项目特点编制质量保证措施，工程进度、工程质量控制等；</w:t>
      </w:r>
    </w:p>
    <w:p>
      <w:pPr>
        <w:numPr>
          <w:ilvl w:val="0"/>
          <w:numId w:val="3"/>
        </w:numPr>
        <w:tabs>
          <w:tab w:val="left" w:pos="7665"/>
        </w:tabs>
        <w:spacing w:line="360" w:lineRule="auto"/>
        <w:rPr>
          <w:rFonts w:hint="eastAsia" w:ascii="宋体" w:hAnsi="宋体" w:cs="宋体"/>
          <w:color w:val="auto"/>
          <w:sz w:val="24"/>
        </w:rPr>
      </w:pPr>
      <w:r>
        <w:rPr>
          <w:rFonts w:hint="eastAsia" w:ascii="宋体" w:hAnsi="宋体" w:cs="宋体"/>
          <w:color w:val="auto"/>
          <w:sz w:val="24"/>
        </w:rPr>
        <w:t>工期保证措施方案：供应商根据针对本项目的工期保证提供工期保证措施，如何对工期的保障进行详细描述，如遇夜间、雨季、夏季如何施工等。</w:t>
      </w:r>
    </w:p>
    <w:p>
      <w:pPr>
        <w:numPr>
          <w:ilvl w:val="0"/>
          <w:numId w:val="3"/>
        </w:numPr>
        <w:tabs>
          <w:tab w:val="left" w:pos="7665"/>
        </w:tabs>
        <w:spacing w:line="360" w:lineRule="auto"/>
        <w:rPr>
          <w:rFonts w:hint="eastAsia" w:ascii="宋体" w:hAnsi="宋体" w:cs="宋体"/>
          <w:color w:val="auto"/>
          <w:sz w:val="24"/>
        </w:rPr>
      </w:pPr>
      <w:r>
        <w:rPr>
          <w:rFonts w:hint="eastAsia" w:ascii="宋体" w:hAnsi="宋体" w:cs="宋体"/>
          <w:color w:val="auto"/>
          <w:sz w:val="24"/>
        </w:rPr>
        <w:t>环保和文明施工措施方案：供应商根据对本项目环保措施，包括但不限于设立围挡、防尘、降噪、规避行人以及设置警示标志等。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highlight w:val="none"/>
          <w:lang w:val="en-US" w:eastAsia="zh-CN"/>
        </w:rPr>
      </w:pPr>
      <w:bookmarkStart w:id="105" w:name="OLE_LINK14"/>
      <w:bookmarkStart w:id="106" w:name="_Toc10904"/>
      <w:r>
        <w:rPr>
          <w:rFonts w:hint="eastAsia" w:ascii="宋体" w:hAnsi="宋体" w:cs="宋体"/>
          <w:color w:val="auto"/>
          <w:sz w:val="24"/>
        </w:rPr>
        <w:t>9、《工程量清单》、《施工图纸》要求内容，详见另册。</w:t>
      </w:r>
      <w:bookmarkEnd w:id="105"/>
      <w:bookmarkEnd w:id="106"/>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四、商务要求</w:t>
      </w:r>
      <w:bookmarkEnd w:id="93"/>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kern w:val="0"/>
          <w:sz w:val="24"/>
          <w:lang w:val="en-US" w:eastAsia="zh-CN"/>
        </w:rPr>
        <w:t>1、</w:t>
      </w:r>
      <w:r>
        <w:rPr>
          <w:rFonts w:hint="eastAsia" w:ascii="宋体" w:hAnsi="宋体" w:cs="宋体"/>
          <w:color w:val="auto"/>
          <w:kern w:val="0"/>
          <w:sz w:val="24"/>
        </w:rPr>
        <w:t>★工期要求：35日历天，自甲方通知进场之日起计算。本工程工期不得延误，工期每延后一天，处以200元/天罚款。如果乙方无故拖延工程超过完工日期15日，甲方有权无条件解除合同，并要求乙方赔偿一切损失。</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rPr>
      </w:pPr>
      <w:r>
        <w:rPr>
          <w:rFonts w:hint="eastAsia" w:ascii="宋体" w:hAnsi="宋体" w:cs="宋体"/>
          <w:color w:val="auto"/>
          <w:kern w:val="0"/>
          <w:sz w:val="24"/>
        </w:rPr>
        <w:t>2、质保期：1年。</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rPr>
      </w:pPr>
      <w:r>
        <w:rPr>
          <w:rFonts w:hint="eastAsia" w:ascii="宋体" w:hAnsi="宋体" w:cs="宋体"/>
          <w:color w:val="auto"/>
          <w:kern w:val="0"/>
          <w:sz w:val="24"/>
        </w:rPr>
        <w:t>3、</w:t>
      </w:r>
      <w:r>
        <w:rPr>
          <w:rFonts w:hint="eastAsia" w:ascii="宋体" w:hAnsi="宋体" w:cs="宋体"/>
          <w:b/>
          <w:bCs/>
          <w:color w:val="auto"/>
          <w:sz w:val="28"/>
          <w:szCs w:val="28"/>
        </w:rPr>
        <w:t>★</w:t>
      </w:r>
      <w:r>
        <w:rPr>
          <w:rFonts w:hint="eastAsia" w:ascii="宋体" w:hAnsi="宋体" w:cs="宋体"/>
          <w:color w:val="auto"/>
          <w:kern w:val="0"/>
          <w:sz w:val="24"/>
        </w:rPr>
        <w:t>付款方式：签订合同后预付合同款的20%，竣工后经相关部门验收合格后拨付至合同金额的80%，经审计后拨付审计金额的97%。在1年质保期结束后无质量问题一次性无息支付审计金额3%。（以上工程款均由乙方向甲方出具完税票据后，凭票支付）</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kern w:val="0"/>
          <w:sz w:val="24"/>
        </w:rPr>
      </w:pPr>
      <w:r>
        <w:rPr>
          <w:rFonts w:hint="eastAsia" w:ascii="宋体" w:hAnsi="宋体" w:cs="宋体"/>
          <w:color w:val="auto"/>
          <w:kern w:val="0"/>
          <w:sz w:val="24"/>
        </w:rPr>
        <w:t>4、资料要求：验收合格后提供完整的《竣工验收资料》给予采购人备案,若有图纸资料还须提供纸质及电子版。</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kern w:val="0"/>
          <w:sz w:val="24"/>
        </w:rPr>
        <w:t>5、服务要求：按国家法律规定和合同约定进行质保及售后服务。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cs="宋体"/>
          <w:color w:val="auto"/>
          <w:sz w:val="24"/>
          <w:szCs w:val="24"/>
          <w:lang w:val="en-US" w:eastAsia="zh-CN"/>
        </w:rPr>
        <w:t>6</w:t>
      </w:r>
      <w:r>
        <w:rPr>
          <w:rFonts w:hint="eastAsia" w:cs="宋体"/>
          <w:color w:val="auto"/>
          <w:sz w:val="24"/>
          <w:szCs w:val="24"/>
          <w:lang w:eastAsia="zh-CN"/>
        </w:rPr>
        <w:t>、</w:t>
      </w:r>
      <w:r>
        <w:rPr>
          <w:rFonts w:hint="eastAsia" w:ascii="宋体" w:hAnsi="宋体" w:eastAsia="宋体" w:cs="宋体"/>
          <w:color w:val="auto"/>
          <w:sz w:val="24"/>
          <w:szCs w:val="24"/>
        </w:rPr>
        <w:t>验收标准及方法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按国家有关规定、采购文件的服务要求、投标人的投标文件及承诺以及合同约定的标准且参照财库[2016]205号财政部关于进一步加强政府采购需求和履约验收管理的指导意见进行验收。</w:t>
      </w:r>
    </w:p>
    <w:p>
      <w:pPr>
        <w:ind w:firstLine="480"/>
        <w:rPr>
          <w:rFonts w:hint="eastAsia" w:ascii="宋体" w:hAnsi="宋体" w:eastAsia="宋体" w:cs="宋体"/>
          <w:b/>
          <w:bCs/>
          <w:color w:val="auto"/>
          <w:kern w:val="2"/>
          <w:sz w:val="24"/>
          <w:szCs w:val="24"/>
          <w:highlight w:val="none"/>
          <w:lang w:val="en-US" w:eastAsia="zh-CN" w:bidi="ar-SA"/>
        </w:rPr>
      </w:pPr>
    </w:p>
    <w:p>
      <w:pPr>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kern w:val="2"/>
          <w:sz w:val="24"/>
          <w:szCs w:val="24"/>
          <w:highlight w:val="none"/>
          <w:lang w:val="en-US" w:eastAsia="zh-CN" w:bidi="ar-SA"/>
        </w:rPr>
        <w:t>注：本章标注“★”号的条款为本次采购项目的实质性要求，供应商应全部满足。</w:t>
      </w:r>
    </w:p>
    <w:p>
      <w:pPr>
        <w:widowControl/>
        <w:spacing w:line="360" w:lineRule="auto"/>
        <w:ind w:firstLine="240" w:firstLineChars="100"/>
        <w:jc w:val="left"/>
        <w:rPr>
          <w:rFonts w:hint="eastAsia" w:ascii="宋体" w:hAnsi="宋体" w:eastAsia="宋体" w:cs="宋体"/>
          <w:sz w:val="24"/>
          <w:szCs w:val="24"/>
        </w:rPr>
      </w:pPr>
    </w:p>
    <w:p>
      <w:pPr>
        <w:pStyle w:val="37"/>
        <w:spacing w:line="360" w:lineRule="auto"/>
        <w:rPr>
          <w:rFonts w:hint="eastAsia" w:ascii="宋体" w:hAnsi="宋体" w:eastAsia="宋体" w:cs="宋体"/>
          <w:sz w:val="24"/>
          <w:szCs w:val="24"/>
        </w:rPr>
      </w:pPr>
      <w:r>
        <w:rPr>
          <w:rFonts w:hint="eastAsia" w:ascii="宋体" w:hAnsi="宋体" w:eastAsia="宋体" w:cs="宋体"/>
          <w:sz w:val="24"/>
          <w:szCs w:val="24"/>
        </w:rPr>
        <w:br w:type="page"/>
      </w:r>
      <w:bookmarkEnd w:id="76"/>
      <w:bookmarkEnd w:id="77"/>
      <w:bookmarkEnd w:id="78"/>
      <w:bookmarkEnd w:id="79"/>
      <w:bookmarkEnd w:id="80"/>
      <w:bookmarkStart w:id="107" w:name="_Toc509579145"/>
      <w:bookmarkStart w:id="108" w:name="_Toc41037907"/>
      <w:bookmarkStart w:id="109" w:name="_Toc183682369"/>
      <w:bookmarkStart w:id="110" w:name="_Toc217446057"/>
      <w:bookmarkStart w:id="111" w:name="_Toc183582232"/>
      <w:r>
        <w:rPr>
          <w:rFonts w:hint="eastAsia" w:ascii="宋体" w:hAnsi="宋体" w:eastAsia="宋体" w:cs="宋体"/>
          <w:sz w:val="24"/>
          <w:szCs w:val="24"/>
        </w:rPr>
        <w:t>第六章</w:t>
      </w:r>
      <w:r>
        <w:rPr>
          <w:rFonts w:hint="eastAsia" w:ascii="宋体" w:hAnsi="宋体" w:cs="宋体"/>
          <w:sz w:val="24"/>
          <w:szCs w:val="24"/>
          <w:lang w:val="en-US" w:eastAsia="zh-CN"/>
        </w:rPr>
        <w:t xml:space="preserve">  </w:t>
      </w:r>
      <w:r>
        <w:rPr>
          <w:rFonts w:hint="eastAsia" w:ascii="宋体" w:hAnsi="宋体" w:eastAsia="宋体" w:cs="宋体"/>
          <w:sz w:val="24"/>
          <w:szCs w:val="24"/>
        </w:rPr>
        <w:t>谈判内容、谈判过程中可实质性变动的内容</w:t>
      </w:r>
      <w:bookmarkEnd w:id="107"/>
      <w:bookmarkEnd w:id="108"/>
    </w:p>
    <w:p>
      <w:pPr>
        <w:tabs>
          <w:tab w:val="left" w:pos="7665"/>
        </w:tabs>
        <w:spacing w:line="360" w:lineRule="auto"/>
        <w:ind w:firstLine="480"/>
        <w:rPr>
          <w:rFonts w:hint="eastAsia" w:ascii="宋体" w:hAnsi="宋体" w:eastAsia="宋体" w:cs="宋体"/>
          <w:sz w:val="24"/>
          <w:szCs w:val="24"/>
        </w:rPr>
      </w:pPr>
    </w:p>
    <w:p>
      <w:pPr>
        <w:tabs>
          <w:tab w:val="left" w:pos="7665"/>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针对第五章、第九章所包含的技术、服务要求以及合同草案条款，在谈判过程中，谈判小组在获得采购人代表确认的前提下，可以根据谈判情况实质性变动相关内容。谈判小组对谈判文件作出的实质性变动是谈判文件的有效组成部分，谈判小组会及时以书面形式通知所有参加谈判的供应商。</w:t>
      </w:r>
    </w:p>
    <w:p>
      <w:pPr>
        <w:tabs>
          <w:tab w:val="left" w:pos="7665"/>
        </w:tabs>
        <w:spacing w:line="360" w:lineRule="auto"/>
        <w:ind w:firstLine="480"/>
        <w:rPr>
          <w:rFonts w:hint="eastAsia" w:ascii="宋体" w:hAnsi="宋体" w:eastAsia="宋体" w:cs="宋体"/>
          <w:sz w:val="24"/>
          <w:szCs w:val="24"/>
        </w:rPr>
      </w:pPr>
    </w:p>
    <w:p>
      <w:pPr>
        <w:tabs>
          <w:tab w:val="left" w:pos="7665"/>
        </w:tabs>
        <w:spacing w:line="360" w:lineRule="auto"/>
        <w:ind w:firstLine="480"/>
        <w:rPr>
          <w:rFonts w:hint="eastAsia" w:ascii="宋体" w:hAnsi="宋体" w:eastAsia="宋体" w:cs="宋体"/>
          <w:sz w:val="24"/>
          <w:szCs w:val="24"/>
        </w:rPr>
      </w:pPr>
    </w:p>
    <w:p>
      <w:pPr>
        <w:tabs>
          <w:tab w:val="left" w:pos="7665"/>
        </w:tabs>
        <w:spacing w:line="360" w:lineRule="auto"/>
        <w:ind w:firstLine="480"/>
        <w:rPr>
          <w:rFonts w:hint="eastAsia" w:ascii="宋体" w:hAnsi="宋体" w:eastAsia="宋体" w:cs="宋体"/>
          <w:sz w:val="24"/>
          <w:szCs w:val="24"/>
        </w:rPr>
      </w:pPr>
    </w:p>
    <w:p>
      <w:pPr>
        <w:tabs>
          <w:tab w:val="left" w:pos="7665"/>
        </w:tabs>
        <w:spacing w:line="360" w:lineRule="auto"/>
        <w:ind w:firstLine="480"/>
        <w:jc w:val="center"/>
        <w:rPr>
          <w:rFonts w:hint="eastAsia" w:ascii="宋体" w:hAnsi="宋体" w:eastAsia="宋体" w:cs="宋体"/>
          <w:b/>
          <w:bCs/>
          <w:sz w:val="24"/>
          <w:szCs w:val="24"/>
        </w:rPr>
      </w:pPr>
    </w:p>
    <w:p>
      <w:pPr>
        <w:tabs>
          <w:tab w:val="left" w:pos="7665"/>
        </w:tabs>
        <w:spacing w:line="360" w:lineRule="auto"/>
        <w:ind w:firstLine="480"/>
        <w:jc w:val="center"/>
        <w:rPr>
          <w:rFonts w:hint="eastAsia" w:ascii="宋体" w:hAnsi="宋体" w:eastAsia="宋体" w:cs="宋体"/>
          <w:b/>
          <w:bCs/>
          <w:sz w:val="24"/>
          <w:szCs w:val="24"/>
        </w:rPr>
      </w:pPr>
    </w:p>
    <w:p>
      <w:pPr>
        <w:tabs>
          <w:tab w:val="left" w:pos="7665"/>
        </w:tabs>
        <w:spacing w:line="360" w:lineRule="auto"/>
        <w:ind w:firstLine="480"/>
        <w:jc w:val="center"/>
        <w:rPr>
          <w:rFonts w:hint="eastAsia" w:ascii="宋体" w:hAnsi="宋体" w:eastAsia="宋体" w:cs="宋体"/>
          <w:b/>
          <w:bCs/>
          <w:sz w:val="24"/>
          <w:szCs w:val="24"/>
        </w:rPr>
      </w:pPr>
    </w:p>
    <w:p>
      <w:pPr>
        <w:tabs>
          <w:tab w:val="left" w:pos="7665"/>
        </w:tabs>
        <w:spacing w:line="360" w:lineRule="auto"/>
        <w:ind w:firstLine="480"/>
        <w:rPr>
          <w:rFonts w:hint="eastAsia" w:ascii="宋体" w:hAnsi="宋体" w:eastAsia="宋体" w:cs="宋体"/>
          <w:sz w:val="24"/>
          <w:szCs w:val="24"/>
        </w:rPr>
      </w:pPr>
    </w:p>
    <w:p>
      <w:pPr>
        <w:tabs>
          <w:tab w:val="left" w:pos="7665"/>
        </w:tabs>
        <w:spacing w:line="360" w:lineRule="auto"/>
        <w:ind w:firstLine="480"/>
        <w:rPr>
          <w:rFonts w:hint="eastAsia" w:ascii="宋体" w:hAnsi="宋体" w:eastAsia="宋体" w:cs="宋体"/>
          <w:b/>
          <w:bCs/>
          <w:sz w:val="24"/>
          <w:szCs w:val="24"/>
        </w:rPr>
      </w:pPr>
    </w:p>
    <w:p>
      <w:pPr>
        <w:tabs>
          <w:tab w:val="left" w:pos="7665"/>
        </w:tabs>
        <w:spacing w:line="360" w:lineRule="auto"/>
        <w:ind w:firstLine="480"/>
        <w:rPr>
          <w:rFonts w:hint="eastAsia" w:ascii="宋体" w:hAnsi="宋体" w:eastAsia="宋体" w:cs="宋体"/>
          <w:b/>
          <w:bCs/>
          <w:sz w:val="24"/>
          <w:szCs w:val="24"/>
        </w:rPr>
      </w:pPr>
    </w:p>
    <w:p>
      <w:pPr>
        <w:pStyle w:val="37"/>
        <w:spacing w:line="360" w:lineRule="auto"/>
        <w:rPr>
          <w:rFonts w:hint="eastAsia" w:ascii="宋体" w:hAnsi="宋体" w:eastAsia="宋体" w:cs="宋体"/>
          <w:sz w:val="24"/>
          <w:szCs w:val="24"/>
        </w:rPr>
      </w:pPr>
      <w:r>
        <w:rPr>
          <w:rFonts w:hint="eastAsia" w:ascii="宋体" w:hAnsi="宋体" w:eastAsia="宋体" w:cs="宋体"/>
          <w:sz w:val="24"/>
          <w:szCs w:val="24"/>
        </w:rPr>
        <w:br w:type="page"/>
      </w:r>
      <w:bookmarkStart w:id="112" w:name="_Toc41037908"/>
      <w:bookmarkStart w:id="113" w:name="_Toc509579146"/>
      <w:r>
        <w:rPr>
          <w:rFonts w:hint="eastAsia" w:ascii="宋体" w:hAnsi="宋体" w:eastAsia="宋体" w:cs="宋体"/>
          <w:sz w:val="24"/>
          <w:szCs w:val="24"/>
        </w:rPr>
        <w:t>第七章</w:t>
      </w:r>
      <w:r>
        <w:rPr>
          <w:rFonts w:hint="eastAsia" w:ascii="宋体" w:hAnsi="宋体" w:cs="宋体"/>
          <w:sz w:val="24"/>
          <w:szCs w:val="24"/>
          <w:lang w:val="en-US" w:eastAsia="zh-CN"/>
        </w:rPr>
        <w:t xml:space="preserve">  </w:t>
      </w:r>
      <w:r>
        <w:rPr>
          <w:rFonts w:hint="eastAsia" w:ascii="宋体" w:hAnsi="宋体" w:eastAsia="宋体" w:cs="宋体"/>
          <w:sz w:val="24"/>
          <w:szCs w:val="24"/>
        </w:rPr>
        <w:t>响应文件格式</w:t>
      </w:r>
      <w:bookmarkEnd w:id="112"/>
      <w:bookmarkEnd w:id="113"/>
    </w:p>
    <w:p>
      <w:pPr>
        <w:spacing w:line="360" w:lineRule="auto"/>
        <w:jc w:val="left"/>
        <w:rPr>
          <w:rFonts w:hint="eastAsia" w:ascii="宋体" w:hAnsi="宋体" w:eastAsia="宋体" w:cs="宋体"/>
          <w:b/>
          <w:bCs/>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一、本章所制响应文件格式（不包括签字盖章），除格式中明确将该格式作为实质性要求的，不具有强制性。</w:t>
      </w:r>
    </w:p>
    <w:p>
      <w:pPr>
        <w:spacing w:line="360" w:lineRule="auto"/>
        <w:rPr>
          <w:rFonts w:hint="eastAsia" w:ascii="宋体" w:hAnsi="宋体" w:eastAsia="宋体" w:cs="宋体"/>
          <w:sz w:val="24"/>
          <w:szCs w:val="24"/>
        </w:rPr>
      </w:pPr>
      <w:r>
        <w:rPr>
          <w:rFonts w:hint="eastAsia" w:ascii="宋体" w:hAnsi="宋体" w:eastAsia="宋体" w:cs="宋体"/>
          <w:sz w:val="24"/>
          <w:szCs w:val="24"/>
        </w:rPr>
        <w:t>二、本章所制响应文件格式有关表格中的备注栏，由供应商根据自身响应情况作解释性说明，不作为必填项。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三、本章所制响应文件格式中需要填写的相关内容事项，可能会与本采购项目无关，在不改变响应文件原义、不影响本项目采购需求的情况下，供应商可以不予填写，但应当注明。</w:t>
      </w:r>
    </w:p>
    <w:p>
      <w:pPr>
        <w:spacing w:line="360" w:lineRule="auto"/>
        <w:jc w:val="center"/>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第一部分“资格性响应文件”格式</w:t>
      </w:r>
    </w:p>
    <w:p>
      <w:pPr>
        <w:spacing w:line="360" w:lineRule="auto"/>
        <w:jc w:val="center"/>
        <w:rPr>
          <w:rFonts w:hint="eastAsia" w:ascii="宋体" w:hAnsi="宋体" w:eastAsia="宋体" w:cs="宋体"/>
          <w:b/>
          <w:bCs/>
          <w:sz w:val="24"/>
          <w:szCs w:val="24"/>
        </w:rPr>
      </w:pPr>
    </w:p>
    <w:p>
      <w:pPr>
        <w:spacing w:line="360" w:lineRule="auto"/>
        <w:jc w:val="right"/>
        <w:rPr>
          <w:rFonts w:hint="eastAsia" w:ascii="宋体" w:hAnsi="宋体" w:eastAsia="宋体" w:cs="宋体"/>
          <w:b/>
          <w:bCs/>
          <w:sz w:val="24"/>
          <w:szCs w:val="24"/>
        </w:rPr>
      </w:pPr>
      <w:r>
        <w:rPr>
          <w:rFonts w:hint="eastAsia" w:ascii="宋体" w:hAnsi="宋体" w:eastAsia="宋体" w:cs="宋体"/>
          <w:b/>
          <w:bCs/>
          <w:sz w:val="24"/>
          <w:szCs w:val="24"/>
        </w:rPr>
        <w:t>（正本/副本）</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u w:val="single"/>
        </w:rPr>
        <w:t>XX</w:t>
      </w:r>
      <w:r>
        <w:rPr>
          <w:rFonts w:hint="eastAsia" w:ascii="宋体" w:hAnsi="宋体" w:eastAsia="宋体" w:cs="宋体"/>
          <w:b/>
          <w:bCs/>
          <w:sz w:val="24"/>
          <w:szCs w:val="24"/>
        </w:rPr>
        <w:t>项目</w:t>
      </w:r>
    </w:p>
    <w:p>
      <w:pPr>
        <w:spacing w:line="360" w:lineRule="auto"/>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资格性响应文件</w:t>
      </w: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p>
    <w:p>
      <w:pPr>
        <w:spacing w:line="360" w:lineRule="auto"/>
        <w:ind w:firstLine="482" w:firstLineChars="200"/>
        <w:jc w:val="left"/>
        <w:rPr>
          <w:rFonts w:hint="eastAsia" w:ascii="宋体" w:hAnsi="宋体" w:eastAsia="宋体" w:cs="宋体"/>
          <w:b/>
          <w:bCs/>
          <w:sz w:val="24"/>
          <w:szCs w:val="24"/>
          <w:u w:val="single"/>
        </w:rPr>
      </w:pPr>
      <w:r>
        <w:rPr>
          <w:rFonts w:hint="eastAsia" w:ascii="宋体" w:hAnsi="宋体" w:eastAsia="宋体" w:cs="宋体"/>
          <w:b/>
          <w:bCs/>
          <w:sz w:val="24"/>
          <w:szCs w:val="24"/>
        </w:rPr>
        <w:t>供应商名称：</w:t>
      </w:r>
    </w:p>
    <w:p>
      <w:pPr>
        <w:spacing w:line="360" w:lineRule="auto"/>
        <w:ind w:firstLine="482" w:firstLineChars="200"/>
        <w:jc w:val="left"/>
        <w:rPr>
          <w:rFonts w:hint="eastAsia" w:ascii="宋体" w:hAnsi="宋体" w:eastAsia="宋体" w:cs="宋体"/>
          <w:b/>
          <w:bCs/>
          <w:sz w:val="24"/>
          <w:szCs w:val="24"/>
          <w:u w:val="single"/>
        </w:rPr>
      </w:pPr>
      <w:r>
        <w:rPr>
          <w:rFonts w:hint="eastAsia" w:ascii="宋体" w:hAnsi="宋体" w:eastAsia="宋体" w:cs="宋体"/>
          <w:b/>
          <w:bCs/>
          <w:sz w:val="24"/>
          <w:szCs w:val="24"/>
        </w:rPr>
        <w:t>采购项目编号：</w:t>
      </w:r>
    </w:p>
    <w:p>
      <w:pPr>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包号：</w:t>
      </w:r>
    </w:p>
    <w:p>
      <w:pPr>
        <w:spacing w:line="360" w:lineRule="auto"/>
        <w:jc w:val="center"/>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XX年XX月XX日</w:t>
      </w:r>
    </w:p>
    <w:p>
      <w:pPr>
        <w:widowControl/>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br w:type="page"/>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法定代表人身份证明书</w:t>
      </w:r>
    </w:p>
    <w:p>
      <w:pPr>
        <w:tabs>
          <w:tab w:val="left" w:pos="6300"/>
        </w:tabs>
        <w:spacing w:line="360" w:lineRule="auto"/>
        <w:ind w:firstLine="573"/>
        <w:rPr>
          <w:rFonts w:hint="eastAsia" w:ascii="宋体" w:hAnsi="宋体" w:eastAsia="宋体" w:cs="宋体"/>
          <w:sz w:val="24"/>
          <w:szCs w:val="24"/>
          <w:u w:val="single"/>
          <w:lang w:val="zh-CN"/>
        </w:rPr>
      </w:pPr>
    </w:p>
    <w:p>
      <w:pPr>
        <w:tabs>
          <w:tab w:val="left" w:pos="6300"/>
        </w:tabs>
        <w:spacing w:line="360" w:lineRule="auto"/>
        <w:ind w:firstLine="573"/>
        <w:rPr>
          <w:rFonts w:hint="eastAsia" w:ascii="宋体" w:hAnsi="宋体" w:eastAsia="宋体" w:cs="宋体"/>
          <w:sz w:val="24"/>
          <w:szCs w:val="24"/>
          <w:lang w:val="zh-CN"/>
        </w:rPr>
      </w:pPr>
      <w:r>
        <w:rPr>
          <w:rFonts w:hint="eastAsia" w:ascii="宋体" w:hAnsi="宋体" w:eastAsia="宋体" w:cs="宋体"/>
          <w:sz w:val="24"/>
          <w:szCs w:val="24"/>
          <w:u w:val="single"/>
          <w:lang w:val="zh-CN"/>
        </w:rPr>
        <w:t>（法定代表人姓名）</w:t>
      </w:r>
      <w:r>
        <w:rPr>
          <w:rFonts w:hint="eastAsia" w:ascii="宋体" w:hAnsi="宋体" w:eastAsia="宋体" w:cs="宋体"/>
          <w:sz w:val="24"/>
          <w:szCs w:val="24"/>
          <w:lang w:val="zh-CN"/>
        </w:rPr>
        <w:t>在</w:t>
      </w:r>
      <w:r>
        <w:rPr>
          <w:rFonts w:hint="eastAsia" w:ascii="宋体" w:hAnsi="宋体" w:eastAsia="宋体" w:cs="宋体"/>
          <w:sz w:val="24"/>
          <w:szCs w:val="24"/>
          <w:u w:val="single"/>
          <w:lang w:val="zh-CN"/>
        </w:rPr>
        <w:t>（供应商名称）</w:t>
      </w:r>
      <w:r>
        <w:rPr>
          <w:rFonts w:hint="eastAsia" w:ascii="宋体" w:hAnsi="宋体" w:eastAsia="宋体" w:cs="宋体"/>
          <w:sz w:val="24"/>
          <w:szCs w:val="24"/>
          <w:lang w:val="zh-CN"/>
        </w:rPr>
        <w:t>处任</w:t>
      </w:r>
      <w:r>
        <w:rPr>
          <w:rFonts w:hint="eastAsia" w:ascii="宋体" w:hAnsi="宋体" w:eastAsia="宋体" w:cs="宋体"/>
          <w:sz w:val="24"/>
          <w:szCs w:val="24"/>
          <w:u w:val="single"/>
          <w:lang w:val="zh-CN"/>
        </w:rPr>
        <w:t>（职务名称）</w:t>
      </w:r>
      <w:r>
        <w:rPr>
          <w:rFonts w:hint="eastAsia" w:ascii="宋体" w:hAnsi="宋体" w:eastAsia="宋体" w:cs="宋体"/>
          <w:sz w:val="24"/>
          <w:szCs w:val="24"/>
          <w:lang w:val="zh-CN"/>
        </w:rPr>
        <w:t>职务，是</w:t>
      </w:r>
      <w:r>
        <w:rPr>
          <w:rFonts w:hint="eastAsia" w:ascii="宋体" w:hAnsi="宋体" w:eastAsia="宋体" w:cs="宋体"/>
          <w:sz w:val="24"/>
          <w:szCs w:val="24"/>
          <w:u w:val="single"/>
          <w:lang w:val="zh-CN"/>
        </w:rPr>
        <w:t>（供应商名称）</w:t>
      </w:r>
      <w:r>
        <w:rPr>
          <w:rFonts w:hint="eastAsia" w:ascii="宋体" w:hAnsi="宋体" w:eastAsia="宋体" w:cs="宋体"/>
          <w:sz w:val="24"/>
          <w:szCs w:val="24"/>
          <w:lang w:val="zh-CN"/>
        </w:rPr>
        <w:t>的法定代表人。</w:t>
      </w:r>
    </w:p>
    <w:p>
      <w:pPr>
        <w:tabs>
          <w:tab w:val="left" w:pos="6300"/>
        </w:tabs>
        <w:spacing w:line="360" w:lineRule="auto"/>
        <w:ind w:firstLine="573"/>
        <w:rPr>
          <w:rFonts w:hint="eastAsia" w:ascii="宋体" w:hAnsi="宋体" w:eastAsia="宋体" w:cs="宋体"/>
          <w:sz w:val="24"/>
          <w:szCs w:val="24"/>
          <w:lang w:val="zh-CN"/>
        </w:rPr>
      </w:pPr>
      <w:r>
        <w:rPr>
          <w:rFonts w:hint="eastAsia" w:ascii="宋体" w:hAnsi="宋体" w:eastAsia="宋体" w:cs="宋体"/>
          <w:sz w:val="24"/>
          <w:szCs w:val="24"/>
          <w:lang w:val="zh-CN"/>
        </w:rPr>
        <w:t>特此证明。</w:t>
      </w:r>
    </w:p>
    <w:p>
      <w:pPr>
        <w:tabs>
          <w:tab w:val="left" w:pos="6300"/>
        </w:tabs>
        <w:spacing w:line="360" w:lineRule="auto"/>
        <w:ind w:firstLine="573"/>
        <w:rPr>
          <w:rFonts w:hint="eastAsia" w:ascii="宋体" w:hAnsi="宋体" w:eastAsia="宋体" w:cs="宋体"/>
          <w:sz w:val="24"/>
          <w:szCs w:val="24"/>
          <w:lang w:val="zh-CN"/>
        </w:rPr>
      </w:pPr>
    </w:p>
    <w:p>
      <w:pPr>
        <w:tabs>
          <w:tab w:val="left" w:pos="6300"/>
        </w:tabs>
        <w:spacing w:line="360" w:lineRule="auto"/>
        <w:ind w:firstLine="573"/>
        <w:rPr>
          <w:rFonts w:hint="eastAsia" w:ascii="宋体" w:hAnsi="宋体" w:eastAsia="宋体" w:cs="宋体"/>
          <w:sz w:val="24"/>
          <w:szCs w:val="24"/>
          <w:lang w:val="zh-CN"/>
        </w:rPr>
      </w:pPr>
    </w:p>
    <w:p>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lang w:val="zh-CN"/>
        </w:rPr>
        <w:t>供应商名称：</w:t>
      </w:r>
      <w:r>
        <w:rPr>
          <w:rFonts w:hint="eastAsia" w:ascii="宋体" w:hAnsi="宋体" w:eastAsia="宋体" w:cs="宋体"/>
          <w:sz w:val="24"/>
          <w:szCs w:val="24"/>
          <w:u w:val="single"/>
          <w:lang w:val="zh-CN"/>
        </w:rPr>
        <w:t>XXXX</w:t>
      </w:r>
      <w:r>
        <w:rPr>
          <w:rFonts w:hint="eastAsia" w:ascii="宋体" w:hAnsi="宋体" w:eastAsia="宋体" w:cs="宋体"/>
          <w:sz w:val="24"/>
          <w:szCs w:val="24"/>
          <w:lang w:val="zh-CN"/>
        </w:rPr>
        <w:t>（加盖公章）</w:t>
      </w:r>
    </w:p>
    <w:p>
      <w:pPr>
        <w:spacing w:line="360" w:lineRule="auto"/>
        <w:ind w:right="56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XX</w:t>
      </w:r>
      <w:r>
        <w:rPr>
          <w:rFonts w:hint="eastAsia" w:ascii="宋体" w:hAnsi="宋体" w:eastAsia="宋体" w:cs="宋体"/>
          <w:sz w:val="24"/>
          <w:szCs w:val="24"/>
        </w:rPr>
        <w:t>年</w:t>
      </w:r>
      <w:r>
        <w:rPr>
          <w:rFonts w:hint="eastAsia" w:ascii="宋体" w:hAnsi="宋体" w:eastAsia="宋体" w:cs="宋体"/>
          <w:sz w:val="24"/>
          <w:szCs w:val="24"/>
          <w:u w:val="single"/>
        </w:rPr>
        <w:t>XX</w:t>
      </w:r>
      <w:r>
        <w:rPr>
          <w:rFonts w:hint="eastAsia" w:ascii="宋体" w:hAnsi="宋体" w:eastAsia="宋体" w:cs="宋体"/>
          <w:sz w:val="24"/>
          <w:szCs w:val="24"/>
        </w:rPr>
        <w:t>月</w:t>
      </w:r>
      <w:r>
        <w:rPr>
          <w:rFonts w:hint="eastAsia" w:ascii="宋体" w:hAnsi="宋体" w:eastAsia="宋体" w:cs="宋体"/>
          <w:sz w:val="24"/>
          <w:szCs w:val="24"/>
          <w:u w:val="single"/>
        </w:rPr>
        <w:t>XX</w:t>
      </w:r>
      <w:r>
        <w:rPr>
          <w:rFonts w:hint="eastAsia" w:ascii="宋体" w:hAnsi="宋体" w:eastAsia="宋体" w:cs="宋体"/>
          <w:sz w:val="24"/>
          <w:szCs w:val="24"/>
        </w:rPr>
        <w:t>日</w:t>
      </w:r>
    </w:p>
    <w:p>
      <w:pPr>
        <w:spacing w:line="360" w:lineRule="auto"/>
        <w:ind w:right="560"/>
        <w:jc w:val="right"/>
        <w:rPr>
          <w:rFonts w:hint="eastAsia" w:ascii="宋体" w:hAnsi="宋体" w:eastAsia="宋体" w:cs="宋体"/>
          <w:sz w:val="24"/>
          <w:szCs w:val="24"/>
        </w:rPr>
      </w:pPr>
    </w:p>
    <w:p>
      <w:pPr>
        <w:spacing w:line="360" w:lineRule="auto"/>
        <w:ind w:right="560"/>
        <w:jc w:val="right"/>
        <w:rPr>
          <w:rFonts w:hint="eastAsia" w:ascii="宋体" w:hAnsi="宋体" w:eastAsia="宋体" w:cs="宋体"/>
          <w:sz w:val="24"/>
          <w:szCs w:val="24"/>
        </w:rPr>
      </w:pPr>
    </w:p>
    <w:p>
      <w:pPr>
        <w:spacing w:line="360" w:lineRule="auto"/>
        <w:ind w:right="560"/>
        <w:jc w:val="right"/>
        <w:rPr>
          <w:rFonts w:hint="eastAsia" w:ascii="宋体" w:hAnsi="宋体" w:eastAsia="宋体" w:cs="宋体"/>
          <w:sz w:val="24"/>
          <w:szCs w:val="24"/>
        </w:rPr>
      </w:pPr>
    </w:p>
    <w:p>
      <w:pPr>
        <w:spacing w:line="360" w:lineRule="auto"/>
        <w:ind w:right="560"/>
        <w:jc w:val="right"/>
        <w:rPr>
          <w:rFonts w:hint="eastAsia" w:ascii="宋体" w:hAnsi="宋体" w:eastAsia="宋体" w:cs="宋体"/>
          <w:sz w:val="24"/>
          <w:szCs w:val="24"/>
        </w:rPr>
      </w:pPr>
    </w:p>
    <w:p>
      <w:pPr>
        <w:spacing w:line="360" w:lineRule="auto"/>
        <w:ind w:right="560"/>
        <w:jc w:val="right"/>
        <w:rPr>
          <w:rFonts w:hint="eastAsia" w:ascii="宋体" w:hAnsi="宋体" w:eastAsia="宋体" w:cs="宋体"/>
          <w:sz w:val="24"/>
          <w:szCs w:val="24"/>
        </w:rPr>
      </w:pPr>
    </w:p>
    <w:p>
      <w:pPr>
        <w:spacing w:line="360" w:lineRule="auto"/>
        <w:ind w:right="560"/>
        <w:jc w:val="right"/>
        <w:rPr>
          <w:rFonts w:hint="eastAsia" w:ascii="宋体" w:hAnsi="宋体" w:eastAsia="宋体" w:cs="宋体"/>
          <w:sz w:val="24"/>
          <w:szCs w:val="24"/>
        </w:rPr>
      </w:pPr>
    </w:p>
    <w:p>
      <w:pPr>
        <w:spacing w:line="360" w:lineRule="auto"/>
        <w:ind w:right="560"/>
        <w:jc w:val="right"/>
        <w:rPr>
          <w:rFonts w:hint="eastAsia" w:ascii="宋体" w:hAnsi="宋体" w:eastAsia="宋体" w:cs="宋体"/>
          <w:sz w:val="24"/>
          <w:szCs w:val="24"/>
        </w:rPr>
      </w:pPr>
    </w:p>
    <w:p>
      <w:pPr>
        <w:spacing w:line="360" w:lineRule="auto"/>
        <w:ind w:right="560"/>
        <w:jc w:val="right"/>
        <w:rPr>
          <w:rFonts w:hint="eastAsia" w:ascii="宋体" w:hAnsi="宋体" w:eastAsia="宋体" w:cs="宋体"/>
          <w:sz w:val="24"/>
          <w:szCs w:val="24"/>
        </w:rPr>
      </w:pPr>
    </w:p>
    <w:p>
      <w:pPr>
        <w:spacing w:line="360" w:lineRule="auto"/>
        <w:ind w:right="560"/>
        <w:jc w:val="right"/>
        <w:rPr>
          <w:rFonts w:hint="eastAsia" w:ascii="宋体" w:hAnsi="宋体" w:eastAsia="宋体" w:cs="宋体"/>
          <w:sz w:val="24"/>
          <w:szCs w:val="24"/>
        </w:rPr>
      </w:pPr>
    </w:p>
    <w:p>
      <w:pPr>
        <w:spacing w:line="360" w:lineRule="auto"/>
        <w:ind w:right="560"/>
        <w:jc w:val="right"/>
        <w:rPr>
          <w:rFonts w:hint="eastAsia" w:ascii="宋体" w:hAnsi="宋体" w:eastAsia="宋体" w:cs="宋体"/>
          <w:sz w:val="24"/>
          <w:szCs w:val="24"/>
        </w:rPr>
      </w:pPr>
    </w:p>
    <w:p>
      <w:pPr>
        <w:spacing w:line="360" w:lineRule="auto"/>
        <w:ind w:right="560"/>
        <w:jc w:val="right"/>
        <w:rPr>
          <w:rFonts w:hint="eastAsia" w:ascii="宋体" w:hAnsi="宋体" w:eastAsia="宋体" w:cs="宋体"/>
          <w:sz w:val="24"/>
          <w:szCs w:val="24"/>
        </w:rPr>
      </w:pPr>
    </w:p>
    <w:p>
      <w:pPr>
        <w:spacing w:line="360" w:lineRule="auto"/>
        <w:ind w:firstLine="487" w:firstLineChars="202"/>
        <w:rPr>
          <w:rFonts w:hint="eastAsia" w:ascii="宋体" w:hAnsi="宋体" w:eastAsia="宋体" w:cs="宋体"/>
          <w:b/>
          <w:bCs/>
          <w:sz w:val="24"/>
          <w:szCs w:val="24"/>
          <w:lang w:val="zh-CN"/>
        </w:rPr>
      </w:pPr>
      <w:r>
        <w:rPr>
          <w:rFonts w:hint="eastAsia" w:ascii="宋体" w:hAnsi="宋体" w:eastAsia="宋体" w:cs="宋体"/>
          <w:b/>
          <w:bCs/>
          <w:sz w:val="24"/>
          <w:szCs w:val="24"/>
          <w:lang w:val="zh-CN"/>
        </w:rPr>
        <w:t>说明：上述证明文件在资格性响应文件中附有法定代表人身份证复印件（身份证两面均应复印）或护照复印件（供应商的法定代表人为外籍人士的，则提供护照复印件）时才能生效。</w:t>
      </w:r>
    </w:p>
    <w:p>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lang w:val="en-US" w:eastAsia="zh-CN"/>
        </w:rPr>
        <w:t>二、法定代表人/单位负责人授权书</w:t>
      </w:r>
    </w:p>
    <w:p>
      <w:pPr>
        <w:bidi w:val="0"/>
        <w:rPr>
          <w:rFonts w:hint="eastAsia"/>
        </w:rPr>
      </w:pP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XXXXXXXX（采购人名称）：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本授权声明： XXXX（供应商名称）XXXX（法定代表人/单位负责人姓名、职务）授权XXXX（被授权人姓名、职务）为我方“XXXXXXXX”项目（采购项目编号：XXXX）谈判采购活动的合法代表，以我方名义全权处理该项目有关谈判采购、签订合同以及执行合同等一切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特此声明。</w:t>
      </w:r>
    </w:p>
    <w:p>
      <w:pPr>
        <w:bidi w:val="0"/>
        <w:rPr>
          <w:rFonts w:hint="eastAsia"/>
        </w:rPr>
      </w:pP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法定代表人/单位负责人（委托人）签字或加盖个人印章：XXXX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授权代表（被授权人）签字：XXXX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供应商名称：XXXX（单位盖章）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日期：XXXX            </w:t>
      </w:r>
    </w:p>
    <w:p>
      <w:pPr>
        <w:bidi w:val="0"/>
        <w:rPr>
          <w:rFonts w:hint="eastAsia"/>
        </w:rPr>
      </w:pPr>
      <w:bookmarkStart w:id="114" w:name="_Toc217446084"/>
    </w:p>
    <w:p>
      <w:pPr>
        <w:bidi w:val="0"/>
        <w:rPr>
          <w:rFonts w:hint="eastAsia"/>
        </w:rPr>
      </w:pPr>
    </w:p>
    <w:p>
      <w:pPr>
        <w:bidi w:val="0"/>
        <w:rPr>
          <w:rFonts w:hint="eastAsia"/>
        </w:rPr>
      </w:pPr>
    </w:p>
    <w:p>
      <w:pPr>
        <w:bidi w:val="0"/>
        <w:rPr>
          <w:rFonts w:hint="eastAsia"/>
        </w:rPr>
      </w:pPr>
    </w:p>
    <w:p>
      <w:pPr>
        <w:spacing w:line="360" w:lineRule="auto"/>
        <w:ind w:left="31680" w:hanging="840" w:hangingChars="350"/>
        <w:jc w:val="left"/>
        <w:rPr>
          <w:rFonts w:hint="eastAsia" w:ascii="宋体" w:hAnsi="宋体" w:eastAsia="宋体" w:cs="宋体"/>
          <w:sz w:val="24"/>
          <w:szCs w:val="24"/>
        </w:rPr>
      </w:pPr>
      <w:r>
        <w:rPr>
          <w:rFonts w:hint="eastAsia" w:ascii="宋体" w:hAnsi="宋体" w:eastAsia="宋体" w:cs="宋体"/>
          <w:sz w:val="24"/>
          <w:szCs w:val="24"/>
        </w:rPr>
        <w:t>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1、供应商为法人单位时提供“法定代表人授权书”，供应商为其他组织时提供“单位负责人授权书”，供应商为自然人时提供“自然人身份证明材料”。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2、应附法定代表人/单位负责人身份证明材料复印件和授权代表身份证明材料复印件。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3、身份证明材料包括居民身份证或户口本或军官证或护照等。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4、身份证明材料应同时提供其在有效期的材料，如居民身份证正、反面复印件。</w:t>
      </w:r>
    </w:p>
    <w:bookmarkEnd w:id="114"/>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cs="宋体"/>
          <w:b/>
          <w:bCs/>
          <w:sz w:val="24"/>
          <w:szCs w:val="24"/>
          <w:lang w:val="en-US" w:eastAsia="zh-CN"/>
        </w:rPr>
        <w:t>三</w:t>
      </w:r>
      <w:r>
        <w:rPr>
          <w:rFonts w:hint="eastAsia" w:ascii="宋体" w:hAnsi="宋体" w:eastAsia="宋体" w:cs="宋体"/>
          <w:b/>
          <w:bCs/>
          <w:sz w:val="24"/>
          <w:szCs w:val="24"/>
        </w:rPr>
        <w:t>、承诺函</w:t>
      </w: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XXXX（采购人名称）：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我单位作为本次采购项目的供应商，根据谈判文件要求，现郑重承诺如下：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一、具备《中华人民共和国政府采购法》第二十二条第一款和本项目规定的条件：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（七）根据采购项目提出的特殊条件。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二、截至响应文件递交截止日未被列入失信被执行人、重大税收违法案件当事人名单、政府采购严重违法失信行为记录名单。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本单位对上述承诺的内容事项真实性负责。如经查实上述承诺的内容事项存在虚假，我单位愿意接受以提供虚假材料谋取成交追究法律责任。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供应商名称：XXXX（单位公章）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 w:val="24"/>
          <w:szCs w:val="24"/>
        </w:rPr>
        <w:t xml:space="preserve">日期：XXXX    </w:t>
      </w:r>
      <w:r>
        <w:rPr>
          <w:rFonts w:hint="eastAsia" w:ascii="宋体" w:hAnsi="宋体" w:eastAsia="宋体" w:cs="宋体"/>
          <w:szCs w:val="24"/>
        </w:rPr>
        <w:t xml:space="preserve">         </w:t>
      </w:r>
      <w:r>
        <w:rPr>
          <w:rFonts w:hint="eastAsia" w:ascii="宋体" w:hAnsi="宋体" w:eastAsia="宋体" w:cs="宋体"/>
          <w:szCs w:val="24"/>
        </w:rPr>
        <w:br w:type="page"/>
      </w:r>
    </w:p>
    <w:p>
      <w:pPr>
        <w:spacing w:line="360" w:lineRule="auto"/>
        <w:jc w:val="center"/>
        <w:rPr>
          <w:rFonts w:hint="eastAsia" w:ascii="宋体" w:hAnsi="宋体" w:eastAsia="宋体" w:cs="宋体"/>
          <w:b/>
          <w:bCs/>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rPr>
        <w:t>供应商资格、资质性及其他类似效力要求的相关证明材料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注：供应商应按谈判文件第四章相关要求提供佐证材料，有格式要求的从其要求，无格式要求的格式自拟。</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br w:type="page"/>
      </w:r>
    </w:p>
    <w:p>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第二部分“施工响应文件”格式</w:t>
      </w: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格式2-1</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封面：</w:t>
      </w:r>
    </w:p>
    <w:p>
      <w:pPr>
        <w:spacing w:line="360" w:lineRule="auto"/>
        <w:jc w:val="right"/>
        <w:rPr>
          <w:rFonts w:hint="eastAsia" w:ascii="宋体" w:hAnsi="宋体" w:eastAsia="宋体" w:cs="宋体"/>
          <w:b/>
          <w:bCs/>
          <w:sz w:val="24"/>
          <w:szCs w:val="24"/>
        </w:rPr>
      </w:pPr>
      <w:r>
        <w:rPr>
          <w:rFonts w:hint="eastAsia" w:ascii="宋体" w:hAnsi="宋体" w:eastAsia="宋体" w:cs="宋体"/>
          <w:b/>
          <w:bCs/>
          <w:sz w:val="24"/>
          <w:szCs w:val="24"/>
        </w:rPr>
        <w:t>（正本/副本）</w:t>
      </w:r>
    </w:p>
    <w:p>
      <w:pPr>
        <w:spacing w:line="360" w:lineRule="auto"/>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XX项目</w:t>
      </w:r>
    </w:p>
    <w:p>
      <w:pPr>
        <w:spacing w:line="360" w:lineRule="auto"/>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施工响应文件</w:t>
      </w:r>
    </w:p>
    <w:p>
      <w:pPr>
        <w:spacing w:line="360" w:lineRule="auto"/>
        <w:ind w:firstLine="482" w:firstLineChars="200"/>
        <w:jc w:val="left"/>
        <w:rPr>
          <w:rFonts w:hint="eastAsia" w:ascii="宋体" w:hAnsi="宋体" w:eastAsia="宋体" w:cs="宋体"/>
          <w:b/>
          <w:bCs/>
          <w:sz w:val="24"/>
          <w:szCs w:val="24"/>
          <w:u w:val="single"/>
        </w:rPr>
      </w:pPr>
      <w:r>
        <w:rPr>
          <w:rFonts w:hint="eastAsia" w:ascii="宋体" w:hAnsi="宋体" w:eastAsia="宋体" w:cs="宋体"/>
          <w:b/>
          <w:bCs/>
          <w:sz w:val="24"/>
          <w:szCs w:val="24"/>
        </w:rPr>
        <w:t>供应商名称：</w:t>
      </w:r>
    </w:p>
    <w:p>
      <w:pPr>
        <w:spacing w:line="360" w:lineRule="auto"/>
        <w:ind w:firstLine="482" w:firstLineChars="200"/>
        <w:jc w:val="left"/>
        <w:rPr>
          <w:rFonts w:hint="eastAsia" w:ascii="宋体" w:hAnsi="宋体" w:eastAsia="宋体" w:cs="宋体"/>
          <w:b/>
          <w:bCs/>
          <w:sz w:val="24"/>
          <w:szCs w:val="24"/>
          <w:u w:val="single"/>
        </w:rPr>
      </w:pPr>
      <w:r>
        <w:rPr>
          <w:rFonts w:hint="eastAsia" w:ascii="宋体" w:hAnsi="宋体" w:eastAsia="宋体" w:cs="宋体"/>
          <w:b/>
          <w:bCs/>
          <w:sz w:val="24"/>
          <w:szCs w:val="24"/>
        </w:rPr>
        <w:t>采购项目编号：</w:t>
      </w:r>
    </w:p>
    <w:p>
      <w:pPr>
        <w:spacing w:line="360" w:lineRule="auto"/>
        <w:ind w:firstLine="482" w:firstLineChars="200"/>
        <w:jc w:val="left"/>
        <w:rPr>
          <w:rFonts w:hint="eastAsia" w:ascii="宋体" w:hAnsi="宋体" w:eastAsia="宋体" w:cs="宋体"/>
          <w:b/>
          <w:bCs/>
          <w:sz w:val="24"/>
          <w:szCs w:val="24"/>
          <w:u w:val="single"/>
        </w:rPr>
      </w:pPr>
      <w:r>
        <w:rPr>
          <w:rFonts w:hint="eastAsia" w:ascii="宋体" w:hAnsi="宋体" w:eastAsia="宋体" w:cs="宋体"/>
          <w:b/>
          <w:bCs/>
          <w:sz w:val="24"/>
          <w:szCs w:val="24"/>
        </w:rPr>
        <w:t>包号：</w:t>
      </w:r>
    </w:p>
    <w:p>
      <w:pPr>
        <w:spacing w:line="360" w:lineRule="auto"/>
        <w:ind w:firstLine="593" w:firstLineChars="246"/>
        <w:jc w:val="center"/>
        <w:rPr>
          <w:rFonts w:hint="eastAsia" w:ascii="宋体" w:hAnsi="宋体" w:eastAsia="宋体" w:cs="宋体"/>
          <w:b/>
          <w:bCs/>
          <w:sz w:val="24"/>
          <w:szCs w:val="24"/>
        </w:rPr>
      </w:pPr>
    </w:p>
    <w:p>
      <w:pPr>
        <w:spacing w:line="360" w:lineRule="auto"/>
        <w:ind w:firstLine="593" w:firstLineChars="246"/>
        <w:jc w:val="center"/>
        <w:rPr>
          <w:rFonts w:hint="eastAsia" w:ascii="宋体" w:hAnsi="宋体" w:eastAsia="宋体" w:cs="宋体"/>
          <w:b/>
          <w:bCs/>
          <w:sz w:val="24"/>
          <w:szCs w:val="24"/>
        </w:rPr>
      </w:pPr>
      <w:r>
        <w:rPr>
          <w:rFonts w:hint="eastAsia" w:ascii="宋体" w:hAnsi="宋体" w:eastAsia="宋体" w:cs="宋体"/>
          <w:b/>
          <w:bCs/>
          <w:sz w:val="24"/>
          <w:szCs w:val="24"/>
        </w:rPr>
        <w:t>XX年XX月XX日</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p>
    <w:p>
      <w:pPr>
        <w:spacing w:line="360" w:lineRule="auto"/>
        <w:jc w:val="center"/>
        <w:rPr>
          <w:rFonts w:hint="eastAsia" w:ascii="宋体" w:hAnsi="宋体" w:eastAsia="宋体" w:cs="宋体"/>
          <w:b/>
          <w:bCs/>
          <w:sz w:val="24"/>
          <w:szCs w:val="24"/>
        </w:rPr>
      </w:pPr>
      <w:bookmarkStart w:id="115" w:name="_Toc308164824"/>
      <w:r>
        <w:rPr>
          <w:rFonts w:hint="eastAsia" w:ascii="宋体" w:hAnsi="宋体" w:eastAsia="宋体" w:cs="宋体"/>
          <w:b/>
          <w:bCs/>
          <w:sz w:val="24"/>
          <w:szCs w:val="24"/>
        </w:rPr>
        <w:t>一、报价函</w:t>
      </w:r>
    </w:p>
    <w:p>
      <w:pPr>
        <w:spacing w:line="360" w:lineRule="auto"/>
        <w:rPr>
          <w:rFonts w:hint="eastAsia" w:ascii="宋体" w:hAnsi="宋体" w:eastAsia="宋体" w:cs="宋体"/>
          <w:sz w:val="24"/>
          <w:szCs w:val="24"/>
        </w:rPr>
      </w:pPr>
      <w:r>
        <w:rPr>
          <w:rFonts w:hint="eastAsia" w:ascii="宋体" w:hAnsi="宋体" w:eastAsia="宋体" w:cs="宋体"/>
          <w:sz w:val="24"/>
          <w:szCs w:val="24"/>
          <w:u w:val="single"/>
        </w:rPr>
        <w:t>XXXXXXX</w:t>
      </w:r>
      <w:r>
        <w:rPr>
          <w:rFonts w:hint="eastAsia" w:ascii="宋体" w:hAnsi="宋体" w:eastAsia="宋体" w:cs="宋体"/>
          <w:sz w:val="24"/>
          <w:szCs w:val="24"/>
        </w:rPr>
        <w:t xml:space="preserve">（采购代理机构名称）: </w:t>
      </w:r>
    </w:p>
    <w:p>
      <w:pPr>
        <w:pStyle w:val="84"/>
        <w:numPr>
          <w:ilvl w:val="0"/>
          <w:numId w:val="4"/>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我方己仔细研究了（项目名称）谈判文件的全部内容，愿意以人民币（大写）</w:t>
      </w:r>
    </w:p>
    <w:p>
      <w:pPr>
        <w:pStyle w:val="84"/>
        <w:spacing w:line="360" w:lineRule="auto"/>
        <w:ind w:left="-44" w:leftChars="-21" w:firstLine="0" w:firstLineChars="0"/>
        <w:rPr>
          <w:rFonts w:hint="eastAsia" w:ascii="宋体" w:hAnsi="宋体" w:eastAsia="宋体" w:cs="宋体"/>
          <w:sz w:val="24"/>
          <w:szCs w:val="24"/>
        </w:rPr>
      </w:pPr>
      <w:r>
        <w:rPr>
          <w:rFonts w:hint="eastAsia" w:ascii="宋体" w:hAnsi="宋体" w:eastAsia="宋体" w:cs="宋体"/>
          <w:sz w:val="24"/>
          <w:szCs w:val="24"/>
          <w:u w:val="single"/>
        </w:rPr>
        <w:t>XX</w:t>
      </w:r>
      <w:r>
        <w:rPr>
          <w:rFonts w:hint="eastAsia" w:ascii="宋体" w:hAnsi="宋体" w:eastAsia="宋体" w:cs="宋体"/>
          <w:sz w:val="24"/>
          <w:szCs w:val="24"/>
        </w:rPr>
        <w:t>（￥）的总报价，工期</w:t>
      </w:r>
      <w:r>
        <w:rPr>
          <w:rFonts w:hint="eastAsia" w:ascii="宋体" w:hAnsi="宋体" w:eastAsia="宋体" w:cs="宋体"/>
          <w:sz w:val="24"/>
          <w:szCs w:val="24"/>
          <w:u w:val="single"/>
        </w:rPr>
        <w:t xml:space="preserve"> XX </w:t>
      </w:r>
      <w:r>
        <w:rPr>
          <w:rFonts w:hint="eastAsia" w:ascii="宋体" w:hAnsi="宋体" w:eastAsia="宋体" w:cs="宋体"/>
          <w:sz w:val="24"/>
          <w:szCs w:val="24"/>
        </w:rPr>
        <w:t>日历天，按合同约定实施和完成承包工程，修补工程中的任何缺陷，工程质量达到规定要求标准。</w:t>
      </w:r>
    </w:p>
    <w:p>
      <w:pPr>
        <w:spacing w:line="360" w:lineRule="auto"/>
        <w:rPr>
          <w:rFonts w:hint="eastAsia" w:ascii="宋体" w:hAnsi="宋体" w:eastAsia="宋体" w:cs="宋体"/>
          <w:sz w:val="24"/>
          <w:szCs w:val="24"/>
        </w:rPr>
      </w:pPr>
      <w:r>
        <w:rPr>
          <w:rFonts w:hint="eastAsia" w:ascii="宋体" w:hAnsi="宋体" w:eastAsia="宋体" w:cs="宋体"/>
          <w:sz w:val="24"/>
          <w:szCs w:val="24"/>
        </w:rPr>
        <w:t>2．我方承诺在响应文件有效期</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天内不修改、撤销响应文件。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3．如我方成交：</w:t>
      </w:r>
    </w:p>
    <w:p>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(l）我方承诺在收到成交通知书后，在规定的期限内与采购人签订合同。</w:t>
      </w:r>
    </w:p>
    <w:p>
      <w:pPr>
        <w:spacing w:line="360" w:lineRule="auto"/>
        <w:rPr>
          <w:rFonts w:hint="eastAsia" w:ascii="宋体" w:hAnsi="宋体" w:eastAsia="宋体" w:cs="宋体"/>
          <w:sz w:val="24"/>
          <w:szCs w:val="24"/>
        </w:rPr>
      </w:pPr>
      <w:r>
        <w:rPr>
          <w:rFonts w:hint="eastAsia" w:ascii="宋体" w:hAnsi="宋体" w:eastAsia="宋体" w:cs="宋体"/>
          <w:sz w:val="24"/>
          <w:szCs w:val="24"/>
        </w:rPr>
        <w:t>（2）我方承诺按照谈判文件规定的金额和方式向采购人缴纳履约保证金。</w:t>
      </w:r>
    </w:p>
    <w:p>
      <w:pPr>
        <w:spacing w:line="360" w:lineRule="auto"/>
        <w:rPr>
          <w:rFonts w:hint="eastAsia" w:ascii="宋体" w:hAnsi="宋体" w:eastAsia="宋体" w:cs="宋体"/>
          <w:sz w:val="24"/>
          <w:szCs w:val="24"/>
        </w:rPr>
      </w:pPr>
      <w:r>
        <w:rPr>
          <w:rFonts w:hint="eastAsia" w:ascii="宋体" w:hAnsi="宋体" w:eastAsia="宋体" w:cs="宋体"/>
          <w:sz w:val="24"/>
          <w:szCs w:val="24"/>
        </w:rPr>
        <w:t>（3）我方将严格履行政府采购合同规定的责任和义务。</w:t>
      </w:r>
    </w:p>
    <w:p>
      <w:pPr>
        <w:spacing w:line="360" w:lineRule="auto"/>
        <w:rPr>
          <w:rFonts w:hint="eastAsia" w:ascii="宋体" w:hAnsi="宋体" w:eastAsia="宋体" w:cs="宋体"/>
          <w:sz w:val="24"/>
          <w:szCs w:val="24"/>
        </w:rPr>
      </w:pPr>
      <w:r>
        <w:rPr>
          <w:rFonts w:hint="eastAsia" w:ascii="宋体" w:hAnsi="宋体" w:eastAsia="宋体" w:cs="宋体"/>
          <w:sz w:val="24"/>
          <w:szCs w:val="24"/>
        </w:rPr>
        <w:t>（4）我方同意本谈判文件依据《关于对政府采购领域严重违法失信主体开展联合惩戒的合作备忘录》（发改财金〔2018〕1614号）等相关规定对我方可能存在的失信行为进行惩戒。</w:t>
      </w:r>
    </w:p>
    <w:p>
      <w:pPr>
        <w:spacing w:line="360" w:lineRule="auto"/>
        <w:rPr>
          <w:rFonts w:hint="eastAsia" w:ascii="宋体" w:hAnsi="宋体" w:eastAsia="宋体" w:cs="宋体"/>
          <w:sz w:val="24"/>
          <w:szCs w:val="24"/>
        </w:rPr>
      </w:pPr>
      <w:r>
        <w:rPr>
          <w:rFonts w:hint="eastAsia" w:ascii="宋体" w:hAnsi="宋体" w:eastAsia="宋体" w:cs="宋体"/>
          <w:sz w:val="24"/>
          <w:szCs w:val="24"/>
        </w:rPr>
        <w:t>（5）我方愿意提供贵单位可能另外要求的，与谈判报价有关的文件资料，并保证我方已提供和将要提供的文件资料是真实、准确的。</w:t>
      </w:r>
    </w:p>
    <w:p>
      <w:pPr>
        <w:spacing w:line="360" w:lineRule="auto"/>
        <w:rPr>
          <w:rFonts w:hint="eastAsia" w:ascii="宋体" w:hAnsi="宋体" w:eastAsia="宋体" w:cs="宋体"/>
          <w:sz w:val="24"/>
          <w:szCs w:val="24"/>
        </w:rPr>
      </w:pPr>
      <w:r>
        <w:rPr>
          <w:rFonts w:hint="eastAsia" w:ascii="宋体" w:hAnsi="宋体" w:eastAsia="宋体" w:cs="宋体"/>
          <w:sz w:val="24"/>
          <w:szCs w:val="24"/>
        </w:rPr>
        <w:t>（6）我方自愿按照谈判文件规定的各项要求完成工程建设项目，最后报价以《最后报价表》为准，接受采购人按照政府采购合同约定金额支付采购资金。</w:t>
      </w:r>
    </w:p>
    <w:p>
      <w:pPr>
        <w:spacing w:line="360" w:lineRule="auto"/>
        <w:rPr>
          <w:rFonts w:hint="eastAsia" w:ascii="宋体" w:hAnsi="宋体" w:eastAsia="宋体" w:cs="宋体"/>
          <w:sz w:val="24"/>
          <w:szCs w:val="24"/>
        </w:rPr>
      </w:pPr>
      <w:r>
        <w:rPr>
          <w:rFonts w:hint="eastAsia" w:ascii="宋体" w:hAnsi="宋体" w:eastAsia="宋体" w:cs="宋体"/>
          <w:sz w:val="24"/>
          <w:szCs w:val="24"/>
        </w:rPr>
        <w:t>（7）（其他补充说明）。</w:t>
      </w:r>
    </w:p>
    <w:p>
      <w:pPr>
        <w:adjustRightInd w:val="0"/>
        <w:spacing w:line="360" w:lineRule="auto"/>
        <w:ind w:firstLine="480" w:firstLineChars="200"/>
        <w:jc w:val="left"/>
        <w:rPr>
          <w:rFonts w:hint="eastAsia" w:ascii="宋体" w:hAnsi="宋体" w:eastAsia="宋体" w:cs="宋体"/>
          <w:sz w:val="24"/>
          <w:szCs w:val="24"/>
        </w:rPr>
      </w:pPr>
    </w:p>
    <w:p>
      <w:pPr>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供应商名称：XXX（盖单位公章）</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法定代表人/单位负责人或授权代表（签字或加盖个人印章）：XXX</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通讯地址：XXX</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邮政编码：XXX</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联系电话：XXX</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传真：XXX</w:t>
      </w:r>
    </w:p>
    <w:p>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日期：XXX年XXX月XXX日</w:t>
      </w:r>
      <w:r>
        <w:rPr>
          <w:rFonts w:hint="eastAsia" w:ascii="宋体" w:hAnsi="宋体" w:eastAsia="宋体" w:cs="宋体"/>
          <w:b/>
          <w:bCs/>
          <w:sz w:val="24"/>
          <w:szCs w:val="24"/>
        </w:rPr>
        <w:br w:type="page"/>
      </w:r>
    </w:p>
    <w:p>
      <w:pPr>
        <w:bidi w:val="0"/>
        <w:jc w:val="center"/>
        <w:rPr>
          <w:rFonts w:hint="eastAsia"/>
          <w:b/>
          <w:bCs/>
          <w:sz w:val="24"/>
          <w:szCs w:val="24"/>
        </w:rPr>
      </w:pPr>
      <w:r>
        <w:rPr>
          <w:rFonts w:hint="eastAsia"/>
          <w:b/>
          <w:bCs/>
          <w:sz w:val="24"/>
          <w:szCs w:val="24"/>
        </w:rPr>
        <w:t>二、承诺函（实质性要求）</w:t>
      </w:r>
    </w:p>
    <w:p>
      <w:pPr>
        <w:bidi w:val="0"/>
        <w:rPr>
          <w:rFonts w:hint="eastAsia"/>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XXX（采购代理机构名称）：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我方作为本次采购项目的供应商，根据谈判文件要求，现郑重承诺如下：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一、我方已认真阅读并接受本项目</w:t>
      </w:r>
      <w:r>
        <w:rPr>
          <w:rFonts w:hint="eastAsia" w:ascii="宋体" w:hAnsi="宋体" w:cs="宋体"/>
          <w:sz w:val="24"/>
          <w:szCs w:val="24"/>
          <w:lang w:eastAsia="zh-CN"/>
        </w:rPr>
        <w:t>谈判</w:t>
      </w:r>
      <w:r>
        <w:rPr>
          <w:rFonts w:hint="eastAsia" w:ascii="宋体" w:hAnsi="宋体" w:eastAsia="宋体" w:cs="宋体"/>
          <w:sz w:val="24"/>
          <w:szCs w:val="24"/>
        </w:rPr>
        <w:t>文件的全部实质性要求。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二、在参加本次采购活动中，不存在与单位负责人为同一人或者存在直接控股、管理关系的其他供应商参与同一合同项下的政府采购活动的行为。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三、为采购项目提供整体设计、规范编制或者项目管理、监理、检测等服务的供应商，不得再参加该采购项目的其他采购活动，我方承诺不属于此类禁止参加本项目的供应商。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四、在参加本次采购活动中，不存在和其他供应商在同一合同项下的采购项目中，同时委托同一个自然人、同一家庭的人员、同一单位的人员作为代理人的行为。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五、我方实际控制人或者中高级管理人员或者其他工作人员，不存在同时是采购代理机构工作人员的情形。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六、不存在同一母公司的两家以上的子公司，以不同供应商身份同时参加本项目同一合同项下的采购活动的情形。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七、我方与采购代理机构不存在关联关系，也不是采购代理机构的母公司或子公司。</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八</w:t>
      </w:r>
      <w:r>
        <w:rPr>
          <w:rFonts w:hint="eastAsia" w:ascii="宋体" w:hAnsi="宋体" w:eastAsia="宋体" w:cs="宋体"/>
          <w:sz w:val="24"/>
          <w:szCs w:val="24"/>
        </w:rPr>
        <w:t>、响应文件中提供的任何资料和技术、服务、商务等响应承诺情况都是真实的、有效的、合法的。</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九</w:t>
      </w:r>
      <w:r>
        <w:rPr>
          <w:rFonts w:hint="eastAsia" w:ascii="宋体" w:hAnsi="宋体" w:eastAsia="宋体" w:cs="宋体"/>
          <w:sz w:val="24"/>
          <w:szCs w:val="24"/>
        </w:rPr>
        <w:t>、如本项目谈判采购过程中需要提供样品，则我方提供的样品即为成交后将要提供的成交产品，我方对提供样品的性能和质量负责，因样品存在缺陷或者不符合谈判文件要求导致未能成交的，我方愿意承担相应不利后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十、国家或行业主管部门对工程项目的技术标准、质量标准和资格资质条件等有强制性规定的，我方承诺符合其要求。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cs="宋体"/>
          <w:sz w:val="24"/>
          <w:szCs w:val="24"/>
          <w:lang w:val="en-US" w:eastAsia="zh-CN"/>
        </w:rPr>
        <w:t>一</w:t>
      </w:r>
      <w:r>
        <w:rPr>
          <w:rFonts w:hint="eastAsia" w:ascii="宋体" w:hAnsi="宋体" w:eastAsia="宋体" w:cs="宋体"/>
          <w:sz w:val="24"/>
          <w:szCs w:val="24"/>
        </w:rPr>
        <w:t>、参加本次采购活动，我方完全同意谈判文件第二章关于“谈判费用”、“合同分包”、“合同转包”、“履约保证金”的实质性要求，并承诺严格按照谈判文件要求履行。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cs="宋体"/>
          <w:sz w:val="24"/>
          <w:szCs w:val="24"/>
          <w:lang w:val="en-US" w:eastAsia="zh-CN"/>
        </w:rPr>
        <w:t>二</w:t>
      </w:r>
      <w:r>
        <w:rPr>
          <w:rFonts w:hint="eastAsia" w:ascii="宋体" w:hAnsi="宋体" w:eastAsia="宋体" w:cs="宋体"/>
          <w:sz w:val="24"/>
          <w:szCs w:val="24"/>
        </w:rPr>
        <w:t>、我方保证在本项目使用的任何技术、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cs="宋体"/>
          <w:sz w:val="24"/>
          <w:szCs w:val="24"/>
          <w:lang w:val="en-US" w:eastAsia="zh-CN"/>
        </w:rPr>
        <w:t>三</w:t>
      </w:r>
      <w:r>
        <w:rPr>
          <w:rFonts w:hint="eastAsia" w:ascii="宋体" w:hAnsi="宋体" w:eastAsia="宋体" w:cs="宋体"/>
          <w:sz w:val="24"/>
          <w:szCs w:val="24"/>
        </w:rPr>
        <w:t>、与我方存在直接控股关系的单位为：XXX；存在管理关系单位为：XXX。</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我方对上述承诺的内容事项真实性负责。如经查实上述承诺的内容事项存在虚假，我方愿意接受以提供虚假材料谋取成交的法律责任。</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法定代表人/单位负责人或授权代表（签字或加盖个人印章）：XXX</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供应商名称：XXXX（盖章）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日期：XXX年XXX月XXX日</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bookmarkEnd w:id="115"/>
      <w:bookmarkStart w:id="116" w:name="_Toc217446087"/>
    </w:p>
    <w:p>
      <w:pPr>
        <w:bidi w:val="0"/>
        <w:rPr>
          <w:rFonts w:hint="eastAsia"/>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三、已标价工程量清单</w:t>
      </w:r>
    </w:p>
    <w:p>
      <w:pPr>
        <w:bidi w:val="0"/>
        <w:rPr>
          <w:rFonts w:hint="eastAsia"/>
        </w:rPr>
      </w:pPr>
    </w:p>
    <w:p>
      <w:pPr>
        <w:bidi w:val="0"/>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四、供应商基本情况表</w:t>
      </w:r>
    </w:p>
    <w:tbl>
      <w:tblPr>
        <w:tblStyle w:val="4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7560" w:type="dxa"/>
            <w:gridSpan w:val="11"/>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4680" w:type="dxa"/>
            <w:gridSpan w:val="6"/>
            <w:vAlign w:val="center"/>
          </w:tcPr>
          <w:p>
            <w:pPr>
              <w:spacing w:line="360" w:lineRule="auto"/>
              <w:jc w:val="center"/>
              <w:rPr>
                <w:rFonts w:hint="eastAsia" w:ascii="宋体" w:hAnsi="宋体" w:eastAsia="宋体" w:cs="宋体"/>
                <w:sz w:val="24"/>
                <w:szCs w:val="24"/>
              </w:rPr>
            </w:pPr>
          </w:p>
        </w:tc>
        <w:tc>
          <w:tcPr>
            <w:tcW w:w="126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620" w:type="dxa"/>
            <w:gridSpan w:val="2"/>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0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3600" w:type="dxa"/>
            <w:gridSpan w:val="5"/>
            <w:vAlign w:val="center"/>
          </w:tcPr>
          <w:p>
            <w:pPr>
              <w:spacing w:line="360" w:lineRule="auto"/>
              <w:jc w:val="center"/>
              <w:rPr>
                <w:rFonts w:hint="eastAsia" w:ascii="宋体" w:hAnsi="宋体" w:eastAsia="宋体" w:cs="宋体"/>
                <w:sz w:val="24"/>
                <w:szCs w:val="24"/>
              </w:rPr>
            </w:pPr>
          </w:p>
        </w:tc>
        <w:tc>
          <w:tcPr>
            <w:tcW w:w="126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20" w:type="dxa"/>
            <w:gridSpan w:val="2"/>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spacing w:line="360" w:lineRule="auto"/>
              <w:jc w:val="center"/>
              <w:rPr>
                <w:rFonts w:hint="eastAsia" w:ascii="宋体" w:hAnsi="宋体" w:eastAsia="宋体" w:cs="宋体"/>
                <w:sz w:val="24"/>
                <w:szCs w:val="24"/>
              </w:rPr>
            </w:pPr>
          </w:p>
        </w:tc>
        <w:tc>
          <w:tcPr>
            <w:tcW w:w="108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传真</w:t>
            </w:r>
          </w:p>
        </w:tc>
        <w:tc>
          <w:tcPr>
            <w:tcW w:w="3600" w:type="dxa"/>
            <w:gridSpan w:val="5"/>
            <w:vAlign w:val="center"/>
          </w:tcPr>
          <w:p>
            <w:pPr>
              <w:spacing w:line="360" w:lineRule="auto"/>
              <w:jc w:val="center"/>
              <w:rPr>
                <w:rFonts w:hint="eastAsia" w:ascii="宋体" w:hAnsi="宋体" w:eastAsia="宋体" w:cs="宋体"/>
                <w:sz w:val="24"/>
                <w:szCs w:val="24"/>
              </w:rPr>
            </w:pPr>
          </w:p>
        </w:tc>
        <w:tc>
          <w:tcPr>
            <w:tcW w:w="126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网址</w:t>
            </w:r>
          </w:p>
        </w:tc>
        <w:tc>
          <w:tcPr>
            <w:tcW w:w="1620" w:type="dxa"/>
            <w:gridSpan w:val="2"/>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法定代表人/主要负责人</w:t>
            </w:r>
          </w:p>
        </w:tc>
        <w:tc>
          <w:tcPr>
            <w:tcW w:w="1260"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60" w:type="dxa"/>
            <w:vAlign w:val="center"/>
          </w:tcPr>
          <w:p>
            <w:pPr>
              <w:spacing w:line="360" w:lineRule="auto"/>
              <w:jc w:val="center"/>
              <w:rPr>
                <w:rFonts w:hint="eastAsia" w:ascii="宋体" w:hAnsi="宋体" w:eastAsia="宋体" w:cs="宋体"/>
                <w:sz w:val="24"/>
                <w:szCs w:val="24"/>
              </w:rPr>
            </w:pPr>
          </w:p>
        </w:tc>
        <w:tc>
          <w:tcPr>
            <w:tcW w:w="126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260" w:type="dxa"/>
            <w:gridSpan w:val="3"/>
            <w:vAlign w:val="center"/>
          </w:tcPr>
          <w:p>
            <w:pPr>
              <w:spacing w:line="360" w:lineRule="auto"/>
              <w:jc w:val="center"/>
              <w:rPr>
                <w:rFonts w:hint="eastAsia" w:ascii="宋体" w:hAnsi="宋体" w:eastAsia="宋体" w:cs="宋体"/>
                <w:sz w:val="24"/>
                <w:szCs w:val="24"/>
              </w:rPr>
            </w:pPr>
          </w:p>
        </w:tc>
        <w:tc>
          <w:tcPr>
            <w:tcW w:w="126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6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1260"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60" w:type="dxa"/>
            <w:vAlign w:val="center"/>
          </w:tcPr>
          <w:p>
            <w:pPr>
              <w:spacing w:line="360" w:lineRule="auto"/>
              <w:jc w:val="center"/>
              <w:rPr>
                <w:rFonts w:hint="eastAsia" w:ascii="宋体" w:hAnsi="宋体" w:eastAsia="宋体" w:cs="宋体"/>
                <w:sz w:val="24"/>
                <w:szCs w:val="24"/>
              </w:rPr>
            </w:pPr>
          </w:p>
        </w:tc>
        <w:tc>
          <w:tcPr>
            <w:tcW w:w="126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260" w:type="dxa"/>
            <w:gridSpan w:val="3"/>
            <w:vAlign w:val="center"/>
          </w:tcPr>
          <w:p>
            <w:pPr>
              <w:spacing w:line="360" w:lineRule="auto"/>
              <w:jc w:val="center"/>
              <w:rPr>
                <w:rFonts w:hint="eastAsia" w:ascii="宋体" w:hAnsi="宋体" w:eastAsia="宋体" w:cs="宋体"/>
                <w:sz w:val="24"/>
                <w:szCs w:val="24"/>
              </w:rPr>
            </w:pPr>
          </w:p>
        </w:tc>
        <w:tc>
          <w:tcPr>
            <w:tcW w:w="126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6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2520" w:type="dxa"/>
            <w:gridSpan w:val="3"/>
            <w:vAlign w:val="center"/>
          </w:tcPr>
          <w:p>
            <w:pPr>
              <w:spacing w:line="360" w:lineRule="auto"/>
              <w:jc w:val="center"/>
              <w:rPr>
                <w:rFonts w:hint="eastAsia" w:ascii="宋体" w:hAnsi="宋体" w:eastAsia="宋体" w:cs="宋体"/>
                <w:sz w:val="24"/>
                <w:szCs w:val="24"/>
              </w:rPr>
            </w:pPr>
          </w:p>
        </w:tc>
        <w:tc>
          <w:tcPr>
            <w:tcW w:w="5040" w:type="dxa"/>
            <w:gridSpan w:val="8"/>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企业资质等级</w:t>
            </w:r>
          </w:p>
        </w:tc>
        <w:tc>
          <w:tcPr>
            <w:tcW w:w="2520" w:type="dxa"/>
            <w:gridSpan w:val="3"/>
            <w:vAlign w:val="center"/>
          </w:tcPr>
          <w:p>
            <w:pPr>
              <w:spacing w:line="360" w:lineRule="auto"/>
              <w:jc w:val="center"/>
              <w:rPr>
                <w:rFonts w:hint="eastAsia" w:ascii="宋体" w:hAnsi="宋体" w:eastAsia="宋体" w:cs="宋体"/>
                <w:sz w:val="24"/>
                <w:szCs w:val="24"/>
              </w:rPr>
            </w:pPr>
          </w:p>
        </w:tc>
        <w:tc>
          <w:tcPr>
            <w:tcW w:w="1680" w:type="dxa"/>
            <w:gridSpan w:val="2"/>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其中</w:t>
            </w:r>
          </w:p>
        </w:tc>
        <w:tc>
          <w:tcPr>
            <w:tcW w:w="168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1680" w:type="dxa"/>
            <w:gridSpan w:val="3"/>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2520" w:type="dxa"/>
            <w:gridSpan w:val="3"/>
            <w:vAlign w:val="center"/>
          </w:tcPr>
          <w:p>
            <w:pPr>
              <w:spacing w:line="360" w:lineRule="auto"/>
              <w:jc w:val="center"/>
              <w:rPr>
                <w:rFonts w:hint="eastAsia" w:ascii="宋体" w:hAnsi="宋体" w:eastAsia="宋体" w:cs="宋体"/>
                <w:sz w:val="24"/>
                <w:szCs w:val="24"/>
              </w:rPr>
            </w:pPr>
          </w:p>
        </w:tc>
        <w:tc>
          <w:tcPr>
            <w:tcW w:w="1680" w:type="dxa"/>
            <w:gridSpan w:val="2"/>
            <w:vMerge w:val="continue"/>
            <w:vAlign w:val="center"/>
          </w:tcPr>
          <w:p>
            <w:pPr>
              <w:spacing w:line="360" w:lineRule="auto"/>
              <w:jc w:val="center"/>
              <w:rPr>
                <w:rFonts w:hint="eastAsia" w:ascii="宋体" w:hAnsi="宋体" w:eastAsia="宋体" w:cs="宋体"/>
                <w:sz w:val="24"/>
                <w:szCs w:val="24"/>
              </w:rPr>
            </w:pPr>
          </w:p>
        </w:tc>
        <w:tc>
          <w:tcPr>
            <w:tcW w:w="168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高级职称人员</w:t>
            </w:r>
          </w:p>
        </w:tc>
        <w:tc>
          <w:tcPr>
            <w:tcW w:w="1680" w:type="dxa"/>
            <w:gridSpan w:val="3"/>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2520" w:type="dxa"/>
            <w:gridSpan w:val="3"/>
            <w:vAlign w:val="center"/>
          </w:tcPr>
          <w:p>
            <w:pPr>
              <w:spacing w:line="360" w:lineRule="auto"/>
              <w:jc w:val="center"/>
              <w:rPr>
                <w:rFonts w:hint="eastAsia" w:ascii="宋体" w:hAnsi="宋体" w:eastAsia="宋体" w:cs="宋体"/>
                <w:sz w:val="24"/>
                <w:szCs w:val="24"/>
              </w:rPr>
            </w:pPr>
          </w:p>
        </w:tc>
        <w:tc>
          <w:tcPr>
            <w:tcW w:w="1680" w:type="dxa"/>
            <w:gridSpan w:val="2"/>
            <w:vMerge w:val="continue"/>
            <w:vAlign w:val="center"/>
          </w:tcPr>
          <w:p>
            <w:pPr>
              <w:spacing w:line="360" w:lineRule="auto"/>
              <w:jc w:val="center"/>
              <w:rPr>
                <w:rFonts w:hint="eastAsia" w:ascii="宋体" w:hAnsi="宋体" w:eastAsia="宋体" w:cs="宋体"/>
                <w:sz w:val="24"/>
                <w:szCs w:val="24"/>
              </w:rPr>
            </w:pPr>
          </w:p>
        </w:tc>
        <w:tc>
          <w:tcPr>
            <w:tcW w:w="168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中级职称人员</w:t>
            </w:r>
          </w:p>
        </w:tc>
        <w:tc>
          <w:tcPr>
            <w:tcW w:w="1680" w:type="dxa"/>
            <w:gridSpan w:val="3"/>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2520" w:type="dxa"/>
            <w:gridSpan w:val="3"/>
            <w:vAlign w:val="center"/>
          </w:tcPr>
          <w:p>
            <w:pPr>
              <w:spacing w:line="360" w:lineRule="auto"/>
              <w:jc w:val="center"/>
              <w:rPr>
                <w:rFonts w:hint="eastAsia" w:ascii="宋体" w:hAnsi="宋体" w:eastAsia="宋体" w:cs="宋体"/>
                <w:sz w:val="24"/>
                <w:szCs w:val="24"/>
              </w:rPr>
            </w:pPr>
          </w:p>
        </w:tc>
        <w:tc>
          <w:tcPr>
            <w:tcW w:w="1680" w:type="dxa"/>
            <w:gridSpan w:val="2"/>
            <w:vMerge w:val="continue"/>
            <w:vAlign w:val="center"/>
          </w:tcPr>
          <w:p>
            <w:pPr>
              <w:spacing w:line="360" w:lineRule="auto"/>
              <w:jc w:val="center"/>
              <w:rPr>
                <w:rFonts w:hint="eastAsia" w:ascii="宋体" w:hAnsi="宋体" w:eastAsia="宋体" w:cs="宋体"/>
                <w:sz w:val="24"/>
                <w:szCs w:val="24"/>
              </w:rPr>
            </w:pPr>
          </w:p>
        </w:tc>
        <w:tc>
          <w:tcPr>
            <w:tcW w:w="168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初级职称人员</w:t>
            </w:r>
          </w:p>
        </w:tc>
        <w:tc>
          <w:tcPr>
            <w:tcW w:w="1680" w:type="dxa"/>
            <w:gridSpan w:val="3"/>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账号</w:t>
            </w:r>
          </w:p>
        </w:tc>
        <w:tc>
          <w:tcPr>
            <w:tcW w:w="2520" w:type="dxa"/>
            <w:gridSpan w:val="3"/>
            <w:vAlign w:val="center"/>
          </w:tcPr>
          <w:p>
            <w:pPr>
              <w:spacing w:line="360" w:lineRule="auto"/>
              <w:jc w:val="center"/>
              <w:rPr>
                <w:rFonts w:hint="eastAsia" w:ascii="宋体" w:hAnsi="宋体" w:eastAsia="宋体" w:cs="宋体"/>
                <w:sz w:val="24"/>
                <w:szCs w:val="24"/>
              </w:rPr>
            </w:pPr>
          </w:p>
        </w:tc>
        <w:tc>
          <w:tcPr>
            <w:tcW w:w="1680" w:type="dxa"/>
            <w:gridSpan w:val="2"/>
            <w:vMerge w:val="continue"/>
            <w:vAlign w:val="center"/>
          </w:tcPr>
          <w:p>
            <w:pPr>
              <w:spacing w:line="360" w:lineRule="auto"/>
              <w:jc w:val="center"/>
              <w:rPr>
                <w:rFonts w:hint="eastAsia" w:ascii="宋体" w:hAnsi="宋体" w:eastAsia="宋体" w:cs="宋体"/>
                <w:sz w:val="24"/>
                <w:szCs w:val="24"/>
              </w:rPr>
            </w:pPr>
          </w:p>
        </w:tc>
        <w:tc>
          <w:tcPr>
            <w:tcW w:w="168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技工</w:t>
            </w:r>
          </w:p>
        </w:tc>
        <w:tc>
          <w:tcPr>
            <w:tcW w:w="1680" w:type="dxa"/>
            <w:gridSpan w:val="3"/>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7560" w:type="dxa"/>
            <w:gridSpan w:val="11"/>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7560" w:type="dxa"/>
            <w:gridSpan w:val="11"/>
            <w:vAlign w:val="center"/>
          </w:tcPr>
          <w:p>
            <w:pPr>
              <w:spacing w:line="360" w:lineRule="auto"/>
              <w:jc w:val="center"/>
              <w:rPr>
                <w:rFonts w:hint="eastAsia" w:ascii="宋体" w:hAnsi="宋体" w:eastAsia="宋体" w:cs="宋体"/>
                <w:sz w:val="24"/>
                <w:szCs w:val="24"/>
              </w:rPr>
            </w:pPr>
          </w:p>
        </w:tc>
      </w:tr>
    </w:tbl>
    <w:p>
      <w:pPr>
        <w:adjustRightInd w:val="0"/>
        <w:spacing w:line="360" w:lineRule="auto"/>
        <w:jc w:val="left"/>
        <w:rPr>
          <w:rFonts w:hint="eastAsia" w:ascii="宋体" w:hAnsi="宋体" w:eastAsia="宋体" w:cs="宋体"/>
          <w:sz w:val="24"/>
          <w:szCs w:val="24"/>
        </w:rPr>
      </w:pPr>
    </w:p>
    <w:p>
      <w:pPr>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供应商名称：XXX（盖单位公章）</w:t>
      </w:r>
    </w:p>
    <w:p>
      <w:pPr>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法定代表人/单位负责人或授权代表（签字或加盖个人印章）：XXX</w:t>
      </w:r>
    </w:p>
    <w:p>
      <w:pPr>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日期：XXX年XXX月XXX日</w:t>
      </w:r>
      <w:r>
        <w:rPr>
          <w:rFonts w:hint="eastAsia" w:ascii="宋体" w:hAnsi="宋体" w:eastAsia="宋体" w:cs="宋体"/>
          <w:b/>
          <w:bCs/>
          <w:sz w:val="24"/>
          <w:szCs w:val="24"/>
        </w:rPr>
        <w:br w:type="page"/>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五、中小企业声明函</w:t>
      </w:r>
    </w:p>
    <w:p>
      <w:pPr>
        <w:keepNext w:val="0"/>
        <w:keepLines w:val="0"/>
        <w:widowControl/>
        <w:suppressLineNumbers w:val="0"/>
        <w:wordWrap w:val="0"/>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olor w:val="auto"/>
          <w:kern w:val="0"/>
          <w:sz w:val="24"/>
          <w:szCs w:val="24"/>
          <w:u w:val="single"/>
          <w:lang w:val="en-US" w:eastAsia="zh-CN" w:bidi="ar"/>
        </w:rPr>
        <w:t>（单位名称）</w:t>
      </w:r>
      <w:r>
        <w:rPr>
          <w:rFonts w:hint="eastAsia" w:ascii="宋体" w:hAnsi="宋体" w:eastAsia="宋体" w:cs="宋体"/>
          <w:i w:val="0"/>
          <w:iCs w:val="0"/>
          <w:color w:val="auto"/>
          <w:kern w:val="0"/>
          <w:sz w:val="24"/>
          <w:szCs w:val="24"/>
          <w:lang w:val="en-US" w:eastAsia="zh-CN" w:bidi="ar"/>
        </w:rPr>
        <w:t>的</w:t>
      </w:r>
      <w:r>
        <w:rPr>
          <w:rFonts w:hint="eastAsia" w:ascii="宋体" w:hAnsi="宋体" w:eastAsia="宋体" w:cs="宋体"/>
          <w:i w:val="0"/>
          <w:iCs w:val="0"/>
          <w:color w:val="auto"/>
          <w:kern w:val="0"/>
          <w:sz w:val="24"/>
          <w:szCs w:val="24"/>
          <w:u w:val="single"/>
          <w:lang w:val="en-US" w:eastAsia="zh-CN" w:bidi="ar"/>
        </w:rPr>
        <w:t>（项目名称）</w:t>
      </w:r>
      <w:r>
        <w:rPr>
          <w:rFonts w:hint="eastAsia" w:ascii="宋体" w:hAnsi="宋体" w:eastAsia="宋体" w:cs="宋体"/>
          <w:i w:val="0"/>
          <w:iCs w:val="0"/>
          <w:color w:val="auto"/>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wordWrap w:val="0"/>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u w:val="single"/>
          <w:lang w:val="en-US" w:eastAsia="zh-CN" w:bidi="ar"/>
        </w:rPr>
        <w:t>（标的名称）</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（采购文件中明确的所属行业）</w:t>
      </w:r>
      <w:r>
        <w:rPr>
          <w:rFonts w:hint="eastAsia" w:ascii="宋体" w:hAnsi="宋体" w:eastAsia="宋体" w:cs="宋体"/>
          <w:i w:val="0"/>
          <w:iCs w:val="0"/>
          <w:color w:val="auto"/>
          <w:kern w:val="0"/>
          <w:sz w:val="24"/>
          <w:szCs w:val="24"/>
          <w:lang w:val="en-US" w:eastAsia="zh-CN" w:bidi="ar"/>
        </w:rPr>
        <w:t>；承建（承接）企业为</w:t>
      </w:r>
      <w:r>
        <w:rPr>
          <w:rFonts w:hint="eastAsia" w:ascii="宋体" w:hAnsi="宋体" w:eastAsia="宋体" w:cs="宋体"/>
          <w:i w:val="0"/>
          <w:iCs w:val="0"/>
          <w:color w:val="auto"/>
          <w:kern w:val="0"/>
          <w:sz w:val="24"/>
          <w:szCs w:val="24"/>
          <w:u w:val="single"/>
          <w:lang w:val="en-US" w:eastAsia="zh-CN" w:bidi="ar"/>
        </w:rPr>
        <w:t>（企业名称）</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w:t>
      </w:r>
    </w:p>
    <w:p>
      <w:pPr>
        <w:keepNext w:val="0"/>
        <w:keepLines w:val="0"/>
        <w:widowControl/>
        <w:suppressLineNumbers w:val="0"/>
        <w:wordWrap w:val="0"/>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2.</w:t>
      </w:r>
      <w:r>
        <w:rPr>
          <w:rFonts w:hint="eastAsia" w:ascii="宋体" w:hAnsi="宋体" w:eastAsia="宋体" w:cs="宋体"/>
          <w:i w:val="0"/>
          <w:iCs w:val="0"/>
          <w:color w:val="auto"/>
          <w:kern w:val="0"/>
          <w:sz w:val="24"/>
          <w:szCs w:val="24"/>
          <w:u w:val="single"/>
          <w:lang w:val="en-US" w:eastAsia="zh-CN" w:bidi="ar"/>
        </w:rPr>
        <w:t>（标的名称）</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（采购文件中明确的所属行业）</w:t>
      </w:r>
      <w:r>
        <w:rPr>
          <w:rFonts w:hint="eastAsia" w:ascii="宋体" w:hAnsi="宋体" w:eastAsia="宋体" w:cs="宋体"/>
          <w:i w:val="0"/>
          <w:iCs w:val="0"/>
          <w:color w:val="auto"/>
          <w:kern w:val="0"/>
          <w:sz w:val="24"/>
          <w:szCs w:val="24"/>
          <w:lang w:val="en-US" w:eastAsia="zh-CN" w:bidi="ar"/>
        </w:rPr>
        <w:t>；承建（承接）企业为</w:t>
      </w:r>
      <w:r>
        <w:rPr>
          <w:rFonts w:hint="eastAsia" w:ascii="宋体" w:hAnsi="宋体" w:eastAsia="宋体" w:cs="宋体"/>
          <w:i w:val="0"/>
          <w:iCs w:val="0"/>
          <w:color w:val="auto"/>
          <w:kern w:val="0"/>
          <w:sz w:val="24"/>
          <w:szCs w:val="24"/>
          <w:u w:val="single"/>
          <w:lang w:val="en-US" w:eastAsia="zh-CN" w:bidi="ar"/>
        </w:rPr>
        <w:t>（企业名称）</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w:t>
      </w:r>
    </w:p>
    <w:p>
      <w:pPr>
        <w:keepNext w:val="0"/>
        <w:keepLines w:val="0"/>
        <w:widowControl/>
        <w:suppressLineNumbers w:val="0"/>
        <w:wordWrap w:val="0"/>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w:t>
      </w:r>
    </w:p>
    <w:p>
      <w:pPr>
        <w:keepNext w:val="0"/>
        <w:keepLines w:val="0"/>
        <w:widowControl/>
        <w:suppressLineNumbers w:val="0"/>
        <w:wordWrap w:val="0"/>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wordWrap w:val="0"/>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本企业对上述声明内容的真实性负责。如有虚假，将依法承担相应责任。</w:t>
      </w:r>
    </w:p>
    <w:p>
      <w:pPr>
        <w:keepNext w:val="0"/>
        <w:keepLines w:val="0"/>
        <w:widowControl/>
        <w:suppressLineNumbers w:val="0"/>
        <w:wordWrap w:val="0"/>
        <w:spacing w:line="360" w:lineRule="auto"/>
        <w:jc w:val="left"/>
        <w:rPr>
          <w:rFonts w:hint="eastAsia" w:ascii="宋体" w:hAnsi="宋体" w:eastAsia="宋体" w:cs="宋体"/>
          <w:i w:val="0"/>
          <w:iCs w:val="0"/>
          <w:color w:val="auto"/>
          <w:kern w:val="0"/>
          <w:sz w:val="24"/>
          <w:szCs w:val="24"/>
          <w:lang w:val="en-US" w:eastAsia="zh-CN" w:bidi="ar"/>
        </w:rPr>
      </w:pPr>
    </w:p>
    <w:p>
      <w:pPr>
        <w:keepNext w:val="0"/>
        <w:keepLines w:val="0"/>
        <w:widowControl/>
        <w:suppressLineNumbers w:val="0"/>
        <w:wordWrap w:val="0"/>
        <w:spacing w:line="360" w:lineRule="auto"/>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企业名称（盖章）：</w:t>
      </w:r>
    </w:p>
    <w:p>
      <w:pPr>
        <w:keepNext w:val="0"/>
        <w:keepLines w:val="0"/>
        <w:widowControl/>
        <w:suppressLineNumbers w:val="0"/>
        <w:wordWrap w:val="0"/>
        <w:spacing w:line="360" w:lineRule="auto"/>
        <w:jc w:val="left"/>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日期：</w:t>
      </w:r>
    </w:p>
    <w:p>
      <w:pPr>
        <w:keepNext w:val="0"/>
        <w:keepLines w:val="0"/>
        <w:widowControl/>
        <w:suppressLineNumbers w:val="0"/>
        <w:wordWrap w:val="0"/>
        <w:spacing w:line="360" w:lineRule="auto"/>
        <w:jc w:val="left"/>
        <w:rPr>
          <w:rFonts w:hint="eastAsia" w:ascii="宋体" w:hAnsi="宋体" w:eastAsia="宋体" w:cs="宋体"/>
          <w:i w:val="0"/>
          <w:iCs w:val="0"/>
          <w:color w:val="auto"/>
          <w:kern w:val="0"/>
          <w:sz w:val="24"/>
          <w:szCs w:val="24"/>
          <w:lang w:val="en-US" w:eastAsia="zh-CN" w:bidi="ar"/>
        </w:rPr>
      </w:pPr>
    </w:p>
    <w:p>
      <w:pPr>
        <w:keepNext w:val="0"/>
        <w:keepLines w:val="0"/>
        <w:widowControl/>
        <w:suppressLineNumbers w:val="0"/>
        <w:wordWrap w:val="0"/>
        <w:spacing w:line="360" w:lineRule="auto"/>
        <w:jc w:val="left"/>
        <w:rPr>
          <w:rFonts w:hint="eastAsia" w:ascii="宋体" w:hAnsi="宋体" w:eastAsia="宋体" w:cs="Times New Roman"/>
          <w:color w:val="auto"/>
          <w:sz w:val="24"/>
        </w:rPr>
      </w:pPr>
      <w:r>
        <w:rPr>
          <w:rFonts w:hint="eastAsia" w:ascii="宋体" w:hAnsi="宋体" w:eastAsia="宋体" w:cs="宋体"/>
          <w:i w:val="0"/>
          <w:iCs w:val="0"/>
          <w:color w:val="auto"/>
          <w:kern w:val="0"/>
          <w:sz w:val="24"/>
          <w:szCs w:val="24"/>
          <w:lang w:val="en-US" w:eastAsia="zh-CN" w:bidi="ar"/>
        </w:rPr>
        <w:t>注：从业人员、营业收入、资产总额填报上一年度数据，无上一年度数据的新成立企业可不填报。</w:t>
      </w:r>
    </w:p>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六、残疾人福利性单位声明函</w:t>
      </w:r>
    </w:p>
    <w:p>
      <w:pPr>
        <w:spacing w:line="360" w:lineRule="auto"/>
        <w:rPr>
          <w:rFonts w:hint="eastAsia" w:ascii="宋体" w:hAnsi="宋体" w:eastAsia="宋体" w:cs="宋体"/>
          <w:b/>
          <w:bCs/>
          <w:spacing w:val="6"/>
          <w:sz w:val="24"/>
          <w:szCs w:val="24"/>
        </w:rPr>
      </w:pP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本单位郑重声明，根据《财政部民政部中国残疾人联合会关于促进残疾人就业政府采购政策的通知》（财库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z w:val="24"/>
          <w:szCs w:val="24"/>
          <w:u w:val="single"/>
        </w:rPr>
        <w:t>XXXX</w:t>
      </w:r>
      <w:r>
        <w:rPr>
          <w:rFonts w:hint="eastAsia" w:ascii="宋体" w:hAnsi="宋体" w:eastAsia="宋体" w:cs="宋体"/>
          <w:spacing w:val="6"/>
          <w:sz w:val="24"/>
          <w:szCs w:val="24"/>
        </w:rPr>
        <w:t>单位的</w:t>
      </w:r>
      <w:r>
        <w:rPr>
          <w:rFonts w:hint="eastAsia" w:ascii="宋体" w:hAnsi="宋体" w:eastAsia="宋体" w:cs="宋体"/>
          <w:sz w:val="24"/>
          <w:szCs w:val="24"/>
          <w:u w:val="single"/>
        </w:rPr>
        <w:t>XXXX</w:t>
      </w:r>
      <w:r>
        <w:rPr>
          <w:rFonts w:hint="eastAsia" w:ascii="宋体" w:hAnsi="宋体" w:eastAsia="宋体" w:cs="宋体"/>
          <w:spacing w:val="6"/>
          <w:sz w:val="24"/>
          <w:szCs w:val="24"/>
        </w:rPr>
        <w:t>项目采购活动由本单位承担工程。</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360" w:lineRule="auto"/>
        <w:rPr>
          <w:rFonts w:hint="eastAsia" w:ascii="宋体" w:hAnsi="宋体" w:eastAsia="宋体" w:cs="宋体"/>
          <w:spacing w:val="6"/>
          <w:sz w:val="24"/>
          <w:szCs w:val="24"/>
        </w:rPr>
      </w:pPr>
    </w:p>
    <w:p>
      <w:pPr>
        <w:spacing w:line="360" w:lineRule="auto"/>
        <w:rPr>
          <w:rFonts w:hint="eastAsia" w:ascii="宋体" w:hAnsi="宋体" w:eastAsia="宋体" w:cs="宋体"/>
          <w:spacing w:val="6"/>
          <w:sz w:val="24"/>
          <w:szCs w:val="24"/>
        </w:rPr>
      </w:pP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单位名称：XXXX（盖单位公章）</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法定代表人/单位负责人或授权代表（签字或加盖个人印章）：XXXX</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日期：XXXX</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注：</w:t>
      </w:r>
    </w:p>
    <w:p>
      <w:pPr>
        <w:numPr>
          <w:ilvl w:val="0"/>
          <w:numId w:val="5"/>
        </w:numPr>
        <w:spacing w:after="160" w:line="360" w:lineRule="auto"/>
        <w:rPr>
          <w:rFonts w:hint="eastAsia" w:ascii="宋体" w:hAnsi="宋体" w:eastAsia="宋体" w:cs="宋体"/>
          <w:sz w:val="24"/>
          <w:szCs w:val="24"/>
        </w:rPr>
      </w:pPr>
      <w:r>
        <w:rPr>
          <w:rFonts w:hint="eastAsia" w:ascii="宋体" w:hAnsi="宋体" w:eastAsia="宋体" w:cs="宋体"/>
          <w:sz w:val="24"/>
          <w:szCs w:val="24"/>
        </w:rPr>
        <w:t>残疾人福利性单位视同小型、微型企业，享受预留份额、评审中价格扣除等促进中小企业发展的政府采购政策。残疾人福利性单位属于小型、微型企业的，不重复享受政策。</w:t>
      </w:r>
    </w:p>
    <w:p>
      <w:pPr>
        <w:numPr>
          <w:ilvl w:val="0"/>
          <w:numId w:val="5"/>
        </w:numPr>
        <w:spacing w:after="160" w:line="360" w:lineRule="auto"/>
        <w:rPr>
          <w:rFonts w:hint="eastAsia" w:ascii="宋体" w:hAnsi="宋体" w:eastAsia="宋体" w:cs="宋体"/>
          <w:sz w:val="24"/>
          <w:szCs w:val="24"/>
        </w:rPr>
      </w:pPr>
      <w:r>
        <w:rPr>
          <w:rFonts w:hint="eastAsia" w:ascii="宋体" w:hAnsi="宋体" w:eastAsia="宋体" w:cs="宋体"/>
          <w:sz w:val="24"/>
          <w:szCs w:val="24"/>
        </w:rPr>
        <w:t>供应商为非残疾人福利性单位的，不得提供此声明，提供此声明的，声明无效。</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七、技术、服务、合同条款要求应答表</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795"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谈判</w:t>
            </w:r>
            <w:r>
              <w:rPr>
                <w:rFonts w:hint="eastAsia" w:ascii="宋体" w:hAnsi="宋体" w:cs="宋体"/>
                <w:color w:val="auto"/>
                <w:sz w:val="24"/>
                <w:highlight w:val="none"/>
              </w:rPr>
              <w:t>文件要求</w:t>
            </w:r>
          </w:p>
        </w:tc>
        <w:tc>
          <w:tcPr>
            <w:tcW w:w="2795"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投标应答</w:t>
            </w:r>
          </w:p>
        </w:tc>
        <w:tc>
          <w:tcPr>
            <w:tcW w:w="2795"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cs="宋体"/>
                <w:color w:val="auto"/>
                <w:sz w:val="24"/>
                <w:highlight w:val="none"/>
              </w:rPr>
            </w:pPr>
          </w:p>
        </w:tc>
        <w:tc>
          <w:tcPr>
            <w:tcW w:w="2795" w:type="dxa"/>
            <w:noWrap w:val="0"/>
            <w:vAlign w:val="top"/>
          </w:tcPr>
          <w:p>
            <w:pPr>
              <w:jc w:val="center"/>
              <w:rPr>
                <w:rFonts w:hint="eastAsia" w:ascii="宋体" w:hAnsi="宋体" w:cs="宋体"/>
                <w:color w:val="auto"/>
                <w:sz w:val="24"/>
                <w:highlight w:val="none"/>
              </w:rPr>
            </w:pPr>
          </w:p>
        </w:tc>
        <w:tc>
          <w:tcPr>
            <w:tcW w:w="2795" w:type="dxa"/>
            <w:noWrap w:val="0"/>
            <w:vAlign w:val="top"/>
          </w:tcPr>
          <w:p>
            <w:pPr>
              <w:jc w:val="center"/>
              <w:rPr>
                <w:rFonts w:hint="eastAsia" w:ascii="宋体" w:hAnsi="宋体" w:cs="宋体"/>
                <w:color w:val="auto"/>
                <w:sz w:val="24"/>
                <w:highlight w:val="none"/>
              </w:rPr>
            </w:pPr>
          </w:p>
        </w:tc>
        <w:tc>
          <w:tcPr>
            <w:tcW w:w="2795" w:type="dxa"/>
            <w:noWrap w:val="0"/>
            <w:vAlign w:val="top"/>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cs="宋体"/>
                <w:color w:val="auto"/>
                <w:sz w:val="24"/>
                <w:highlight w:val="none"/>
              </w:rPr>
            </w:pPr>
          </w:p>
        </w:tc>
        <w:tc>
          <w:tcPr>
            <w:tcW w:w="2795" w:type="dxa"/>
            <w:noWrap w:val="0"/>
            <w:vAlign w:val="top"/>
          </w:tcPr>
          <w:p>
            <w:pPr>
              <w:jc w:val="center"/>
              <w:rPr>
                <w:rFonts w:hint="eastAsia" w:ascii="宋体" w:hAnsi="宋体" w:cs="宋体"/>
                <w:color w:val="auto"/>
                <w:sz w:val="24"/>
                <w:highlight w:val="none"/>
              </w:rPr>
            </w:pPr>
          </w:p>
        </w:tc>
        <w:tc>
          <w:tcPr>
            <w:tcW w:w="2795" w:type="dxa"/>
            <w:noWrap w:val="0"/>
            <w:vAlign w:val="top"/>
          </w:tcPr>
          <w:p>
            <w:pPr>
              <w:jc w:val="center"/>
              <w:rPr>
                <w:rFonts w:hint="eastAsia" w:ascii="宋体" w:hAnsi="宋体" w:cs="宋体"/>
                <w:color w:val="auto"/>
                <w:sz w:val="24"/>
                <w:highlight w:val="none"/>
              </w:rPr>
            </w:pPr>
          </w:p>
        </w:tc>
        <w:tc>
          <w:tcPr>
            <w:tcW w:w="2795" w:type="dxa"/>
            <w:noWrap w:val="0"/>
            <w:vAlign w:val="top"/>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cs="宋体"/>
                <w:color w:val="auto"/>
                <w:sz w:val="24"/>
                <w:highlight w:val="none"/>
              </w:rPr>
            </w:pPr>
          </w:p>
        </w:tc>
        <w:tc>
          <w:tcPr>
            <w:tcW w:w="2795" w:type="dxa"/>
            <w:noWrap w:val="0"/>
            <w:vAlign w:val="top"/>
          </w:tcPr>
          <w:p>
            <w:pPr>
              <w:jc w:val="center"/>
              <w:rPr>
                <w:rFonts w:hint="eastAsia" w:ascii="宋体" w:hAnsi="宋体" w:cs="宋体"/>
                <w:color w:val="auto"/>
                <w:sz w:val="24"/>
                <w:highlight w:val="none"/>
              </w:rPr>
            </w:pPr>
          </w:p>
        </w:tc>
        <w:tc>
          <w:tcPr>
            <w:tcW w:w="2795" w:type="dxa"/>
            <w:noWrap w:val="0"/>
            <w:vAlign w:val="top"/>
          </w:tcPr>
          <w:p>
            <w:pPr>
              <w:jc w:val="center"/>
              <w:rPr>
                <w:rFonts w:hint="eastAsia" w:ascii="宋体" w:hAnsi="宋体" w:cs="宋体"/>
                <w:color w:val="auto"/>
                <w:sz w:val="24"/>
                <w:highlight w:val="none"/>
              </w:rPr>
            </w:pPr>
          </w:p>
        </w:tc>
        <w:tc>
          <w:tcPr>
            <w:tcW w:w="2795" w:type="dxa"/>
            <w:noWrap w:val="0"/>
            <w:vAlign w:val="top"/>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cs="宋体"/>
                <w:color w:val="auto"/>
                <w:sz w:val="24"/>
                <w:highlight w:val="none"/>
              </w:rPr>
            </w:pPr>
          </w:p>
        </w:tc>
        <w:tc>
          <w:tcPr>
            <w:tcW w:w="2795" w:type="dxa"/>
            <w:noWrap w:val="0"/>
            <w:vAlign w:val="top"/>
          </w:tcPr>
          <w:p>
            <w:pPr>
              <w:jc w:val="center"/>
              <w:rPr>
                <w:rFonts w:hint="eastAsia" w:ascii="宋体" w:hAnsi="宋体" w:cs="宋体"/>
                <w:color w:val="auto"/>
                <w:sz w:val="24"/>
                <w:highlight w:val="none"/>
              </w:rPr>
            </w:pPr>
          </w:p>
        </w:tc>
        <w:tc>
          <w:tcPr>
            <w:tcW w:w="2795" w:type="dxa"/>
            <w:noWrap w:val="0"/>
            <w:vAlign w:val="top"/>
          </w:tcPr>
          <w:p>
            <w:pPr>
              <w:jc w:val="center"/>
              <w:rPr>
                <w:rFonts w:hint="eastAsia" w:ascii="宋体" w:hAnsi="宋体" w:cs="宋体"/>
                <w:color w:val="auto"/>
                <w:sz w:val="24"/>
                <w:highlight w:val="none"/>
              </w:rPr>
            </w:pPr>
          </w:p>
        </w:tc>
        <w:tc>
          <w:tcPr>
            <w:tcW w:w="2795" w:type="dxa"/>
            <w:noWrap w:val="0"/>
            <w:vAlign w:val="top"/>
          </w:tcPr>
          <w:p>
            <w:pPr>
              <w:jc w:val="center"/>
              <w:rPr>
                <w:rFonts w:hint="eastAsia" w:ascii="宋体" w:hAnsi="宋体" w:cs="宋体"/>
                <w:color w:val="auto"/>
                <w:sz w:val="24"/>
                <w:highlight w:val="none"/>
              </w:rPr>
            </w:pPr>
          </w:p>
        </w:tc>
      </w:tr>
    </w:tbl>
    <w:p>
      <w:pPr>
        <w:spacing w:line="360" w:lineRule="auto"/>
        <w:ind w:firstLine="480" w:firstLineChars="200"/>
        <w:rPr>
          <w:rFonts w:hint="eastAsia" w:ascii="宋体" w:hAnsi="宋体" w:cs="宋体"/>
          <w:color w:val="auto"/>
          <w:sz w:val="24"/>
          <w:highlight w:val="none"/>
        </w:rPr>
      </w:pPr>
    </w:p>
    <w:p>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注：</w:t>
      </w:r>
      <w:r>
        <w:rPr>
          <w:rFonts w:hint="eastAsia" w:ascii="宋体" w:hAnsi="宋体" w:cs="宋体"/>
          <w:bCs/>
          <w:color w:val="auto"/>
          <w:szCs w:val="21"/>
          <w:highlight w:val="none"/>
        </w:rPr>
        <w:t>供应商必须据实填写，不得虚假填写，否则将取消其</w:t>
      </w:r>
      <w:r>
        <w:rPr>
          <w:rFonts w:hint="eastAsia" w:ascii="宋体" w:hAnsi="宋体" w:cs="宋体"/>
          <w:bCs/>
          <w:color w:val="auto"/>
          <w:szCs w:val="21"/>
          <w:highlight w:val="none"/>
          <w:lang w:val="en-US" w:eastAsia="zh-CN"/>
        </w:rPr>
        <w:t>谈判</w:t>
      </w:r>
      <w:r>
        <w:rPr>
          <w:rFonts w:hint="eastAsia" w:ascii="宋体" w:hAnsi="宋体" w:cs="宋体"/>
          <w:bCs/>
          <w:color w:val="auto"/>
          <w:szCs w:val="21"/>
          <w:highlight w:val="none"/>
        </w:rPr>
        <w:t>或</w:t>
      </w:r>
      <w:r>
        <w:rPr>
          <w:rFonts w:hint="eastAsia" w:ascii="宋体" w:hAnsi="宋体" w:cs="宋体"/>
          <w:color w:val="auto"/>
          <w:szCs w:val="21"/>
          <w:highlight w:val="none"/>
        </w:rPr>
        <w:t>成交</w:t>
      </w:r>
      <w:r>
        <w:rPr>
          <w:rFonts w:hint="eastAsia" w:ascii="宋体" w:hAnsi="宋体" w:cs="宋体"/>
          <w:bCs/>
          <w:color w:val="auto"/>
          <w:szCs w:val="21"/>
          <w:highlight w:val="none"/>
        </w:rPr>
        <w:t>资格。</w:t>
      </w:r>
    </w:p>
    <w:p>
      <w:pPr>
        <w:spacing w:line="360" w:lineRule="auto"/>
        <w:ind w:firstLine="420" w:firstLineChars="200"/>
        <w:rPr>
          <w:rFonts w:hint="eastAsia" w:ascii="宋体" w:hAnsi="宋体" w:cs="宋体"/>
          <w:color w:val="auto"/>
          <w:szCs w:val="21"/>
          <w:highlight w:val="none"/>
        </w:rPr>
      </w:pPr>
    </w:p>
    <w:p>
      <w:pPr>
        <w:spacing w:line="360" w:lineRule="auto"/>
        <w:ind w:firstLine="480" w:firstLineChars="200"/>
        <w:rPr>
          <w:rFonts w:hint="eastAsia" w:ascii="宋体" w:hAnsi="宋体" w:cs="宋体"/>
          <w:color w:val="auto"/>
          <w:sz w:val="24"/>
          <w:highlight w:val="none"/>
        </w:rPr>
      </w:pPr>
    </w:p>
    <w:p>
      <w:pPr>
        <w:adjustRightInd w:val="0"/>
        <w:spacing w:line="360" w:lineRule="auto"/>
        <w:ind w:firstLine="480" w:firstLineChars="200"/>
        <w:jc w:val="left"/>
        <w:rPr>
          <w:rFonts w:hint="eastAsia" w:ascii="宋体" w:hAnsi="宋体" w:eastAsia="宋体" w:cs="宋体"/>
          <w:sz w:val="24"/>
          <w:szCs w:val="24"/>
        </w:rPr>
      </w:pPr>
    </w:p>
    <w:p>
      <w:pPr>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供应商名称：XXX（盖单位公章）</w:t>
      </w:r>
    </w:p>
    <w:p>
      <w:pPr>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法定代表人/单位负责人或授权代表（签字或加盖个人印章）：XXX</w:t>
      </w:r>
    </w:p>
    <w:p>
      <w:pPr>
        <w:adjustRightInd w:val="0"/>
        <w:spacing w:line="360" w:lineRule="auto"/>
        <w:ind w:firstLine="540" w:firstLineChars="225"/>
        <w:jc w:val="left"/>
        <w:rPr>
          <w:rFonts w:hint="eastAsia" w:ascii="宋体" w:hAnsi="宋体" w:eastAsia="宋体" w:cs="宋体"/>
          <w:sz w:val="24"/>
          <w:szCs w:val="24"/>
        </w:rPr>
      </w:pPr>
      <w:r>
        <w:rPr>
          <w:rFonts w:hint="eastAsia" w:ascii="宋体" w:hAnsi="宋体" w:eastAsia="宋体" w:cs="宋体"/>
          <w:sz w:val="24"/>
          <w:szCs w:val="24"/>
        </w:rPr>
        <w:t>日期：XXX年XXX月XXX日</w:t>
      </w: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p>
    <w:p>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br w:type="page"/>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八、供应商类似项目业绩一览表</w:t>
      </w:r>
    </w:p>
    <w:p>
      <w:pPr>
        <w:spacing w:line="360" w:lineRule="auto"/>
        <w:rPr>
          <w:rFonts w:hint="eastAsia" w:ascii="宋体" w:hAnsi="宋体" w:eastAsia="宋体" w:cs="宋体"/>
          <w:sz w:val="24"/>
          <w:szCs w:val="24"/>
        </w:rPr>
      </w:pPr>
    </w:p>
    <w:tbl>
      <w:tblPr>
        <w:tblStyle w:val="40"/>
        <w:tblW w:w="10509" w:type="dxa"/>
        <w:jc w:val="center"/>
        <w:tblLayout w:type="fixed"/>
        <w:tblCellMar>
          <w:top w:w="0" w:type="dxa"/>
          <w:left w:w="108" w:type="dxa"/>
          <w:bottom w:w="0" w:type="dxa"/>
          <w:right w:w="108" w:type="dxa"/>
        </w:tblCellMar>
      </w:tblPr>
      <w:tblGrid>
        <w:gridCol w:w="658"/>
        <w:gridCol w:w="1417"/>
        <w:gridCol w:w="1559"/>
        <w:gridCol w:w="1276"/>
        <w:gridCol w:w="1418"/>
        <w:gridCol w:w="1134"/>
        <w:gridCol w:w="1133"/>
        <w:gridCol w:w="1224"/>
        <w:gridCol w:w="690"/>
      </w:tblGrid>
      <w:tr>
        <w:tblPrEx>
          <w:tblCellMar>
            <w:top w:w="0" w:type="dxa"/>
            <w:left w:w="108" w:type="dxa"/>
            <w:bottom w:w="0" w:type="dxa"/>
            <w:right w:w="108" w:type="dxa"/>
          </w:tblCellMar>
        </w:tblPrEx>
        <w:trPr>
          <w:trHeight w:val="60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ind w:left="-69" w:leftChars="-33" w:right="-94" w:rightChars="-45"/>
              <w:jc w:val="center"/>
              <w:rPr>
                <w:rFonts w:hint="eastAsia" w:ascii="宋体" w:hAnsi="宋体" w:eastAsia="宋体" w:cs="宋体"/>
                <w:kern w:val="0"/>
                <w:sz w:val="24"/>
                <w:szCs w:val="24"/>
              </w:rPr>
            </w:pPr>
            <w:r>
              <w:rPr>
                <w:rFonts w:hint="eastAsia" w:ascii="宋体" w:hAnsi="宋体" w:eastAsia="宋体" w:cs="宋体"/>
                <w:kern w:val="0"/>
                <w:sz w:val="24"/>
                <w:szCs w:val="24"/>
              </w:rPr>
              <w:t>项目业主</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工程类别</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开工日期</w:t>
            </w: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竣工日期</w:t>
            </w:r>
          </w:p>
        </w:tc>
        <w:tc>
          <w:tcPr>
            <w:tcW w:w="1133" w:type="dxa"/>
            <w:tcBorders>
              <w:top w:val="single" w:color="auto" w:sz="4" w:space="0"/>
              <w:left w:val="nil"/>
              <w:bottom w:val="single" w:color="auto" w:sz="4" w:space="0"/>
              <w:right w:val="single" w:color="auto" w:sz="4" w:space="0"/>
            </w:tcBorders>
            <w:vAlign w:val="center"/>
          </w:tcPr>
          <w:p>
            <w:pPr>
              <w:widowControl/>
              <w:spacing w:line="360" w:lineRule="auto"/>
              <w:ind w:left="28" w:leftChars="-44" w:right="-94" w:rightChars="-45" w:hanging="120" w:hangingChars="50"/>
              <w:jc w:val="center"/>
              <w:rPr>
                <w:rFonts w:hint="eastAsia" w:ascii="宋体" w:hAnsi="宋体" w:eastAsia="宋体" w:cs="宋体"/>
                <w:kern w:val="0"/>
                <w:sz w:val="24"/>
                <w:szCs w:val="24"/>
              </w:rPr>
            </w:pPr>
            <w:r>
              <w:rPr>
                <w:rFonts w:hint="eastAsia" w:ascii="宋体" w:hAnsi="宋体" w:eastAsia="宋体" w:cs="宋体"/>
                <w:kern w:val="0"/>
                <w:sz w:val="24"/>
                <w:szCs w:val="24"/>
              </w:rPr>
              <w:t>建设规模</w:t>
            </w:r>
          </w:p>
        </w:tc>
        <w:tc>
          <w:tcPr>
            <w:tcW w:w="1224" w:type="dxa"/>
            <w:tcBorders>
              <w:top w:val="single" w:color="auto" w:sz="4" w:space="0"/>
              <w:left w:val="nil"/>
              <w:bottom w:val="single" w:color="auto" w:sz="4" w:space="0"/>
              <w:right w:val="single" w:color="auto" w:sz="4" w:space="0"/>
            </w:tcBorders>
            <w:vAlign w:val="center"/>
          </w:tcPr>
          <w:p>
            <w:pPr>
              <w:widowControl/>
              <w:spacing w:line="360" w:lineRule="auto"/>
              <w:ind w:right="-94" w:rightChars="-45"/>
              <w:jc w:val="center"/>
              <w:rPr>
                <w:rFonts w:hint="eastAsia" w:ascii="宋体" w:hAnsi="宋体" w:eastAsia="宋体" w:cs="宋体"/>
                <w:kern w:val="0"/>
                <w:sz w:val="24"/>
                <w:szCs w:val="24"/>
              </w:rPr>
            </w:pPr>
            <w:r>
              <w:rPr>
                <w:rFonts w:hint="eastAsia" w:ascii="宋体" w:hAnsi="宋体" w:eastAsia="宋体" w:cs="宋体"/>
                <w:kern w:val="0"/>
                <w:sz w:val="24"/>
                <w:szCs w:val="24"/>
              </w:rPr>
              <w:t>合同价格（元）</w:t>
            </w:r>
          </w:p>
        </w:tc>
        <w:tc>
          <w:tcPr>
            <w:tcW w:w="690" w:type="dxa"/>
            <w:tcBorders>
              <w:top w:val="single" w:color="auto" w:sz="4" w:space="0"/>
              <w:left w:val="nil"/>
              <w:bottom w:val="single" w:color="auto" w:sz="4" w:space="0"/>
              <w:right w:val="single" w:color="auto" w:sz="4" w:space="0"/>
            </w:tcBorders>
            <w:vAlign w:val="center"/>
          </w:tcPr>
          <w:p>
            <w:pPr>
              <w:widowControl/>
              <w:spacing w:line="360" w:lineRule="auto"/>
              <w:ind w:right="-94" w:rightChars="-45"/>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CellMar>
            <w:top w:w="0" w:type="dxa"/>
            <w:left w:w="108" w:type="dxa"/>
            <w:bottom w:w="0" w:type="dxa"/>
            <w:right w:w="108" w:type="dxa"/>
          </w:tblCellMar>
        </w:tblPrEx>
        <w:trPr>
          <w:trHeight w:val="60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1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22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690" w:type="dxa"/>
            <w:tcBorders>
              <w:top w:val="single" w:color="auto" w:sz="4" w:space="0"/>
              <w:left w:val="nil"/>
              <w:bottom w:val="single" w:color="auto" w:sz="4" w:space="0"/>
              <w:right w:val="single" w:color="auto" w:sz="4" w:space="0"/>
            </w:tcBorders>
          </w:tcPr>
          <w:p>
            <w:pPr>
              <w:widowControl/>
              <w:spacing w:line="360" w:lineRule="auto"/>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1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22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690" w:type="dxa"/>
            <w:tcBorders>
              <w:top w:val="single" w:color="auto" w:sz="4" w:space="0"/>
              <w:left w:val="nil"/>
              <w:bottom w:val="single" w:color="auto" w:sz="4" w:space="0"/>
              <w:right w:val="single" w:color="auto" w:sz="4" w:space="0"/>
            </w:tcBorders>
          </w:tcPr>
          <w:p>
            <w:pPr>
              <w:widowControl/>
              <w:spacing w:line="360" w:lineRule="auto"/>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1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22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690" w:type="dxa"/>
            <w:tcBorders>
              <w:top w:val="single" w:color="auto" w:sz="4" w:space="0"/>
              <w:left w:val="nil"/>
              <w:bottom w:val="single" w:color="auto" w:sz="4" w:space="0"/>
              <w:right w:val="single" w:color="auto" w:sz="4" w:space="0"/>
            </w:tcBorders>
          </w:tcPr>
          <w:p>
            <w:pPr>
              <w:widowControl/>
              <w:spacing w:line="360" w:lineRule="auto"/>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1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122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p>
        </w:tc>
        <w:tc>
          <w:tcPr>
            <w:tcW w:w="690" w:type="dxa"/>
            <w:tcBorders>
              <w:top w:val="single" w:color="auto" w:sz="4" w:space="0"/>
              <w:left w:val="nil"/>
              <w:bottom w:val="single" w:color="auto" w:sz="4" w:space="0"/>
              <w:right w:val="single" w:color="auto" w:sz="4" w:space="0"/>
            </w:tcBorders>
          </w:tcPr>
          <w:p>
            <w:pPr>
              <w:widowControl/>
              <w:spacing w:line="360" w:lineRule="auto"/>
              <w:jc w:val="center"/>
              <w:rPr>
                <w:rFonts w:hint="eastAsia" w:ascii="宋体" w:hAnsi="宋体" w:eastAsia="宋体" w:cs="宋体"/>
                <w:kern w:val="0"/>
                <w:sz w:val="24"/>
                <w:szCs w:val="24"/>
              </w:rPr>
            </w:pP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left="360"/>
        <w:jc w:val="center"/>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供应商名称：XXXX（盖单位公章）</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 XXXX</w:t>
      </w:r>
    </w:p>
    <w:p>
      <w:pPr>
        <w:widowControl/>
        <w:spacing w:line="360" w:lineRule="auto"/>
        <w:jc w:val="left"/>
        <w:rPr>
          <w:rFonts w:hint="eastAsia" w:ascii="宋体" w:hAnsi="宋体" w:eastAsia="宋体" w:cs="宋体"/>
          <w:b/>
          <w:bCs/>
          <w:sz w:val="24"/>
          <w:szCs w:val="24"/>
        </w:rPr>
      </w:pPr>
      <w:r>
        <w:rPr>
          <w:rFonts w:hint="eastAsia" w:ascii="宋体" w:hAnsi="宋体" w:eastAsia="宋体" w:cs="宋体"/>
          <w:sz w:val="24"/>
          <w:szCs w:val="24"/>
        </w:rPr>
        <w:br w:type="page"/>
      </w:r>
      <w:bookmarkEnd w:id="116"/>
      <w:bookmarkStart w:id="117" w:name="_Toc28334876"/>
    </w:p>
    <w:p>
      <w:pPr>
        <w:bidi w:val="0"/>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九</w:t>
      </w:r>
      <w:r>
        <w:rPr>
          <w:rFonts w:hint="eastAsia" w:ascii="Times New Roman" w:hAnsi="Times New Roman" w:eastAsia="宋体" w:cs="Times New Roman"/>
          <w:b/>
          <w:bCs/>
          <w:sz w:val="24"/>
          <w:szCs w:val="24"/>
        </w:rPr>
        <w:t>、最后报价表</w:t>
      </w:r>
      <w:bookmarkEnd w:id="117"/>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项目名称：XXX</w:t>
      </w:r>
    </w:p>
    <w:p>
      <w:pPr>
        <w:spacing w:line="360" w:lineRule="auto"/>
        <w:rPr>
          <w:rFonts w:hint="eastAsia" w:ascii="宋体" w:hAnsi="宋体" w:eastAsia="宋体" w:cs="宋体"/>
          <w:sz w:val="24"/>
          <w:szCs w:val="24"/>
        </w:rPr>
      </w:pPr>
      <w:r>
        <w:rPr>
          <w:rFonts w:hint="eastAsia" w:ascii="宋体" w:hAnsi="宋体" w:eastAsia="宋体" w:cs="宋体"/>
          <w:sz w:val="24"/>
          <w:szCs w:val="24"/>
        </w:rPr>
        <w:t>项目编号：XXX</w:t>
      </w:r>
    </w:p>
    <w:tbl>
      <w:tblPr>
        <w:tblStyle w:val="40"/>
        <w:tblpPr w:leftFromText="180" w:rightFromText="180" w:vertAnchor="text" w:tblpXSpec="center" w:tblpY="1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528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4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528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采购内容</w:t>
            </w:r>
          </w:p>
        </w:tc>
        <w:tc>
          <w:tcPr>
            <w:tcW w:w="2693"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34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528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XXX</w:t>
            </w:r>
          </w:p>
        </w:tc>
        <w:tc>
          <w:tcPr>
            <w:tcW w:w="2693" w:type="dxa"/>
            <w:vAlign w:val="center"/>
          </w:tcPr>
          <w:p>
            <w:pPr>
              <w:spacing w:line="360" w:lineRule="auto"/>
              <w:ind w:firstLine="748" w:firstLineChars="312"/>
              <w:rPr>
                <w:rFonts w:hint="eastAsia" w:ascii="宋体" w:hAnsi="宋体" w:eastAsia="宋体" w:cs="宋体"/>
                <w:sz w:val="24"/>
                <w:szCs w:val="24"/>
              </w:rPr>
            </w:pPr>
            <w:r>
              <w:rPr>
                <w:rFonts w:hint="eastAsia" w:ascii="宋体" w:hAnsi="宋体" w:eastAsia="宋体" w:cs="宋体"/>
                <w:sz w:val="24"/>
                <w:szCs w:val="24"/>
              </w:rPr>
              <w:t xml:space="preserve"> XX元</w:t>
            </w:r>
          </w:p>
        </w:tc>
      </w:tr>
    </w:tbl>
    <w:p>
      <w:pPr>
        <w:snapToGrid w:val="0"/>
        <w:spacing w:line="360" w:lineRule="auto"/>
        <w:ind w:right="-624" w:rightChars="-297"/>
        <w:rPr>
          <w:rFonts w:hint="eastAsia" w:ascii="宋体" w:hAnsi="宋体" w:eastAsia="宋体" w:cs="宋体"/>
          <w:sz w:val="24"/>
          <w:szCs w:val="24"/>
        </w:rPr>
      </w:pPr>
    </w:p>
    <w:p>
      <w:pPr>
        <w:snapToGrid w:val="0"/>
        <w:spacing w:line="360" w:lineRule="auto"/>
        <w:ind w:right="-624" w:rightChars="-297"/>
        <w:rPr>
          <w:rFonts w:hint="eastAsia" w:ascii="宋体" w:hAnsi="宋体" w:eastAsia="宋体" w:cs="宋体"/>
          <w:sz w:val="24"/>
          <w:szCs w:val="24"/>
        </w:rPr>
      </w:pPr>
    </w:p>
    <w:p>
      <w:pPr>
        <w:pStyle w:val="156"/>
        <w:spacing w:line="360" w:lineRule="auto"/>
        <w:rPr>
          <w:rFonts w:hint="eastAsia" w:ascii="宋体" w:hAnsi="宋体" w:eastAsia="宋体" w:cs="宋体"/>
          <w:sz w:val="24"/>
          <w:szCs w:val="24"/>
        </w:rPr>
      </w:pPr>
      <w:r>
        <w:rPr>
          <w:rFonts w:hint="eastAsia" w:ascii="宋体" w:hAnsi="宋体" w:eastAsia="宋体" w:cs="宋体"/>
          <w:sz w:val="24"/>
          <w:szCs w:val="24"/>
        </w:rPr>
        <w:t>最后报价（大写人民币）：XXXX</w:t>
      </w:r>
    </w:p>
    <w:p>
      <w:pPr>
        <w:pStyle w:val="156"/>
        <w:spacing w:line="360" w:lineRule="auto"/>
        <w:ind w:firstLine="0"/>
        <w:rPr>
          <w:rFonts w:hint="eastAsia" w:ascii="宋体" w:hAnsi="宋体" w:eastAsia="宋体" w:cs="宋体"/>
          <w:sz w:val="24"/>
          <w:szCs w:val="24"/>
        </w:rPr>
      </w:pPr>
    </w:p>
    <w:p>
      <w:pPr>
        <w:pStyle w:val="15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供应商名称：XXXX</w:t>
      </w:r>
    </w:p>
    <w:p>
      <w:pPr>
        <w:pStyle w:val="15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法定代表人或代理人：XXXX（签字）</w:t>
      </w:r>
    </w:p>
    <w:p>
      <w:pPr>
        <w:pStyle w:val="15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日期：XX年XX月XX日</w:t>
      </w:r>
    </w:p>
    <w:p>
      <w:pPr>
        <w:pStyle w:val="156"/>
        <w:spacing w:line="360" w:lineRule="auto"/>
        <w:ind w:firstLine="551"/>
        <w:rPr>
          <w:rFonts w:hint="eastAsia" w:ascii="宋体" w:hAnsi="宋体" w:eastAsia="宋体" w:cs="宋体"/>
          <w:sz w:val="24"/>
          <w:szCs w:val="24"/>
        </w:rPr>
      </w:pPr>
    </w:p>
    <w:p>
      <w:pPr>
        <w:pStyle w:val="156"/>
        <w:spacing w:line="360" w:lineRule="auto"/>
        <w:ind w:firstLine="551"/>
        <w:rPr>
          <w:rFonts w:hint="eastAsia" w:ascii="宋体" w:hAnsi="宋体" w:eastAsia="宋体" w:cs="宋体"/>
          <w:sz w:val="24"/>
          <w:szCs w:val="24"/>
        </w:rPr>
      </w:pPr>
    </w:p>
    <w:p>
      <w:pPr>
        <w:pStyle w:val="156"/>
        <w:spacing w:line="360" w:lineRule="auto"/>
        <w:ind w:firstLine="551"/>
        <w:rPr>
          <w:rFonts w:hint="eastAsia" w:ascii="宋体" w:hAnsi="宋体" w:eastAsia="宋体" w:cs="宋体"/>
          <w:sz w:val="24"/>
          <w:szCs w:val="24"/>
        </w:rPr>
      </w:pPr>
      <w:r>
        <w:rPr>
          <w:rFonts w:hint="eastAsia" w:ascii="宋体" w:hAnsi="宋体" w:eastAsia="宋体" w:cs="宋体"/>
          <w:sz w:val="24"/>
          <w:szCs w:val="24"/>
        </w:rPr>
        <w:t>说明：1、供应商可不在响应文件中填写并提供此表。此表为谈判结束后，由供应商</w:t>
      </w:r>
      <w:r>
        <w:rPr>
          <w:rFonts w:hint="eastAsia" w:ascii="宋体" w:hAnsi="宋体" w:cs="宋体"/>
          <w:sz w:val="24"/>
          <w:szCs w:val="24"/>
          <w:lang w:val="en-US" w:eastAsia="zh-CN"/>
        </w:rPr>
        <w:t>开标现场</w:t>
      </w:r>
      <w:r>
        <w:rPr>
          <w:rFonts w:hint="eastAsia" w:ascii="宋体" w:hAnsi="宋体" w:eastAsia="宋体" w:cs="宋体"/>
          <w:sz w:val="24"/>
          <w:szCs w:val="24"/>
        </w:rPr>
        <w:t>填写“最后报价”，经供应商法定代表人或代理人签字后密封递交给采购代理机构工作人员，由其收集齐后集中递交谈判小组。供应商在响应文件中提交此表的，不影响其响应文件的有效性，其最后报价以谈判结束后提交的“最后报价”为准。</w:t>
      </w:r>
    </w:p>
    <w:p>
      <w:pPr>
        <w:pStyle w:val="156"/>
        <w:spacing w:line="360" w:lineRule="auto"/>
        <w:ind w:firstLine="551"/>
        <w:rPr>
          <w:rFonts w:hint="eastAsia" w:ascii="宋体" w:hAnsi="宋体" w:eastAsia="宋体" w:cs="宋体"/>
          <w:sz w:val="24"/>
          <w:szCs w:val="24"/>
        </w:rPr>
      </w:pPr>
      <w:r>
        <w:rPr>
          <w:rFonts w:hint="eastAsia" w:ascii="宋体" w:hAnsi="宋体" w:eastAsia="宋体" w:cs="宋体"/>
          <w:sz w:val="24"/>
          <w:szCs w:val="24"/>
        </w:rPr>
        <w:t>2、报价应是包括谈判文件规定的全部相应内容的报价。</w:t>
      </w:r>
    </w:p>
    <w:p>
      <w:pPr>
        <w:spacing w:line="360" w:lineRule="auto"/>
        <w:rPr>
          <w:rFonts w:hint="eastAsia" w:ascii="宋体" w:hAnsi="宋体" w:eastAsia="宋体" w:cs="宋体"/>
          <w:sz w:val="24"/>
          <w:szCs w:val="24"/>
        </w:rPr>
      </w:pPr>
    </w:p>
    <w:p>
      <w:pPr>
        <w:pStyle w:val="37"/>
        <w:spacing w:line="360" w:lineRule="auto"/>
        <w:rPr>
          <w:rFonts w:hint="eastAsia" w:ascii="宋体" w:hAnsi="宋体" w:eastAsia="宋体" w:cs="宋体"/>
          <w:sz w:val="24"/>
          <w:szCs w:val="24"/>
        </w:rPr>
      </w:pPr>
      <w:r>
        <w:rPr>
          <w:rFonts w:hint="eastAsia" w:ascii="宋体" w:hAnsi="宋体" w:eastAsia="宋体" w:cs="宋体"/>
          <w:sz w:val="24"/>
          <w:szCs w:val="24"/>
        </w:rPr>
        <w:br w:type="page"/>
      </w:r>
      <w:bookmarkStart w:id="118" w:name="_Toc41037909"/>
      <w:bookmarkStart w:id="119" w:name="_Toc509579147"/>
      <w:r>
        <w:rPr>
          <w:rFonts w:hint="eastAsia" w:ascii="宋体" w:hAnsi="宋体" w:eastAsia="宋体" w:cs="宋体"/>
          <w:sz w:val="24"/>
          <w:szCs w:val="24"/>
        </w:rPr>
        <w:t>第八章  评审方法</w:t>
      </w:r>
      <w:bookmarkEnd w:id="118"/>
      <w:bookmarkEnd w:id="11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bookmarkStart w:id="120" w:name="_Toc101250640"/>
      <w:bookmarkStart w:id="121" w:name="_Toc101338358"/>
      <w:bookmarkStart w:id="122" w:name="_Toc101174146"/>
      <w:bookmarkStart w:id="123" w:name="_Toc209847065"/>
      <w:bookmarkStart w:id="124" w:name="_Toc430773924"/>
      <w:r>
        <w:rPr>
          <w:rFonts w:hint="eastAsia"/>
          <w:sz w:val="24"/>
          <w:szCs w:val="24"/>
        </w:rPr>
        <w:t>1.总则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1.1 根据《中华人民共和国政府采购法》、《中华人民共和国政府采购法实施条例》、《政府采购非招标采购方式管理办法》等法律制度，结合本采购项目特点制定本次谈判采购评审方法。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1.2 谈判工作由采购代理机构负责组织，具体谈判由采购代理机构依法组建的谈判小组负责。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1.3 谈判工作应遵循公平、公正、科学及择优的原则，并以相同的谈判程序和标准对待所有的供应商。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1.4 谈判小组按照谈判文件规定的谈判程序进行评审，并独立履行下列职责：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（一）熟悉和理解谈判文件，确定谈判文件内容是否违反国家有关强制性规定或者谈判文件存在歧义、重大缺陷，根据需要书面要求采购人、采购代理机构对谈判文件作出解释；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（二）审查供应商响应文件是否满足谈判文件要求，并作出公正评价；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（三）根据需要要求供应商对响应文件中含义不明确、同类问题表述不一致或者有明显文字和计算错误的内容等作出必要的澄清、说明或者更正；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（四）推荐成交供应商，或者受采购人委托确定成交供应商；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（五）起草评审报告并进行签署；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（六）向采购人、采购代理机构、财政部门或者其他监督部门报告非法干预评审工作的行为；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（七）法律、法规和规章规定的其他职责。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1.5谈判过程独立、保密。供应商非法干预谈判过程的，其响应文件作无效处理。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2.谈判程序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2.1审查谈判文件和停止评审。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2.1.1 谈判小组正式评审前，应当对谈判文件进行熟悉和理解，内容主要包括谈判文件中供应商资格条件要求、采购项目技术、服务和商务要求、谈判办法和标准、政府采购政策要求以及政府采购合同主要条款等。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2.1.2 本谈判文件有下列情形之一的，谈判小组应当停止评审：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（1）谈判文件的规定存在歧义、重大缺陷，导致评审无法进行的；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（2）谈判文件明显以不合理条件对供应商实行差别待遇或者歧视待遇的；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（3）采购项目属于国家规定的优先、强制采购范围，但是谈判文件未依法体现优先、强制采购相关规定的；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（4）采购项目属于政府采购促进中小企业发展的范围，但是谈判文件未依法体现促进中小企业发展相关规定的；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（5）谈判文件载明的成交原则不合法的；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（6）谈判文件有违反国家其他有关强制性规定的情形。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2.1.3 出现本条2.1.2规定应当停止评审情形的，谈判小组应当向采购组织单位书面书面说明情况。除2.1.2规定的情形外，谈判小组不得以任何方式和理由停止评审。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2.2谈判。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2.2.1谈判小组所有成员集中与单一供应商分别进行一轮或多轮谈判，并给予所有参加谈判的供应商平等的谈判机会。谈判顺序以现场抽签的方式确定。谈判过程中，谈判小组可以根据谈判情况调整谈判轮次。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2.2.2每轮谈判开始前，谈判小组应根据谈判文件的规定，并结合各供应商的响应文件拟定谈判内容。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2.2.3在谈判过程中，谈判小组可以根据谈判文件和谈判情况实质性变动谈判文件的技术、服务要求以及合同草案条款，但不得变动谈判文件中的其他内容。实质性变动的内容，须经采购人代表书面确认。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2.2.4对谈判文件作出的实质性变动是谈判文件的有效组成部分，谈判小组应当及时以书面形式同时通知所有参加谈判的供应商。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2.2.5谈判过程中，谈判文件变动的，供应商应当按照谈判文件的变动情况和谈判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2.2.6</w:t>
      </w:r>
      <w:r>
        <w:rPr>
          <w:rFonts w:hint="eastAsia"/>
          <w:sz w:val="24"/>
          <w:szCs w:val="24"/>
          <w:lang w:val="zh-CN"/>
        </w:rPr>
        <w:t>有效性、完整性和响应程度审查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2.2.6.1谈判过程中，</w:t>
      </w:r>
      <w:r>
        <w:rPr>
          <w:rFonts w:hint="eastAsia"/>
          <w:sz w:val="24"/>
          <w:szCs w:val="24"/>
          <w:lang w:val="zh-CN"/>
        </w:rPr>
        <w:t>谈判小组对供应商首次递交的响应文件进行审查，审查中发现供应商首次响应文件有下列情况之一的，应按照无效响应文件处理：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w:t>
      </w:r>
      <w:r>
        <w:rPr>
          <w:rFonts w:hint="eastAsia"/>
          <w:sz w:val="24"/>
          <w:szCs w:val="24"/>
        </w:rPr>
        <w:t>1</w:t>
      </w:r>
      <w:r>
        <w:rPr>
          <w:rFonts w:hint="eastAsia"/>
          <w:sz w:val="24"/>
          <w:szCs w:val="24"/>
          <w:lang w:val="zh-CN"/>
        </w:rPr>
        <w:t>）响应文件的语言、报价货币、知识产权、响应文件有效期不符合采购文件的规定，影响谈判小组评判的；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（2）响应文件中未附已标价工程量清单。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zh-CN"/>
        </w:rPr>
        <w:t>2.4.6.2经最终谈判后，响应文件仍有下列情况之一的，应按照无效响应文件处理：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w:t>
      </w:r>
      <w:r>
        <w:rPr>
          <w:rFonts w:hint="eastAsia"/>
          <w:sz w:val="24"/>
          <w:szCs w:val="24"/>
          <w:lang w:val="zh-CN"/>
        </w:rPr>
        <w:t>响应文件仍不能实质响应采购文件的实质性要求的；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（2）响应文件仍中有谈判文件规定的其他无效响应情形的。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2.2.6.3谈判小组对响应文件签署、盖章等进行审查过程中，有下列情形的，谈判小组应当评定为不影响整个响应文件有效性和采购活动公平竞争，并通过响应文件的有效性审查：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w:t>
      </w:r>
      <w:r>
        <w:rPr>
          <w:rFonts w:hint="eastAsia"/>
          <w:sz w:val="24"/>
          <w:szCs w:val="24"/>
        </w:rPr>
        <w:t>1</w:t>
      </w:r>
      <w:r>
        <w:rPr>
          <w:rFonts w:hint="eastAsia"/>
          <w:sz w:val="24"/>
          <w:szCs w:val="24"/>
          <w:lang w:val="zh-CN"/>
        </w:rPr>
        <w:t>）响应文件存在个别地方（总数不能超过2个）没有法定代表人/单位负责人签字，但有法定代表人/单位负责人的私人印章或者有效授权代理人签字的，但法定代表人/单位负责人授权书除外；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w:t>
      </w:r>
      <w:r>
        <w:rPr>
          <w:rFonts w:hint="eastAsia"/>
          <w:sz w:val="24"/>
          <w:szCs w:val="24"/>
        </w:rPr>
        <w:t>2</w:t>
      </w:r>
      <w:r>
        <w:rPr>
          <w:rFonts w:hint="eastAsia"/>
          <w:sz w:val="24"/>
          <w:szCs w:val="24"/>
          <w:lang w:val="zh-CN"/>
        </w:rPr>
        <w:t>）响应文件除采购文件明确要求加盖单位(法人)公章的以外，其他地方以相关专用章加盖的；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w:t>
      </w:r>
      <w:r>
        <w:rPr>
          <w:rFonts w:hint="eastAsia"/>
          <w:sz w:val="24"/>
          <w:szCs w:val="24"/>
        </w:rPr>
        <w:t>3</w:t>
      </w:r>
      <w:r>
        <w:rPr>
          <w:rFonts w:hint="eastAsia"/>
          <w:sz w:val="24"/>
          <w:szCs w:val="24"/>
          <w:lang w:val="zh-CN"/>
        </w:rPr>
        <w:t>）以骑缝章的形式代替响应文件内容逐页盖章的（但是骑缝章模糊不清，印章名称无法辨认的除外）。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2.2.6.4谈判小组</w:t>
      </w:r>
      <w:r>
        <w:rPr>
          <w:rFonts w:hint="eastAsia"/>
          <w:sz w:val="24"/>
          <w:szCs w:val="24"/>
          <w:lang w:val="zh-CN"/>
        </w:rPr>
        <w:t>对所有响应文件的有效性、完整性和响应程度进行审查</w:t>
      </w:r>
      <w:r>
        <w:rPr>
          <w:rFonts w:hint="eastAsia"/>
          <w:sz w:val="24"/>
          <w:szCs w:val="24"/>
        </w:rPr>
        <w:t>后，向采购</w:t>
      </w:r>
      <w:r>
        <w:rPr>
          <w:rFonts w:hint="eastAsia"/>
          <w:sz w:val="24"/>
          <w:szCs w:val="24"/>
          <w:lang w:val="zh-CN"/>
        </w:rPr>
        <w:t>代理机构</w:t>
      </w:r>
      <w:r>
        <w:rPr>
          <w:rFonts w:hint="eastAsia"/>
          <w:sz w:val="24"/>
          <w:szCs w:val="24"/>
        </w:rPr>
        <w:t>出具</w:t>
      </w:r>
      <w:r>
        <w:rPr>
          <w:rFonts w:hint="eastAsia"/>
          <w:sz w:val="24"/>
          <w:szCs w:val="24"/>
          <w:lang w:val="zh-CN"/>
        </w:rPr>
        <w:t>有效性、完整性和响应程度</w:t>
      </w:r>
      <w:r>
        <w:rPr>
          <w:rFonts w:hint="eastAsia"/>
          <w:sz w:val="24"/>
          <w:szCs w:val="24"/>
        </w:rPr>
        <w:t>审查报告，确定继续谈判的供应商名单。没有通过</w:t>
      </w:r>
      <w:r>
        <w:rPr>
          <w:rFonts w:hint="eastAsia"/>
          <w:sz w:val="24"/>
          <w:szCs w:val="24"/>
          <w:lang w:val="zh-CN"/>
        </w:rPr>
        <w:t>有效性、完整性和响应程度</w:t>
      </w:r>
      <w:r>
        <w:rPr>
          <w:rFonts w:hint="eastAsia"/>
          <w:sz w:val="24"/>
          <w:szCs w:val="24"/>
        </w:rPr>
        <w:t>审查的供应商，谈判小组应在</w:t>
      </w:r>
      <w:r>
        <w:rPr>
          <w:rFonts w:hint="eastAsia"/>
          <w:sz w:val="24"/>
          <w:szCs w:val="24"/>
          <w:lang w:val="zh-CN"/>
        </w:rPr>
        <w:t>有效性、完整性和响应程度</w:t>
      </w:r>
      <w:r>
        <w:rPr>
          <w:rFonts w:hint="eastAsia"/>
          <w:sz w:val="24"/>
          <w:szCs w:val="24"/>
        </w:rPr>
        <w:t>审查报告中说明原因。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2.2.7谈判过程中，谈判的任何一方不得透露与谈判有关的其他供应商的技术资料、价格和其他信息。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2.2.8谈判过程中，谈判小组发现或者知晓供应商存在违法、违纪行为的，谈判小组应当将该供应商响应文件作无效处理，不允许其提交最后报价。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2.2.9谈判完成后，谈判小组应出具谈判情况记录表，谈判情况记录表需包含谈判内容、谈判意见、实质性变动内容等。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0" w:author="ts" w:date="2018-05-17T10:56:00Z"/>
          <w:rFonts w:hint="eastAsia"/>
          <w:sz w:val="24"/>
          <w:szCs w:val="24"/>
        </w:rPr>
      </w:pPr>
      <w:r>
        <w:rPr>
          <w:rFonts w:hint="eastAsia"/>
          <w:sz w:val="24"/>
          <w:szCs w:val="24"/>
        </w:rPr>
        <w:t>2.3报价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rPr>
        <w:t>2.3.1除首次响应文件中的报价以外，供应商报价采用现场报价。现场报价前，谈判小组应对供应商首次响应文件中的报价（</w:t>
      </w:r>
      <w:r>
        <w:rPr>
          <w:rFonts w:hint="eastAsia"/>
          <w:sz w:val="24"/>
          <w:szCs w:val="24"/>
          <w:lang w:val="zh-CN"/>
        </w:rPr>
        <w:t>已标价工程量清单</w:t>
      </w:r>
      <w:r>
        <w:rPr>
          <w:rFonts w:hint="eastAsia"/>
          <w:sz w:val="24"/>
          <w:szCs w:val="24"/>
        </w:rPr>
        <w:t>）进行评审：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（1）供应商已标价工程量清单出现谈判文件“供应商须知附表”中第5项规定情形之一的，应按照无效响应文件处理；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（2）谈判小组对供应商已标价工程量清单进行算术性复核，如果出现下列不一致的，按以下原则进行修正：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总价金额与依据单价（或费率）计算出的结果不一致的，以单价（或费率）为准修正总价，但单价（或费率）小数点有明显错误的除外（包括但不限于工程量清单、单位工程汇总表、单项工程汇总表、投标报价汇总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修正后的报价经供应商确认后产生约束力，供应商不确认的，其响应文件作为无效处理。供应商确认采取书面且加盖单位公章或者供应商授权代表签字的方式。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不得未经澄清、说明或者更正，直接将供应商响应文件作为无效处理。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（3）谈判小组对供应商已标价工程量清单的项目单价进行评审，对明显不合理的单价（如明显偏高或偏低）项目,应在评审报告中记录，提醒采购人在签订合同时注意，并在合同履行过程中加强风险防范。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2.3.2已标价工程量清单评审结束后，谈判小组应当要求所有实质性响应的供应商在规定时间内提交最后报价或者多轮报价后再最后报价，提交最后报价的供应商不得少于3家。两轮（首次响应文件中的报价为第一轮）以上报价的，供应商在未提高响应文件中承诺的产品及其服务质量的情况下，其最后报价不得高于对该项目之前的报价，否则，谈判小组应当对其响应文件按无效处理，并书面告知供应商，说明理由。谈判小组认为供应商最后报价明显低于成本价，在谈判小组发出质询函后供应商未能提供合理的成本分析和价格构成的或对质函询的解释未被谈判小组采信的，应按照无效响应文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2.3.3参与报价的供应商按谈判小组要求进行报价。最后报价超过竞争性谈判文件规定的政府采购预算（或最高限价）或者相关报价不符合采购文件其他的报价规定的，应按照无效响应文件处理。供应商现场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2.3.4供应商报价应当由法定代表人/主要负责人/本人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2.3.5采购人在谈判文件中直接确定了采购项目采购价格的，供应商的报价应当按照谈判文件中确定了的采购项目采购价格进行报价，不得增加或者减少，否则其报价无效，其响应文件将作为无效处理。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2.3.6 谈判小组应当将供应商的最后报价进行促进中小企业发展的价格扣除和对失信供应商的价格加成后进行排序。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2.4谈判小组复核。供应商最后报价结束后，谈判小组应当进行评审复核，对拟推荐为成交候选供应商的、报价最低的、供应商响应文件作无效处理的重点复核。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2.5推荐成交候选供应商。谈判小组应当根据报价低到高顺序推荐3家以上成交候选供应商，并编写谈判报告。最后报价相同的，成交候选供应商并列，由采购人随机抽签确定成交供应商。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2.6编写谈判报告。谈判小组推荐成交候选供应商后，应向采购代理机构出具谈判报告。谈判报告应当包括以下主要内容：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（1）邀请供应商参加采购活动的具体方式和相关情况；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（2）响应文件开启日期和地点；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（3）获取谈判文件的供应商名单和谈判小组成员名单；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（4）评审情况记录和说明，包括对供应商的资格审查情况、供应商响应文件审查情况、谈判情况、报价情况等；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（5）提出的成交候选供应商的排序名单及理由。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2.7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2.8供应商澄清、说明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2.8.1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2.8.2谈判小组要求供应商澄清、说明或者更正响应文件应当以书面形式作出。供应商的澄清、说明或者更正应当由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2.9终止谈判采购活动。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出现下列情形之一的，采购人或者采购代理机构应当终止竞争性谈判采购活动，发布项目终止公告并说明原因，重新开展采购活动：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（1）因情况变化，不再符合规定的竞争性谈判采购方式适用情形的；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（3）在采购过程中符合要求的供应商或者最后报价未超过采购预算的供应商不足3家的。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2.10谈判活动结束后，发现资格预审过程中资格性审查认定错误的，谈判结果无效，重新开展采购活动，由此给供应商造成损失的，由采购人、采购代理机构承担赔偿责任。但是，经过所有参加采购活动的供应商书面认可，同意重新实行资格性审查的，可以直接重新实行资格性审查，并重新按照规定要求进行谈判评审。</w:t>
      </w:r>
    </w:p>
    <w:bookmarkEnd w:id="120"/>
    <w:bookmarkEnd w:id="121"/>
    <w:bookmarkEnd w:id="122"/>
    <w:bookmarkEnd w:id="123"/>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3.谈判纪律及注意事项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3.1谈判小组内部讨论的情况和意见必须保密，任何人不得以任何形式透露给供应商或与供应商有关的单位或个人。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3.2在谈判过程中，供应商不得以任何形式对谈判小组成员进行旨在影响谈判结果的私下接触，否则将取消其参与谈判的资格。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3.3对各供应商的商业秘密，谈判小组成员应予以保密，不得泄露给其他供应商。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3.4 谈判小组独立评判，推荐成交候选人，并写出书面报告。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3.5 谈判小组可根据需要对供应商进行实地考察。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w:t>
      </w:r>
      <w:bookmarkEnd w:id="124"/>
      <w:r>
        <w:rPr>
          <w:rFonts w:hint="eastAsia"/>
          <w:sz w:val="24"/>
          <w:szCs w:val="24"/>
        </w:rPr>
        <w:t>谈判小组在政府采购活动中承担以下义务：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遵守评审工作纪律；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按照客观、公正、审慎的原则，根据谈判文件规定的评审程序、评审方法和评审标准进行独立评审；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不得泄露评审文件、评审情况和在评审过程中获悉的商业秘密；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及时向财政部门报告评审过程中发现的采购人、采购代理机构向评审专家做倾向性、误导性的解释或者说明，以及供应商行贿、提供虚假材料或者串通等违法行为；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发现谈判文件内容违反国家有关强制性规定或者谈判文件存在歧义、重大缺陷导致评审工作无法进行时，停止评审并向采购人或者采购代理机构书面说明情况；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及时向财政、监察等部门举报在评审过程中受到非法干预的情况；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配合答复处理供应商的询问、质疑和投诉等事项；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法律、法规和规章规定的其他义务。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5.评审专家在政府采购活动中应当遵守以下工作纪律：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不得参加与自己有《中华人民共和国政府采购法实施条例》第九条规定的利害关系的政府采购项目的评审活动。发现参加了与自己有利害关系的评审活动，须主动提出回避，退出评审；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评审前，应当将通讯工具或者相关电子设备交由采购代理机构统一保管；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评审过程中，不得与外界联系，因发生不可预见情况，确实需要与外界联系的，应当在监督人员监督之下办理；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在评审过程中和评审结束后，不得记录、复制或带走任何评审资料，不得向外界透露评审内容；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评审现场服从采购代理机构工作人员的管理，接受现场监督人员的合法监督；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sz w:val="24"/>
          <w:szCs w:val="24"/>
        </w:rPr>
        <w:t>遵守有关廉洁自律规定，不得私下接触供应商，不得收受供应商及有关业务单位和个人的财物或好处，不得接受采购代理机构的请托。</w:t>
      </w:r>
    </w:p>
    <w:p>
      <w:pPr>
        <w:spacing w:line="360" w:lineRule="auto"/>
        <w:rPr>
          <w:rFonts w:hint="eastAsia" w:ascii="宋体" w:hAnsi="宋体" w:eastAsia="宋体" w:cs="宋体"/>
          <w:sz w:val="24"/>
          <w:szCs w:val="24"/>
        </w:rPr>
      </w:pPr>
    </w:p>
    <w:p>
      <w:pPr>
        <w:pStyle w:val="37"/>
        <w:spacing w:line="360" w:lineRule="auto"/>
        <w:rPr>
          <w:rFonts w:hint="eastAsia" w:ascii="宋体" w:hAnsi="宋体" w:eastAsia="宋体" w:cs="宋体"/>
          <w:sz w:val="24"/>
          <w:szCs w:val="24"/>
        </w:rPr>
      </w:pPr>
      <w:r>
        <w:rPr>
          <w:rFonts w:hint="eastAsia" w:ascii="宋体" w:hAnsi="宋体" w:eastAsia="宋体" w:cs="宋体"/>
          <w:sz w:val="24"/>
          <w:szCs w:val="24"/>
        </w:rPr>
        <w:br w:type="page"/>
      </w:r>
      <w:bookmarkStart w:id="125" w:name="_Toc509579148"/>
      <w:bookmarkStart w:id="126" w:name="_Toc41037910"/>
      <w:r>
        <w:rPr>
          <w:rFonts w:hint="eastAsia" w:ascii="宋体" w:hAnsi="宋体" w:eastAsia="宋体" w:cs="宋体"/>
          <w:sz w:val="24"/>
          <w:szCs w:val="24"/>
        </w:rPr>
        <w:t>第九章</w:t>
      </w:r>
      <w:r>
        <w:rPr>
          <w:rFonts w:hint="eastAsia" w:ascii="宋体" w:hAnsi="宋体" w:cs="宋体"/>
          <w:sz w:val="24"/>
          <w:szCs w:val="24"/>
          <w:lang w:val="en-US" w:eastAsia="zh-CN"/>
        </w:rPr>
        <w:t xml:space="preserve">  </w:t>
      </w:r>
      <w:r>
        <w:rPr>
          <w:rFonts w:hint="eastAsia" w:ascii="宋体" w:hAnsi="宋体" w:eastAsia="宋体" w:cs="宋体"/>
          <w:sz w:val="24"/>
          <w:szCs w:val="24"/>
        </w:rPr>
        <w:t>采购合同（草案）</w:t>
      </w:r>
      <w:bookmarkEnd w:id="125"/>
      <w:bookmarkEnd w:id="126"/>
    </w:p>
    <w:bookmarkEnd w:id="109"/>
    <w:bookmarkEnd w:id="110"/>
    <w:bookmarkEnd w:id="111"/>
    <w:p>
      <w:pPr>
        <w:spacing w:line="360" w:lineRule="auto"/>
        <w:ind w:firstLine="480" w:firstLineChars="200"/>
        <w:rPr>
          <w:rFonts w:hint="eastAsia" w:ascii="宋体" w:hAnsi="宋体" w:eastAsia="宋体" w:cs="宋体"/>
          <w:sz w:val="24"/>
          <w:szCs w:val="24"/>
        </w:rPr>
      </w:pPr>
    </w:p>
    <w:bookmarkEnd w:id="57"/>
    <w:p>
      <w:pPr>
        <w:keepNext/>
        <w:keepLines/>
        <w:widowControl w:val="0"/>
        <w:bidi w:val="0"/>
        <w:spacing w:line="360" w:lineRule="auto"/>
        <w:jc w:val="center"/>
        <w:outlineLvl w:val="1"/>
        <w:rPr>
          <w:rFonts w:hint="eastAsia" w:ascii="宋体" w:hAnsi="宋体" w:eastAsia="宋体" w:cs="宋体"/>
          <w:b/>
          <w:bCs/>
          <w:color w:val="auto"/>
          <w:kern w:val="2"/>
          <w:sz w:val="28"/>
          <w:szCs w:val="32"/>
          <w:highlight w:val="none"/>
          <w:lang w:val="en-US" w:eastAsia="zh-CN" w:bidi="ar-SA"/>
        </w:rPr>
      </w:pPr>
      <w:bookmarkStart w:id="127" w:name="PO_默认文件内容_28"/>
      <w:r>
        <w:rPr>
          <w:rFonts w:hint="eastAsia" w:ascii="宋体" w:hAnsi="宋体" w:eastAsia="宋体" w:cs="宋体"/>
          <w:b/>
          <w:bCs/>
          <w:color w:val="auto"/>
          <w:kern w:val="2"/>
          <w:sz w:val="28"/>
          <w:szCs w:val="32"/>
          <w:highlight w:val="none"/>
          <w:lang w:val="en-US" w:eastAsia="zh-CN" w:bidi="ar-SA"/>
        </w:rPr>
        <w:t>第一节 合同协议书</w:t>
      </w:r>
    </w:p>
    <w:p>
      <w:pPr>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发包人（全称）：（甲方）</w:t>
      </w:r>
    </w:p>
    <w:p>
      <w:pPr>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承包人（全称）：（乙方）</w:t>
      </w:r>
    </w:p>
    <w:p>
      <w:pPr>
        <w:spacing w:line="360" w:lineRule="auto"/>
        <w:rPr>
          <w:rFonts w:hint="eastAsia" w:ascii="宋体" w:hAnsi="宋体" w:eastAsia="宋体" w:cs="宋体"/>
          <w:color w:val="auto"/>
          <w:sz w:val="24"/>
          <w:szCs w:val="24"/>
          <w:highlight w:val="none"/>
        </w:rPr>
      </w:pPr>
    </w:p>
    <w:p>
      <w:pPr>
        <w:keepNext/>
        <w:keepLines/>
        <w:widowControl w:val="0"/>
        <w:bidi w:val="0"/>
        <w:spacing w:line="360" w:lineRule="auto"/>
        <w:ind w:leftChars="200"/>
        <w:jc w:val="both"/>
        <w:outlineLvl w:val="2"/>
        <w:rPr>
          <w:rFonts w:hint="eastAsia" w:ascii="宋体" w:hAnsi="宋体" w:eastAsia="宋体" w:cs="Times New Roman"/>
          <w:b/>
          <w:bCs/>
          <w:color w:val="auto"/>
          <w:kern w:val="2"/>
          <w:sz w:val="24"/>
          <w:szCs w:val="32"/>
          <w:highlight w:val="none"/>
          <w:lang w:val="en-US" w:eastAsia="zh-CN" w:bidi="ar-SA"/>
        </w:rPr>
      </w:pPr>
      <w:bookmarkStart w:id="128" w:name="_Toc351203481"/>
      <w:r>
        <w:rPr>
          <w:rFonts w:hint="eastAsia" w:ascii="宋体" w:hAnsi="宋体" w:eastAsia="宋体" w:cs="Times New Roman"/>
          <w:b/>
          <w:bCs/>
          <w:color w:val="auto"/>
          <w:kern w:val="2"/>
          <w:sz w:val="24"/>
          <w:szCs w:val="32"/>
          <w:highlight w:val="none"/>
          <w:lang w:val="en-US" w:eastAsia="zh-CN" w:bidi="ar-SA"/>
        </w:rPr>
        <w:t>一、工程概况</w:t>
      </w:r>
      <w:bookmarkEnd w:id="128"/>
    </w:p>
    <w:p>
      <w:pPr>
        <w:spacing w:line="360" w:lineRule="auto"/>
        <w:ind w:firstLine="470" w:firstLineChars="19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1.工程名称：。</w:t>
      </w:r>
    </w:p>
    <w:p>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2.工程地点：。</w:t>
      </w:r>
    </w:p>
    <w:p>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3.项目编号：。</w:t>
      </w:r>
    </w:p>
    <w:p>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4.工程内容：。</w:t>
      </w:r>
    </w:p>
    <w:p>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5.工程承包范围：。</w:t>
      </w:r>
    </w:p>
    <w:p>
      <w:pPr>
        <w:keepNext/>
        <w:keepLines/>
        <w:widowControl w:val="0"/>
        <w:bidi w:val="0"/>
        <w:spacing w:line="360" w:lineRule="auto"/>
        <w:ind w:leftChars="200"/>
        <w:jc w:val="both"/>
        <w:outlineLvl w:val="2"/>
        <w:rPr>
          <w:rFonts w:hint="eastAsia" w:ascii="宋体" w:hAnsi="宋体" w:eastAsia="宋体" w:cs="Times New Roman"/>
          <w:b/>
          <w:bCs/>
          <w:color w:val="auto"/>
          <w:kern w:val="2"/>
          <w:sz w:val="24"/>
          <w:szCs w:val="32"/>
          <w:highlight w:val="none"/>
          <w:lang w:val="en-US" w:eastAsia="zh-CN" w:bidi="ar-SA"/>
        </w:rPr>
      </w:pPr>
      <w:bookmarkStart w:id="129" w:name="_Toc351203482"/>
      <w:r>
        <w:rPr>
          <w:rFonts w:hint="eastAsia" w:ascii="宋体" w:hAnsi="宋体" w:eastAsia="宋体" w:cs="Times New Roman"/>
          <w:b/>
          <w:bCs/>
          <w:color w:val="auto"/>
          <w:kern w:val="2"/>
          <w:sz w:val="24"/>
          <w:szCs w:val="32"/>
          <w:highlight w:val="none"/>
          <w:lang w:val="en-US" w:eastAsia="zh-CN" w:bidi="ar-SA"/>
        </w:rPr>
        <w:t>二、合同工期</w:t>
      </w:r>
      <w:bookmarkEnd w:id="129"/>
    </w:p>
    <w:p>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计划开工日期：年月日。</w:t>
      </w:r>
    </w:p>
    <w:p>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计划竣工日期：年月日。</w:t>
      </w:r>
    </w:p>
    <w:p>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工期总日历天数：天。工期总日历天数与根据前述计划开竣工日期计算的工期天数不一致的，以工期总日历天数为准。</w:t>
      </w:r>
    </w:p>
    <w:p>
      <w:pPr>
        <w:keepNext/>
        <w:keepLines/>
        <w:widowControl w:val="0"/>
        <w:bidi w:val="0"/>
        <w:spacing w:line="360" w:lineRule="auto"/>
        <w:ind w:leftChars="200"/>
        <w:jc w:val="both"/>
        <w:outlineLvl w:val="2"/>
        <w:rPr>
          <w:rFonts w:hint="eastAsia" w:ascii="宋体" w:hAnsi="宋体" w:eastAsia="宋体" w:cs="Times New Roman"/>
          <w:b/>
          <w:bCs/>
          <w:color w:val="auto"/>
          <w:kern w:val="2"/>
          <w:sz w:val="24"/>
          <w:szCs w:val="32"/>
          <w:highlight w:val="none"/>
          <w:lang w:val="en-US" w:eastAsia="zh-CN" w:bidi="ar-SA"/>
        </w:rPr>
      </w:pPr>
      <w:bookmarkStart w:id="130" w:name="_Toc351203483"/>
      <w:r>
        <w:rPr>
          <w:rFonts w:hint="eastAsia" w:ascii="宋体" w:hAnsi="宋体" w:eastAsia="宋体" w:cs="Times New Roman"/>
          <w:b/>
          <w:bCs/>
          <w:color w:val="auto"/>
          <w:kern w:val="2"/>
          <w:sz w:val="24"/>
          <w:szCs w:val="32"/>
          <w:highlight w:val="none"/>
          <w:lang w:val="en-US" w:eastAsia="zh-CN" w:bidi="ar-SA"/>
        </w:rPr>
        <w:t>三、质量标准</w:t>
      </w:r>
      <w:bookmarkEnd w:id="130"/>
    </w:p>
    <w:p>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工程质量符合标准。</w:t>
      </w:r>
    </w:p>
    <w:p>
      <w:pPr>
        <w:keepNext/>
        <w:keepLines/>
        <w:widowControl w:val="0"/>
        <w:bidi w:val="0"/>
        <w:spacing w:line="360" w:lineRule="auto"/>
        <w:ind w:leftChars="200"/>
        <w:jc w:val="both"/>
        <w:outlineLvl w:val="2"/>
        <w:rPr>
          <w:rFonts w:hint="eastAsia" w:ascii="宋体" w:hAnsi="宋体" w:eastAsia="宋体" w:cs="宋体"/>
          <w:b/>
          <w:bCs/>
          <w:color w:val="auto"/>
          <w:kern w:val="2"/>
          <w:sz w:val="24"/>
          <w:szCs w:val="24"/>
          <w:highlight w:val="none"/>
          <w:lang w:val="en-US" w:eastAsia="zh-CN" w:bidi="ar-SA"/>
        </w:rPr>
      </w:pPr>
      <w:bookmarkStart w:id="131" w:name="_Toc351203484"/>
      <w:r>
        <w:rPr>
          <w:rFonts w:hint="eastAsia" w:ascii="宋体" w:hAnsi="宋体" w:eastAsia="宋体" w:cs="宋体"/>
          <w:b/>
          <w:bCs/>
          <w:color w:val="auto"/>
          <w:kern w:val="2"/>
          <w:sz w:val="24"/>
          <w:szCs w:val="24"/>
          <w:highlight w:val="none"/>
          <w:lang w:val="en-US" w:eastAsia="zh-CN" w:bidi="ar-SA"/>
        </w:rPr>
        <w:t>四、签约合同价与合同价格形式</w:t>
      </w:r>
      <w:bookmarkEnd w:id="131"/>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 (¥元)；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（2）材料和工程设备暂估价金额：</w:t>
      </w:r>
    </w:p>
    <w:p>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 (¥元)；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 (¥元)；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 (¥元)。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w:t>
      </w:r>
    </w:p>
    <w:p>
      <w:pPr>
        <w:keepNext/>
        <w:keepLines/>
        <w:widowControl w:val="0"/>
        <w:bidi w:val="0"/>
        <w:spacing w:line="360" w:lineRule="auto"/>
        <w:ind w:leftChars="200"/>
        <w:jc w:val="both"/>
        <w:outlineLvl w:val="2"/>
        <w:rPr>
          <w:rFonts w:hint="eastAsia" w:ascii="宋体" w:hAnsi="宋体" w:eastAsia="宋体" w:cs="Times New Roman"/>
          <w:b/>
          <w:bCs/>
          <w:color w:val="auto"/>
          <w:kern w:val="2"/>
          <w:sz w:val="24"/>
          <w:szCs w:val="32"/>
          <w:highlight w:val="none"/>
          <w:lang w:val="en-US" w:eastAsia="zh-CN" w:bidi="ar-SA"/>
        </w:rPr>
      </w:pPr>
      <w:bookmarkStart w:id="132" w:name="_Toc351203485"/>
      <w:r>
        <w:rPr>
          <w:rFonts w:hint="eastAsia" w:ascii="宋体" w:hAnsi="宋体" w:eastAsia="宋体" w:cs="Times New Roman"/>
          <w:b/>
          <w:bCs/>
          <w:color w:val="auto"/>
          <w:kern w:val="2"/>
          <w:sz w:val="24"/>
          <w:szCs w:val="32"/>
          <w:highlight w:val="none"/>
          <w:lang w:val="en-US" w:eastAsia="zh-CN" w:bidi="ar-SA"/>
        </w:rPr>
        <w:t>五、</w:t>
      </w:r>
      <w:bookmarkEnd w:id="132"/>
      <w:r>
        <w:rPr>
          <w:rFonts w:hint="eastAsia" w:ascii="宋体" w:hAnsi="宋体" w:eastAsia="宋体" w:cs="Times New Roman"/>
          <w:b/>
          <w:bCs/>
          <w:color w:val="auto"/>
          <w:kern w:val="2"/>
          <w:sz w:val="24"/>
          <w:szCs w:val="32"/>
          <w:highlight w:val="none"/>
          <w:lang w:val="en-US" w:eastAsia="zh-CN" w:bidi="ar-SA"/>
        </w:rPr>
        <w:t>项目经理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p>
    <w:p>
      <w:pPr>
        <w:keepNext/>
        <w:keepLines/>
        <w:widowControl w:val="0"/>
        <w:bidi w:val="0"/>
        <w:spacing w:line="360" w:lineRule="auto"/>
        <w:ind w:leftChars="200"/>
        <w:jc w:val="both"/>
        <w:outlineLvl w:val="2"/>
        <w:rPr>
          <w:rFonts w:hint="eastAsia" w:ascii="宋体" w:hAnsi="宋体" w:eastAsia="宋体" w:cs="Times New Roman"/>
          <w:b/>
          <w:bCs/>
          <w:color w:val="auto"/>
          <w:kern w:val="2"/>
          <w:sz w:val="24"/>
          <w:szCs w:val="32"/>
          <w:highlight w:val="none"/>
          <w:lang w:val="en-US" w:eastAsia="zh-CN" w:bidi="ar-SA"/>
        </w:rPr>
      </w:pPr>
      <w:bookmarkStart w:id="133" w:name="_Toc351203486"/>
      <w:r>
        <w:rPr>
          <w:rFonts w:hint="eastAsia" w:ascii="宋体" w:hAnsi="宋体" w:eastAsia="宋体" w:cs="Times New Roman"/>
          <w:b/>
          <w:bCs/>
          <w:color w:val="auto"/>
          <w:kern w:val="2"/>
          <w:sz w:val="24"/>
          <w:szCs w:val="32"/>
          <w:highlight w:val="none"/>
          <w:lang w:val="en-US" w:eastAsia="zh-CN" w:bidi="ar-SA"/>
        </w:rPr>
        <w:t>六、合同文件构成</w:t>
      </w:r>
      <w:bookmarkEnd w:id="133"/>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（1）成交通知书；</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（2）专用合同条款及其附件；</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（3）通用合同条款；</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rPr>
        <w:t>文件；</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（6）评审报告；</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（7）技术标准和要求；</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（8）图纸；</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（9）已标价工程量清单或预算书；</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（10）其他合同文件。</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keepNext/>
        <w:keepLines/>
        <w:widowControl w:val="0"/>
        <w:bidi w:val="0"/>
        <w:spacing w:line="360" w:lineRule="auto"/>
        <w:ind w:leftChars="200"/>
        <w:jc w:val="both"/>
        <w:outlineLvl w:val="2"/>
        <w:rPr>
          <w:rFonts w:hint="eastAsia" w:ascii="宋体" w:hAnsi="宋体" w:eastAsia="宋体" w:cs="Times New Roman"/>
          <w:b/>
          <w:bCs/>
          <w:color w:val="auto"/>
          <w:kern w:val="2"/>
          <w:sz w:val="24"/>
          <w:szCs w:val="32"/>
          <w:highlight w:val="none"/>
          <w:lang w:val="en-US" w:eastAsia="zh-CN" w:bidi="ar-SA"/>
        </w:rPr>
      </w:pPr>
      <w:bookmarkStart w:id="134" w:name="_Toc351203487"/>
      <w:r>
        <w:rPr>
          <w:rFonts w:hint="eastAsia" w:ascii="宋体" w:hAnsi="宋体" w:eastAsia="宋体" w:cs="Times New Roman"/>
          <w:b/>
          <w:bCs/>
          <w:color w:val="auto"/>
          <w:kern w:val="2"/>
          <w:sz w:val="24"/>
          <w:szCs w:val="32"/>
          <w:highlight w:val="none"/>
          <w:lang w:val="en-US" w:eastAsia="zh-CN" w:bidi="ar-SA"/>
        </w:rPr>
        <w:t>七、承诺</w:t>
      </w:r>
      <w:bookmarkEnd w:id="134"/>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1.发包人承诺按照法律规定履行项目审批手续、筹集工程建设资金并按照合同约定的期限和方式支付合同价款。</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3.发包人和承包人通过招投标形式签订合同的，双方理解并承诺不再就同一工程另行签订与合同实质性内容相背离的协议。</w:t>
      </w:r>
    </w:p>
    <w:p>
      <w:pPr>
        <w:keepNext/>
        <w:keepLines/>
        <w:widowControl w:val="0"/>
        <w:bidi w:val="0"/>
        <w:spacing w:line="360" w:lineRule="auto"/>
        <w:ind w:leftChars="200"/>
        <w:jc w:val="both"/>
        <w:outlineLvl w:val="2"/>
        <w:rPr>
          <w:rFonts w:hint="eastAsia" w:ascii="宋体" w:hAnsi="宋体" w:eastAsia="宋体" w:cs="Times New Roman"/>
          <w:b/>
          <w:bCs/>
          <w:color w:val="auto"/>
          <w:kern w:val="2"/>
          <w:sz w:val="24"/>
          <w:szCs w:val="32"/>
          <w:highlight w:val="none"/>
          <w:lang w:val="en-US" w:eastAsia="zh-CN" w:bidi="ar-SA"/>
        </w:rPr>
      </w:pPr>
      <w:bookmarkStart w:id="135" w:name="_Toc351203488"/>
      <w:r>
        <w:rPr>
          <w:rFonts w:hint="eastAsia" w:ascii="宋体" w:hAnsi="宋体" w:eastAsia="宋体" w:cs="Times New Roman"/>
          <w:b/>
          <w:bCs/>
          <w:color w:val="auto"/>
          <w:kern w:val="2"/>
          <w:sz w:val="24"/>
          <w:szCs w:val="32"/>
          <w:highlight w:val="none"/>
          <w:lang w:val="en-US" w:eastAsia="zh-CN" w:bidi="ar-SA"/>
        </w:rPr>
        <w:t>八、词语含义</w:t>
      </w:r>
      <w:bookmarkEnd w:id="13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本协议书中词语含义与第二部分通用合同条款中赋予的含义相同。</w:t>
      </w:r>
    </w:p>
    <w:p>
      <w:pPr>
        <w:keepNext/>
        <w:keepLines/>
        <w:widowControl w:val="0"/>
        <w:bidi w:val="0"/>
        <w:spacing w:line="360" w:lineRule="auto"/>
        <w:ind w:leftChars="200"/>
        <w:jc w:val="both"/>
        <w:outlineLvl w:val="2"/>
        <w:rPr>
          <w:rFonts w:hint="eastAsia" w:ascii="宋体" w:hAnsi="宋体" w:eastAsia="宋体" w:cs="Times New Roman"/>
          <w:b/>
          <w:bCs/>
          <w:color w:val="auto"/>
          <w:kern w:val="2"/>
          <w:sz w:val="24"/>
          <w:szCs w:val="32"/>
          <w:highlight w:val="none"/>
          <w:lang w:val="en-US" w:eastAsia="zh-CN" w:bidi="ar-SA"/>
        </w:rPr>
      </w:pPr>
      <w:bookmarkStart w:id="136" w:name="_Toc351203489"/>
      <w:r>
        <w:rPr>
          <w:rFonts w:hint="eastAsia" w:ascii="宋体" w:hAnsi="宋体" w:eastAsia="宋体" w:cs="Times New Roman"/>
          <w:b/>
          <w:bCs/>
          <w:color w:val="auto"/>
          <w:kern w:val="2"/>
          <w:sz w:val="24"/>
          <w:szCs w:val="32"/>
          <w:highlight w:val="none"/>
          <w:lang w:val="en-US" w:eastAsia="zh-CN" w:bidi="ar-SA"/>
        </w:rPr>
        <w:t>九、签订时间</w:t>
      </w:r>
      <w:bookmarkEnd w:id="136"/>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本合同于XX年XX月XX日签订。</w:t>
      </w:r>
    </w:p>
    <w:p>
      <w:pPr>
        <w:keepNext/>
        <w:keepLines/>
        <w:widowControl w:val="0"/>
        <w:bidi w:val="0"/>
        <w:spacing w:line="360" w:lineRule="auto"/>
        <w:ind w:leftChars="200"/>
        <w:jc w:val="both"/>
        <w:outlineLvl w:val="2"/>
        <w:rPr>
          <w:rFonts w:hint="eastAsia" w:ascii="宋体" w:hAnsi="宋体" w:eastAsia="宋体" w:cs="Times New Roman"/>
          <w:b/>
          <w:bCs/>
          <w:color w:val="auto"/>
          <w:kern w:val="2"/>
          <w:sz w:val="24"/>
          <w:szCs w:val="32"/>
          <w:highlight w:val="none"/>
          <w:lang w:val="en-US" w:eastAsia="zh-CN" w:bidi="ar-SA"/>
        </w:rPr>
      </w:pPr>
      <w:bookmarkStart w:id="137" w:name="_Toc351203490"/>
      <w:r>
        <w:rPr>
          <w:rFonts w:hint="eastAsia" w:ascii="宋体" w:hAnsi="宋体" w:eastAsia="宋体" w:cs="Times New Roman"/>
          <w:b/>
          <w:bCs/>
          <w:color w:val="auto"/>
          <w:kern w:val="2"/>
          <w:sz w:val="24"/>
          <w:szCs w:val="32"/>
          <w:highlight w:val="none"/>
          <w:lang w:val="en-US" w:eastAsia="zh-CN" w:bidi="ar-SA"/>
        </w:rPr>
        <w:t>十、签订地点</w:t>
      </w:r>
      <w:bookmarkEnd w:id="13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本合同在XXX签订。</w:t>
      </w:r>
    </w:p>
    <w:p>
      <w:pPr>
        <w:keepNext/>
        <w:keepLines/>
        <w:widowControl w:val="0"/>
        <w:bidi w:val="0"/>
        <w:spacing w:line="360" w:lineRule="auto"/>
        <w:ind w:leftChars="200"/>
        <w:jc w:val="both"/>
        <w:outlineLvl w:val="2"/>
        <w:rPr>
          <w:rFonts w:hint="eastAsia" w:ascii="宋体" w:hAnsi="宋体" w:eastAsia="宋体" w:cs="Times New Roman"/>
          <w:b/>
          <w:bCs/>
          <w:color w:val="auto"/>
          <w:kern w:val="2"/>
          <w:sz w:val="24"/>
          <w:szCs w:val="32"/>
          <w:highlight w:val="none"/>
          <w:lang w:val="en-US" w:eastAsia="zh-CN" w:bidi="ar-SA"/>
        </w:rPr>
      </w:pPr>
      <w:bookmarkStart w:id="138" w:name="_Toc351203491"/>
      <w:r>
        <w:rPr>
          <w:rFonts w:hint="eastAsia" w:ascii="宋体" w:hAnsi="宋体" w:eastAsia="宋体" w:cs="Times New Roman"/>
          <w:b/>
          <w:bCs/>
          <w:color w:val="auto"/>
          <w:kern w:val="2"/>
          <w:sz w:val="24"/>
          <w:szCs w:val="32"/>
          <w:highlight w:val="none"/>
          <w:lang w:val="en-US" w:eastAsia="zh-CN" w:bidi="ar-SA"/>
        </w:rPr>
        <w:t>十一、补充协议</w:t>
      </w:r>
      <w:bookmarkEnd w:id="138"/>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合同未尽事宜，合同当事人另行签订补充协议，补充协议是合同的组成部分。</w:t>
      </w:r>
    </w:p>
    <w:p>
      <w:pPr>
        <w:keepNext/>
        <w:keepLines/>
        <w:widowControl w:val="0"/>
        <w:bidi w:val="0"/>
        <w:spacing w:line="360" w:lineRule="auto"/>
        <w:ind w:leftChars="200"/>
        <w:jc w:val="both"/>
        <w:outlineLvl w:val="2"/>
        <w:rPr>
          <w:rFonts w:hint="eastAsia" w:ascii="宋体" w:hAnsi="宋体" w:eastAsia="宋体" w:cs="Times New Roman"/>
          <w:b/>
          <w:bCs/>
          <w:color w:val="auto"/>
          <w:kern w:val="2"/>
          <w:sz w:val="24"/>
          <w:szCs w:val="32"/>
          <w:highlight w:val="none"/>
          <w:lang w:val="en-US" w:eastAsia="zh-CN" w:bidi="ar-SA"/>
        </w:rPr>
      </w:pPr>
      <w:bookmarkStart w:id="139" w:name="_Toc351203492"/>
      <w:r>
        <w:rPr>
          <w:rFonts w:hint="eastAsia" w:ascii="宋体" w:hAnsi="宋体" w:eastAsia="宋体" w:cs="Times New Roman"/>
          <w:b/>
          <w:bCs/>
          <w:color w:val="auto"/>
          <w:kern w:val="2"/>
          <w:sz w:val="24"/>
          <w:szCs w:val="32"/>
          <w:highlight w:val="none"/>
          <w:lang w:val="en-US" w:eastAsia="zh-CN" w:bidi="ar-SA"/>
        </w:rPr>
        <w:t>十二、合同生效</w:t>
      </w:r>
      <w:bookmarkEnd w:id="139"/>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本合同自生效。</w:t>
      </w:r>
    </w:p>
    <w:p>
      <w:pPr>
        <w:keepNext/>
        <w:keepLines/>
        <w:widowControl w:val="0"/>
        <w:bidi w:val="0"/>
        <w:spacing w:line="360" w:lineRule="auto"/>
        <w:ind w:leftChars="200"/>
        <w:jc w:val="both"/>
        <w:outlineLvl w:val="2"/>
        <w:rPr>
          <w:rFonts w:hint="eastAsia" w:ascii="宋体" w:hAnsi="宋体" w:eastAsia="宋体" w:cs="Times New Roman"/>
          <w:b/>
          <w:bCs/>
          <w:color w:val="auto"/>
          <w:kern w:val="2"/>
          <w:sz w:val="24"/>
          <w:szCs w:val="32"/>
          <w:highlight w:val="none"/>
          <w:lang w:val="en-US" w:eastAsia="zh-CN" w:bidi="ar-SA"/>
        </w:rPr>
      </w:pPr>
      <w:bookmarkStart w:id="140" w:name="_Toc351203493"/>
      <w:r>
        <w:rPr>
          <w:rFonts w:hint="eastAsia" w:ascii="宋体" w:hAnsi="宋体" w:eastAsia="宋体" w:cs="Times New Roman"/>
          <w:b/>
          <w:bCs/>
          <w:color w:val="auto"/>
          <w:kern w:val="2"/>
          <w:sz w:val="24"/>
          <w:szCs w:val="32"/>
          <w:highlight w:val="none"/>
          <w:lang w:val="en-US" w:eastAsia="zh-CN" w:bidi="ar-SA"/>
        </w:rPr>
        <w:t>十三、合同份数</w:t>
      </w:r>
      <w:bookmarkEnd w:id="140"/>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val="en-US" w:eastAsia="zh-CN"/>
        </w:rPr>
        <w:t>XX</w:t>
      </w:r>
      <w:r>
        <w:rPr>
          <w:rFonts w:hint="eastAsia" w:ascii="宋体" w:hAnsi="宋体" w:eastAsia="宋体" w:cs="宋体"/>
          <w:color w:val="auto"/>
          <w:sz w:val="24"/>
          <w:szCs w:val="24"/>
          <w:highlight w:val="none"/>
        </w:rPr>
        <w:t>份，均具有同等法律效力，发包人执</w:t>
      </w:r>
      <w:r>
        <w:rPr>
          <w:rFonts w:hint="eastAsia" w:ascii="宋体" w:hAnsi="宋体" w:eastAsia="宋体" w:cs="宋体"/>
          <w:color w:val="auto"/>
          <w:sz w:val="24"/>
          <w:szCs w:val="24"/>
          <w:highlight w:val="none"/>
          <w:lang w:val="en-US" w:eastAsia="zh-CN"/>
        </w:rPr>
        <w:t>XX</w:t>
      </w:r>
      <w:r>
        <w:rPr>
          <w:rFonts w:hint="eastAsia" w:ascii="宋体" w:hAnsi="宋体" w:eastAsia="宋体" w:cs="宋体"/>
          <w:color w:val="auto"/>
          <w:sz w:val="24"/>
          <w:szCs w:val="24"/>
          <w:highlight w:val="none"/>
        </w:rPr>
        <w:t>份，承包人执</w:t>
      </w:r>
      <w:r>
        <w:rPr>
          <w:rFonts w:hint="eastAsia" w:ascii="宋体" w:hAnsi="宋体" w:eastAsia="宋体" w:cs="宋体"/>
          <w:color w:val="auto"/>
          <w:sz w:val="24"/>
          <w:szCs w:val="24"/>
          <w:highlight w:val="none"/>
          <w:lang w:val="en-US" w:eastAsia="zh-CN"/>
        </w:rPr>
        <w:t>XX</w:t>
      </w:r>
      <w:r>
        <w:rPr>
          <w:rFonts w:hint="eastAsia" w:ascii="宋体" w:hAnsi="宋体" w:eastAsia="宋体" w:cs="宋体"/>
          <w:color w:val="auto"/>
          <w:sz w:val="24"/>
          <w:szCs w:val="24"/>
          <w:highlight w:val="none"/>
        </w:rPr>
        <w:t>份。</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发包人：  (公章)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承包人：  (公章)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w:t>
      </w:r>
    </w:p>
    <w:p>
      <w:pPr>
        <w:tabs>
          <w:tab w:val="left" w:pos="441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组织机构代码：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地址：</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邮政编码：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传真：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电子信箱：</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开户银行：</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账号：</w:t>
      </w:r>
    </w:p>
    <w:p>
      <w:pPr>
        <w:spacing w:line="360" w:lineRule="auto"/>
        <w:jc w:val="center"/>
        <w:rPr>
          <w:rFonts w:hint="eastAsia" w:ascii="宋体" w:hAnsi="宋体" w:eastAsia="宋体" w:cs="宋体"/>
          <w:color w:val="auto"/>
          <w:sz w:val="24"/>
          <w:szCs w:val="24"/>
          <w:highlight w:val="none"/>
        </w:rPr>
      </w:pPr>
      <w:bookmarkStart w:id="141" w:name="_Toc351203494"/>
    </w:p>
    <w:p>
      <w:pPr>
        <w:keepNext/>
        <w:keepLines/>
        <w:widowControl w:val="0"/>
        <w:bidi w:val="0"/>
        <w:spacing w:line="360" w:lineRule="auto"/>
        <w:jc w:val="center"/>
        <w:outlineLvl w:val="1"/>
        <w:rPr>
          <w:rFonts w:hint="eastAsia" w:ascii="宋体" w:hAnsi="宋体" w:eastAsia="宋体" w:cs="宋体"/>
          <w:b/>
          <w:bCs/>
          <w:color w:val="auto"/>
          <w:kern w:val="2"/>
          <w:sz w:val="28"/>
          <w:szCs w:val="32"/>
          <w:highlight w:val="none"/>
          <w:lang w:val="en-US" w:eastAsia="zh-CN" w:bidi="ar-SA"/>
        </w:rPr>
      </w:pPr>
      <w:r>
        <w:rPr>
          <w:rFonts w:hint="eastAsia" w:ascii="宋体" w:hAnsi="宋体" w:eastAsia="宋体" w:cs="宋体"/>
          <w:b/>
          <w:bCs/>
          <w:color w:val="auto"/>
          <w:kern w:val="2"/>
          <w:sz w:val="28"/>
          <w:szCs w:val="32"/>
          <w:highlight w:val="none"/>
          <w:lang w:val="en-US" w:eastAsia="zh-CN" w:bidi="ar-SA"/>
        </w:rPr>
        <w:br w:type="page"/>
      </w:r>
      <w:r>
        <w:rPr>
          <w:rFonts w:hint="eastAsia" w:ascii="宋体" w:hAnsi="宋体" w:eastAsia="宋体" w:cs="宋体"/>
          <w:b/>
          <w:bCs/>
          <w:color w:val="auto"/>
          <w:kern w:val="2"/>
          <w:sz w:val="28"/>
          <w:szCs w:val="32"/>
          <w:highlight w:val="none"/>
          <w:lang w:val="en-US" w:eastAsia="zh-CN" w:bidi="ar-SA"/>
        </w:rPr>
        <w:t>第二节 通用合同条款</w:t>
      </w:r>
      <w:bookmarkEnd w:id="141"/>
      <w:bookmarkStart w:id="142" w:name="_Toc337558727"/>
    </w:p>
    <w:bookmarkEnd w:id="142"/>
    <w:p>
      <w:pPr>
        <w:bidi w:val="0"/>
        <w:spacing w:line="360" w:lineRule="auto"/>
        <w:rPr>
          <w:rFonts w:hint="eastAsia" w:ascii="宋体" w:hAnsi="宋体" w:eastAsia="宋体" w:cs="宋体"/>
          <w:color w:val="auto"/>
          <w:sz w:val="24"/>
          <w:szCs w:val="21"/>
          <w:highlight w:val="none"/>
        </w:rPr>
      </w:pPr>
      <w:bookmarkStart w:id="143" w:name="_Toc351203632"/>
      <w:r>
        <w:rPr>
          <w:rFonts w:hint="eastAsia" w:ascii="宋体" w:hAnsi="宋体" w:eastAsia="宋体" w:cs="宋体"/>
          <w:color w:val="auto"/>
          <w:sz w:val="24"/>
          <w:szCs w:val="21"/>
          <w:highlight w:val="none"/>
        </w:rPr>
        <w:t>备注：</w:t>
      </w:r>
    </w:p>
    <w:p>
      <w:pPr>
        <w:bidi w:val="0"/>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1、本项目通用合同条款参照《建设工程施工合同(示范文本)》(GF-2017-0201)通用合同条款执行。</w:t>
      </w:r>
    </w:p>
    <w:p>
      <w:pPr>
        <w:bidi w:val="0"/>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2、如有最新版本，参照最新版本执行。</w:t>
      </w:r>
    </w:p>
    <w:p>
      <w:pPr>
        <w:keepNext/>
        <w:keepLines/>
        <w:widowControl w:val="0"/>
        <w:bidi w:val="0"/>
        <w:spacing w:line="360" w:lineRule="auto"/>
        <w:jc w:val="center"/>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r>
        <w:rPr>
          <w:rFonts w:hint="eastAsia" w:ascii="宋体" w:hAnsi="宋体" w:eastAsia="宋体" w:cs="宋体"/>
          <w:b/>
          <w:bCs/>
          <w:color w:val="auto"/>
          <w:kern w:val="2"/>
          <w:sz w:val="24"/>
          <w:szCs w:val="24"/>
          <w:highlight w:val="none"/>
          <w:lang w:val="en-US" w:eastAsia="zh-CN" w:bidi="ar-SA"/>
        </w:rPr>
        <w:t>第三节 专用合同条款</w:t>
      </w:r>
      <w:bookmarkEnd w:id="143"/>
    </w:p>
    <w:p>
      <w:pPr>
        <w:spacing w:line="360" w:lineRule="auto"/>
        <w:ind w:firstLine="480" w:firstLineChars="200"/>
        <w:rPr>
          <w:rFonts w:hint="eastAsia" w:ascii="宋体" w:hAnsi="宋体" w:eastAsia="宋体" w:cs="宋体"/>
          <w:color w:val="auto"/>
          <w:sz w:val="24"/>
          <w:szCs w:val="24"/>
          <w:highlight w:val="none"/>
        </w:rPr>
      </w:pPr>
      <w:bookmarkStart w:id="144" w:name="_Toc351203633"/>
      <w:r>
        <w:rPr>
          <w:rFonts w:hint="eastAsia" w:ascii="宋体" w:hAnsi="宋体" w:eastAsia="宋体" w:cs="宋体"/>
          <w:color w:val="auto"/>
          <w:sz w:val="24"/>
          <w:szCs w:val="24"/>
          <w:highlight w:val="none"/>
        </w:rPr>
        <w:t>1</w:t>
      </w:r>
      <w:bookmarkStart w:id="145" w:name="_Toc292559361"/>
      <w:bookmarkStart w:id="146" w:name="_Toc296347155"/>
      <w:bookmarkStart w:id="147" w:name="_Toc296890984"/>
      <w:bookmarkStart w:id="148" w:name="_Toc296944495"/>
      <w:bookmarkStart w:id="149" w:name="_Toc296346657"/>
      <w:bookmarkStart w:id="150" w:name="_Toc292559866"/>
      <w:bookmarkStart w:id="151" w:name="_Toc297048342"/>
      <w:bookmarkStart w:id="152" w:name="_Toc296891196"/>
      <w:bookmarkStart w:id="153" w:name="_Toc297120456"/>
      <w:bookmarkStart w:id="154" w:name="_Toc296503156"/>
      <w:r>
        <w:rPr>
          <w:rFonts w:hint="eastAsia" w:ascii="宋体" w:hAnsi="宋体" w:eastAsia="宋体" w:cs="宋体"/>
          <w:color w:val="auto"/>
          <w:sz w:val="24"/>
          <w:szCs w:val="24"/>
          <w:highlight w:val="none"/>
        </w:rPr>
        <w:t>. 一般约定</w:t>
      </w:r>
      <w:bookmarkEnd w:id="144"/>
    </w:p>
    <w:bookmarkEnd w:id="145"/>
    <w:bookmarkEnd w:id="146"/>
    <w:bookmarkEnd w:id="147"/>
    <w:bookmarkEnd w:id="148"/>
    <w:bookmarkEnd w:id="149"/>
    <w:bookmarkEnd w:id="150"/>
    <w:bookmarkEnd w:id="151"/>
    <w:bookmarkEnd w:id="152"/>
    <w:bookmarkEnd w:id="153"/>
    <w:bookmarkEnd w:id="154"/>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1.1.1.1其他合同文件包括：。</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合同当事人及其他相关方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监理人：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设计人：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工程和设备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作为施工现场组成部分的其他场所包括：。</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永久占地包括：。</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临时占地包括：。</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1.4法律</w:t>
      </w:r>
    </w:p>
    <w:p>
      <w:pPr>
        <w:autoSpaceDE w:val="0"/>
        <w:autoSpaceDN w:val="0"/>
        <w:adjustRightInd w:val="0"/>
        <w:spacing w:line="360" w:lineRule="auto"/>
        <w:ind w:left="596" w:leftChars="28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p>
    <w:p>
      <w:pPr>
        <w:autoSpaceDE w:val="0"/>
        <w:autoSpaceDN w:val="0"/>
        <w:adjustRightInd w:val="0"/>
        <w:spacing w:line="360" w:lineRule="auto"/>
        <w:ind w:left="596" w:leftChars="284"/>
        <w:jc w:val="left"/>
        <w:rPr>
          <w:rFonts w:hint="eastAsia" w:ascii="宋体" w:hAnsi="宋体" w:eastAsia="宋体" w:cs="宋体"/>
          <w:color w:val="auto"/>
          <w:sz w:val="24"/>
          <w:szCs w:val="24"/>
          <w:highlight w:val="none"/>
        </w:rPr>
      </w:pP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标准和规范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1.5.1适用于工程的标准规范包括：。</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1.5.2发包人提供国外标准、规范的名称：；</w:t>
      </w:r>
    </w:p>
    <w:p>
      <w:pPr>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发包人提供国外标准、规范的份数：；</w:t>
      </w:r>
    </w:p>
    <w:p>
      <w:pPr>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发包人提供国外标准、规范的名称：。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1.5.3发包人对工程的技术标准和功能要求的特殊要求：。</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合同文件的优先顺序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（1）合同协议书；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（2）成交通知书；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（7）评审报告；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（8）技术标准和要求；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（9）图纸；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（10）已标价工程量清单或预算书；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（11）其他合同文件。</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图纸和承包人文件</w:t>
      </w:r>
      <w:r>
        <w:rPr>
          <w:rFonts w:hint="eastAsia" w:ascii="宋体" w:hAnsi="宋体" w:eastAsia="宋体" w:cs="宋体"/>
          <w:color w:val="auto"/>
          <w:sz w:val="24"/>
          <w:szCs w:val="24"/>
          <w:highlight w:val="none"/>
        </w:rPr>
        <w:tab/>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图纸的提供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承包人文件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需要由承包人提供的文件，包括：；</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现场图纸准备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p>
    <w:p>
      <w:pPr>
        <w:spacing w:line="360" w:lineRule="auto"/>
        <w:ind w:firstLine="480" w:firstLineChars="200"/>
        <w:rPr>
          <w:rFonts w:hint="eastAsia" w:ascii="宋体" w:hAnsi="宋体" w:eastAsia="宋体" w:cs="宋体"/>
          <w:color w:val="auto"/>
          <w:sz w:val="24"/>
          <w:szCs w:val="24"/>
          <w:highlight w:val="none"/>
        </w:rPr>
      </w:pP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联络</w:t>
      </w: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1.8.1发包人和承包人应当在天内将与合同有关的通知、批准、证明、证书、指示、指令、要求、请求、同意、意见、确定和决定等书面函件送达对方当事人。</w:t>
      </w: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发包人接收文件的地点：；</w:t>
      </w: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发包人指定的接收人为：。</w:t>
      </w: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承包人接收文件的地点：；</w:t>
      </w: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承包人指定的接收人为：。</w:t>
      </w: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监理人接收文件的地点：；</w:t>
      </w: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监理人指定的接收人为：。</w:t>
      </w:r>
    </w:p>
    <w:p>
      <w:pPr>
        <w:spacing w:line="360" w:lineRule="auto"/>
        <w:ind w:firstLine="480" w:firstLineChars="200"/>
        <w:rPr>
          <w:rFonts w:hint="eastAsia" w:ascii="宋体" w:hAnsi="宋体" w:eastAsia="宋体" w:cs="宋体"/>
          <w:color w:val="auto"/>
          <w:kern w:val="0"/>
          <w:sz w:val="24"/>
          <w:szCs w:val="24"/>
          <w:highlight w:val="none"/>
        </w:rPr>
      </w:pP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交通运输</w:t>
      </w: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155" w:name="_Toc300934943"/>
      <w:bookmarkStart w:id="156" w:name="_Toc312677986"/>
      <w:bookmarkStart w:id="157" w:name="_Toc304295521"/>
      <w:bookmarkStart w:id="158" w:name="_Toc303539100"/>
      <w:bookmarkStart w:id="159" w:name="_Toc318581155"/>
      <w:r>
        <w:rPr>
          <w:rFonts w:hint="eastAsia" w:ascii="宋体" w:hAnsi="宋体" w:eastAsia="宋体" w:cs="宋体"/>
          <w:color w:val="auto"/>
          <w:sz w:val="24"/>
          <w:szCs w:val="24"/>
          <w:highlight w:val="none"/>
        </w:rPr>
        <w:t>.9.1 出入现场的权利</w:t>
      </w: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p>
    <w:bookmarkEnd w:id="155"/>
    <w:bookmarkEnd w:id="156"/>
    <w:bookmarkEnd w:id="157"/>
    <w:bookmarkEnd w:id="158"/>
    <w:bookmarkEnd w:id="159"/>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160" w:name="_Toc304295522"/>
      <w:bookmarkStart w:id="161" w:name="_Toc300934944"/>
      <w:bookmarkStart w:id="162" w:name="_Toc303539101"/>
      <w:bookmarkStart w:id="163" w:name="_Toc318581156"/>
      <w:bookmarkStart w:id="164" w:name="_Toc312677987"/>
      <w:r>
        <w:rPr>
          <w:rFonts w:hint="eastAsia" w:ascii="宋体" w:hAnsi="宋体" w:eastAsia="宋体" w:cs="宋体"/>
          <w:color w:val="auto"/>
          <w:sz w:val="24"/>
          <w:szCs w:val="24"/>
          <w:highlight w:val="none"/>
        </w:rPr>
        <w:t>.9.2 场内交通</w:t>
      </w: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关于场外交通和场内交通的边界的约定：。</w:t>
      </w: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bookmarkEnd w:id="160"/>
      <w:bookmarkEnd w:id="161"/>
      <w:bookmarkEnd w:id="162"/>
      <w:bookmarkEnd w:id="163"/>
      <w:bookmarkEnd w:id="164"/>
      <w:bookmarkStart w:id="165" w:name="_Toc318581157"/>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超大件和超重件的运输</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运输超大件或超重件所需的道路和桥梁临时加固改造费用和其他有关费用由承担。</w:t>
      </w:r>
    </w:p>
    <w:bookmarkEnd w:id="165"/>
    <w:p>
      <w:pPr>
        <w:bidi w:val="0"/>
        <w:spacing w:line="360" w:lineRule="auto"/>
        <w:rPr>
          <w:rFonts w:hint="eastAsia" w:ascii="宋体" w:hAnsi="宋体" w:eastAsia="宋体" w:cs="宋体"/>
          <w:color w:val="auto"/>
          <w:sz w:val="24"/>
          <w:szCs w:val="21"/>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知识产权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1.10.1关于发包人提供给承包人的图纸、发包人为实施工程自行编制或委托编制的技术规范以及反映发包人关于合同要求或其他类似性质的文件的著作权的归属：。</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 关于承包人为实施工程所编制文件的著作权的归属：。</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承包人在施工过程中所采用的专利、专有技术、技术秘密的使用费的承担方式：。</w:t>
      </w:r>
    </w:p>
    <w:p>
      <w:pPr>
        <w:bidi w:val="0"/>
        <w:spacing w:line="360" w:lineRule="auto"/>
        <w:rPr>
          <w:rFonts w:hint="eastAsia" w:ascii="宋体" w:hAnsi="宋体" w:eastAsia="宋体" w:cs="宋体"/>
          <w:color w:val="auto"/>
          <w:sz w:val="24"/>
          <w:szCs w:val="21"/>
          <w:highlight w:val="none"/>
        </w:rPr>
      </w:pP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1.11工程量清单错误的修正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kern w:val="0"/>
          <w:sz w:val="24"/>
          <w:szCs w:val="24"/>
          <w:highlight w:val="none"/>
        </w:rPr>
        <w:t>。</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kern w:val="0"/>
          <w:sz w:val="24"/>
          <w:szCs w:val="24"/>
          <w:highlight w:val="none"/>
        </w:rPr>
        <w:t>。</w:t>
      </w:r>
    </w:p>
    <w:p>
      <w:pPr>
        <w:spacing w:line="360" w:lineRule="auto"/>
        <w:ind w:firstLine="480" w:firstLineChars="200"/>
        <w:rPr>
          <w:rFonts w:hint="eastAsia" w:ascii="宋体" w:hAnsi="宋体" w:eastAsia="宋体" w:cs="宋体"/>
          <w:color w:val="auto"/>
          <w:kern w:val="0"/>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bookmarkStart w:id="166" w:name="_Toc351203634"/>
      <w:r>
        <w:rPr>
          <w:rFonts w:hint="eastAsia" w:ascii="宋体" w:hAnsi="宋体" w:eastAsia="宋体" w:cs="宋体"/>
          <w:color w:val="auto"/>
          <w:sz w:val="24"/>
          <w:szCs w:val="24"/>
          <w:highlight w:val="none"/>
        </w:rPr>
        <w:t>2</w:t>
      </w:r>
      <w:bookmarkStart w:id="167" w:name="_Toc296503157"/>
      <w:bookmarkStart w:id="168" w:name="_Toc297048343"/>
      <w:bookmarkStart w:id="169" w:name="_Toc292559362"/>
      <w:bookmarkStart w:id="170" w:name="_Toc296944496"/>
      <w:bookmarkStart w:id="171" w:name="_Toc296346658"/>
      <w:bookmarkStart w:id="172" w:name="_Toc296890985"/>
      <w:bookmarkStart w:id="173" w:name="_Toc297120457"/>
      <w:bookmarkStart w:id="174" w:name="_Toc296891197"/>
      <w:bookmarkStart w:id="175" w:name="_Toc292559867"/>
      <w:bookmarkStart w:id="176" w:name="_Toc296347156"/>
      <w:r>
        <w:rPr>
          <w:rFonts w:hint="eastAsia" w:ascii="宋体" w:hAnsi="宋体" w:eastAsia="宋体" w:cs="宋体"/>
          <w:color w:val="auto"/>
          <w:sz w:val="24"/>
          <w:szCs w:val="24"/>
          <w:highlight w:val="none"/>
        </w:rPr>
        <w:t>. 发包人</w:t>
      </w:r>
      <w:bookmarkEnd w:id="166"/>
    </w:p>
    <w:bookmarkEnd w:id="167"/>
    <w:bookmarkEnd w:id="168"/>
    <w:bookmarkEnd w:id="169"/>
    <w:bookmarkEnd w:id="170"/>
    <w:bookmarkEnd w:id="171"/>
    <w:bookmarkEnd w:id="172"/>
    <w:bookmarkEnd w:id="173"/>
    <w:bookmarkEnd w:id="174"/>
    <w:bookmarkEnd w:id="175"/>
    <w:bookmarkEnd w:id="176"/>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发包人代表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发包人对发包人代表的授权范围如下：。</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施工现场、施工条件和基础资料的提供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提供施工现场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关于发包人应负责提供施工所需要的条件，包括：</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（1）将施工所需的水、电、通讯线路接至施工场地的时间、地点和供应要求：。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（2）施工场地与公共道路通道开通的时间和要求：。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（3）工程地质和地下管线资料的提供时间：。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（4）由发包人办理的施工所需所证、批件的名称和完成时间：。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（5）水准点与座标控制制点交验要求：。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（6）图纸会审和设计交底时间：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（7）协调处理施工场地周围地下管线和邻近建筑物、构筑物（含文物保护建筑）、古树名木的保护工作：。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（8）发包人应做的其他工作：。</w:t>
      </w:r>
    </w:p>
    <w:p>
      <w:pPr>
        <w:bidi w:val="0"/>
        <w:spacing w:line="360" w:lineRule="auto"/>
        <w:rPr>
          <w:rFonts w:hint="eastAsia" w:ascii="宋体" w:hAnsi="宋体" w:eastAsia="宋体" w:cs="宋体"/>
          <w:color w:val="auto"/>
          <w:sz w:val="24"/>
          <w:szCs w:val="21"/>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资金来源证明及支付担保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发包人提供支付担保的形式：。</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bookmarkStart w:id="177" w:name="_Toc351203635"/>
      <w:r>
        <w:rPr>
          <w:rFonts w:hint="eastAsia" w:ascii="宋体" w:hAnsi="宋体" w:eastAsia="宋体" w:cs="宋体"/>
          <w:color w:val="auto"/>
          <w:sz w:val="24"/>
          <w:szCs w:val="24"/>
          <w:highlight w:val="none"/>
        </w:rPr>
        <w:t>3</w:t>
      </w:r>
      <w:bookmarkStart w:id="178" w:name="_Toc296891198"/>
      <w:bookmarkStart w:id="179" w:name="_Toc296503158"/>
      <w:bookmarkStart w:id="180" w:name="_Toc296347157"/>
      <w:bookmarkStart w:id="181" w:name="_Toc297048344"/>
      <w:bookmarkStart w:id="182" w:name="_Toc296890986"/>
      <w:bookmarkStart w:id="183" w:name="_Toc296346659"/>
      <w:bookmarkStart w:id="184" w:name="_Toc292559363"/>
      <w:bookmarkStart w:id="185" w:name="_Toc296944497"/>
      <w:bookmarkStart w:id="186" w:name="_Toc297120458"/>
      <w:bookmarkStart w:id="187" w:name="_Toc292559868"/>
      <w:r>
        <w:rPr>
          <w:rFonts w:hint="eastAsia" w:ascii="宋体" w:hAnsi="宋体" w:eastAsia="宋体" w:cs="宋体"/>
          <w:color w:val="auto"/>
          <w:sz w:val="24"/>
          <w:szCs w:val="24"/>
          <w:highlight w:val="none"/>
        </w:rPr>
        <w:t>. 承包人</w:t>
      </w:r>
      <w:bookmarkEnd w:id="177"/>
    </w:p>
    <w:bookmarkEnd w:id="178"/>
    <w:bookmarkEnd w:id="179"/>
    <w:bookmarkEnd w:id="180"/>
    <w:bookmarkEnd w:id="181"/>
    <w:bookmarkEnd w:id="182"/>
    <w:bookmarkEnd w:id="183"/>
    <w:bookmarkEnd w:id="184"/>
    <w:bookmarkEnd w:id="185"/>
    <w:bookmarkEnd w:id="186"/>
    <w:bookmarkEnd w:id="187"/>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（1）承包人提交的竣工资料的内容：。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（2）承包人应履行的其他义务：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完成深化设计文件提交时间：。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应提供计划、报表的名称及完成时间：。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承担施工安全保卫工作及非夜间施工照明的责任和要求：。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向发包人提供的办公和生活房屋及设施的要求：无。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需承包人办理的有关施工场地交通、环卫和施工噪音管理手续：。</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已完工程成品保护的特殊要求及费用承担：。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施工场地周围地下管线和邻近建筑物、构筑物（含文物保护建筑）、古树名木的保护要求及费用承担：。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施工场地清洁卫生的要求：。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消防相关工程、资料完善并确保通过消防验收。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按合同约定支付竣工结算效益审计费用。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承包人应按有关法律规定纳税，应缴纳的税金包括在合同价格内。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双方约定承包人应做的其他工作：。</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项目经理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项目经理：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关于项目经理每月在施工现场的时间要求：。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承包人未提交劳动合同，以及没有为项目经理缴纳社会保险证明的违约责任：。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项目经理、项目主要技术负责人压证施工制度。发包人须在承包人提供响应文件承诺的人员的执业资格证书原件后才能签订合同，至工程竣工验收合格后才能退还。承包人项目经理短期离开施工场地，应事先征得发包人同意，并委派代表代行其职责，项目经理未经批准，擅自离开施工现场的违约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承包人擅自更换项目经理或技术负责人的违约责任：。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承包人无正当理由拒绝更换项目经理的违约责任：。</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承包人无正当理由拒绝撤换主要施工管理人员的违约责任：。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承包人主要施工管理人员离开施工现场的批准要求：。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承包人擅自更换主要施工管理人员的违约责任：。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 承包人主要施工管理人员擅自离开施工现场的违约责任：。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188" w:name="_Toc296944498"/>
      <w:bookmarkStart w:id="189" w:name="_Toc300934945"/>
      <w:bookmarkStart w:id="190" w:name="_Toc296347158"/>
      <w:bookmarkStart w:id="191" w:name="_Toc296890987"/>
      <w:bookmarkStart w:id="192" w:name="_Toc296503159"/>
      <w:bookmarkStart w:id="193" w:name="_Toc304295523"/>
      <w:bookmarkStart w:id="194" w:name="_Toc292559869"/>
      <w:bookmarkStart w:id="195" w:name="_Toc312677988"/>
      <w:bookmarkStart w:id="196" w:name="_Toc292559364"/>
      <w:bookmarkStart w:id="197" w:name="_Toc297123492"/>
      <w:bookmarkStart w:id="198" w:name="_Toc296891199"/>
      <w:bookmarkStart w:id="199" w:name="_Toc297120459"/>
      <w:bookmarkStart w:id="200" w:name="_Toc297216151"/>
      <w:bookmarkStart w:id="201" w:name="_Toc303539102"/>
      <w:bookmarkStart w:id="202" w:name="_Toc296346660"/>
      <w:bookmarkStart w:id="203" w:name="_Toc297048345"/>
      <w:r>
        <w:rPr>
          <w:rFonts w:hint="eastAsia" w:ascii="宋体" w:hAnsi="宋体" w:eastAsia="宋体" w:cs="宋体"/>
          <w:color w:val="auto"/>
          <w:sz w:val="24"/>
          <w:szCs w:val="24"/>
          <w:highlight w:val="none"/>
        </w:rPr>
        <w:t>.4 分包</w:t>
      </w:r>
    </w:p>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204" w:name="_Toc303539103"/>
      <w:bookmarkStart w:id="205" w:name="_Toc297216152"/>
      <w:bookmarkStart w:id="206" w:name="_Toc292559870"/>
      <w:bookmarkStart w:id="207" w:name="_Toc292559365"/>
      <w:bookmarkStart w:id="208" w:name="_Toc296346661"/>
      <w:bookmarkStart w:id="209" w:name="_Toc300934946"/>
      <w:bookmarkStart w:id="210" w:name="_Toc297120460"/>
      <w:bookmarkStart w:id="211" w:name="_Toc296347159"/>
      <w:bookmarkStart w:id="212" w:name="_Toc296944499"/>
      <w:bookmarkStart w:id="213" w:name="_Toc297048346"/>
      <w:bookmarkStart w:id="214" w:name="_Toc297123493"/>
      <w:bookmarkStart w:id="215" w:name="_Toc304295524"/>
      <w:bookmarkStart w:id="216" w:name="_Toc296890988"/>
      <w:bookmarkStart w:id="217" w:name="_Toc296891200"/>
      <w:bookmarkStart w:id="218" w:name="_Toc296503160"/>
      <w:bookmarkStart w:id="219" w:name="_Toc318581158"/>
      <w:bookmarkStart w:id="220" w:name="_Toc312677989"/>
      <w:r>
        <w:rPr>
          <w:rFonts w:hint="eastAsia" w:ascii="宋体" w:hAnsi="宋体" w:eastAsia="宋体" w:cs="宋体"/>
          <w:color w:val="auto"/>
          <w:sz w:val="24"/>
          <w:szCs w:val="24"/>
          <w:highlight w:val="none"/>
        </w:rPr>
        <w:t>.4.1 分包的一般约定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禁止分包的工程包括：本工程无分包。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主体结构、关键性工作的范围：。</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Start w:id="221" w:name="_Toc296944500"/>
      <w:bookmarkStart w:id="222" w:name="_Toc296891201"/>
      <w:bookmarkStart w:id="223" w:name="_Toc296890989"/>
      <w:bookmarkStart w:id="224" w:name="_Toc304295525"/>
      <w:bookmarkStart w:id="225" w:name="_Toc296503161"/>
      <w:bookmarkStart w:id="226" w:name="_Toc296346662"/>
      <w:bookmarkStart w:id="227" w:name="_Toc297123494"/>
      <w:bookmarkStart w:id="228" w:name="_Toc300934947"/>
      <w:bookmarkStart w:id="229" w:name="_Toc296347160"/>
      <w:bookmarkStart w:id="230" w:name="_Toc303539104"/>
      <w:bookmarkStart w:id="231" w:name="_Toc297048347"/>
      <w:bookmarkStart w:id="232" w:name="_Toc297216153"/>
      <w:bookmarkStart w:id="233" w:name="_Toc297120461"/>
    </w:p>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234" w:name="_Toc312677990"/>
      <w:bookmarkStart w:id="235" w:name="_Toc318581159"/>
      <w:r>
        <w:rPr>
          <w:rFonts w:hint="eastAsia" w:ascii="宋体" w:hAnsi="宋体" w:eastAsia="宋体" w:cs="宋体"/>
          <w:color w:val="auto"/>
          <w:sz w:val="24"/>
          <w:szCs w:val="24"/>
          <w:highlight w:val="none"/>
        </w:rPr>
        <w:t>.4.2分包的确定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允许分包的专业工程包括：无。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分包合同价款</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p>
    <w:p>
      <w:pPr>
        <w:spacing w:line="360" w:lineRule="auto"/>
        <w:ind w:firstLine="480" w:firstLineChars="200"/>
        <w:rPr>
          <w:rFonts w:hint="eastAsia" w:ascii="宋体" w:hAnsi="宋体" w:eastAsia="宋体" w:cs="宋体"/>
          <w:color w:val="auto"/>
          <w:sz w:val="24"/>
          <w:szCs w:val="24"/>
          <w:highlight w:val="none"/>
        </w:rPr>
      </w:pPr>
    </w:p>
    <w:bookmarkEnd w:id="234"/>
    <w:bookmarkEnd w:id="235"/>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工程照管与成品、半成品保护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承包人负责照管工程及工程相关的材料、工程设备的起始时间：。</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履约担保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bookmarkStart w:id="236" w:name="_Toc351203636"/>
      <w:r>
        <w:rPr>
          <w:rFonts w:hint="eastAsia" w:ascii="宋体" w:hAnsi="宋体" w:eastAsia="宋体" w:cs="宋体"/>
          <w:color w:val="auto"/>
          <w:sz w:val="24"/>
          <w:szCs w:val="24"/>
          <w:highlight w:val="none"/>
        </w:rPr>
        <w:t>4</w:t>
      </w:r>
      <w:bookmarkStart w:id="237" w:name="_Toc297120462"/>
      <w:bookmarkStart w:id="238" w:name="_Toc296891202"/>
      <w:bookmarkStart w:id="239" w:name="_Toc297048348"/>
      <w:bookmarkStart w:id="240" w:name="_Toc296503162"/>
      <w:bookmarkStart w:id="241" w:name="_Toc296944501"/>
      <w:bookmarkStart w:id="242" w:name="_Toc296890990"/>
      <w:bookmarkStart w:id="243" w:name="_Toc292559871"/>
      <w:bookmarkStart w:id="244" w:name="_Toc296347161"/>
      <w:bookmarkStart w:id="245" w:name="_Toc292559366"/>
      <w:bookmarkStart w:id="246" w:name="_Toc267251413"/>
      <w:bookmarkStart w:id="247" w:name="_Toc296346663"/>
      <w:r>
        <w:rPr>
          <w:rFonts w:hint="eastAsia" w:ascii="宋体" w:hAnsi="宋体" w:eastAsia="宋体" w:cs="宋体"/>
          <w:color w:val="auto"/>
          <w:sz w:val="24"/>
          <w:szCs w:val="24"/>
          <w:highlight w:val="none"/>
        </w:rPr>
        <w:t>. 监</w:t>
      </w:r>
      <w:bookmarkEnd w:id="237"/>
      <w:bookmarkEnd w:id="238"/>
      <w:bookmarkEnd w:id="239"/>
      <w:bookmarkEnd w:id="240"/>
      <w:bookmarkEnd w:id="241"/>
      <w:bookmarkEnd w:id="242"/>
      <w:bookmarkEnd w:id="243"/>
      <w:bookmarkEnd w:id="244"/>
      <w:bookmarkEnd w:id="245"/>
      <w:bookmarkEnd w:id="246"/>
      <w:bookmarkEnd w:id="247"/>
      <w:r>
        <w:rPr>
          <w:rFonts w:hint="eastAsia" w:ascii="宋体" w:hAnsi="宋体" w:eastAsia="宋体" w:cs="宋体"/>
          <w:color w:val="auto"/>
          <w:sz w:val="24"/>
          <w:szCs w:val="24"/>
          <w:highlight w:val="none"/>
        </w:rPr>
        <w:t>理人</w:t>
      </w:r>
      <w:bookmarkEnd w:id="236"/>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商定或确定</w:t>
      </w:r>
    </w:p>
    <w:p>
      <w:pPr>
        <w:spacing w:line="360" w:lineRule="auto"/>
        <w:ind w:firstLine="480" w:firstLineChars="200"/>
        <w:rPr>
          <w:rFonts w:hint="eastAsia" w:ascii="宋体" w:hAnsi="宋体" w:eastAsia="宋体" w:cs="宋体"/>
          <w:color w:val="auto"/>
          <w:sz w:val="24"/>
          <w:szCs w:val="24"/>
          <w:highlight w:val="none"/>
        </w:rPr>
      </w:pPr>
      <w:bookmarkStart w:id="248" w:name="_Toc267251418"/>
      <w:r>
        <w:rPr>
          <w:rFonts w:hint="eastAsia" w:ascii="宋体" w:hAnsi="宋体" w:eastAsia="宋体" w:cs="宋体"/>
          <w:color w:val="auto"/>
          <w:sz w:val="24"/>
          <w:szCs w:val="24"/>
          <w:highlight w:val="none"/>
        </w:rPr>
        <w:t>在发包人和承包人不能通过协商达成一致意见时，发包人授权监理人对以下事项进行确定：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bookmarkStart w:id="249" w:name="_Toc351203637"/>
      <w:r>
        <w:rPr>
          <w:rFonts w:hint="eastAsia" w:ascii="宋体" w:hAnsi="宋体" w:eastAsia="宋体" w:cs="宋体"/>
          <w:color w:val="auto"/>
          <w:sz w:val="24"/>
          <w:szCs w:val="24"/>
          <w:highlight w:val="none"/>
        </w:rPr>
        <w:t>5</w:t>
      </w:r>
      <w:bookmarkEnd w:id="248"/>
      <w:bookmarkStart w:id="250" w:name="_Toc296944502"/>
      <w:bookmarkStart w:id="251" w:name="_Toc296891203"/>
      <w:bookmarkStart w:id="252" w:name="_Toc296890991"/>
      <w:bookmarkStart w:id="253" w:name="_Toc292559872"/>
      <w:bookmarkStart w:id="254" w:name="_Toc292559367"/>
      <w:bookmarkStart w:id="255" w:name="_Toc296346664"/>
      <w:bookmarkStart w:id="256" w:name="_Toc296347162"/>
      <w:bookmarkStart w:id="257" w:name="_Toc297120463"/>
      <w:bookmarkStart w:id="258" w:name="_Toc296503163"/>
      <w:bookmarkStart w:id="259" w:name="_Toc297048349"/>
      <w:r>
        <w:rPr>
          <w:rFonts w:hint="eastAsia" w:ascii="宋体" w:hAnsi="宋体" w:eastAsia="宋体" w:cs="宋体"/>
          <w:color w:val="auto"/>
          <w:sz w:val="24"/>
          <w:szCs w:val="24"/>
          <w:highlight w:val="none"/>
        </w:rPr>
        <w:t>. 工程质量</w:t>
      </w:r>
      <w:bookmarkEnd w:id="249"/>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质量要求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bookmarkStart w:id="260" w:name="_Toc303539106"/>
      <w:bookmarkStart w:id="261" w:name="_Toc304295527"/>
      <w:bookmarkStart w:id="262" w:name="_Toc318581164"/>
      <w:bookmarkStart w:id="263" w:name="_Toc297216155"/>
      <w:bookmarkStart w:id="264" w:name="_Toc297123496"/>
      <w:bookmarkStart w:id="265" w:name="_Toc300934949"/>
      <w:bookmarkStart w:id="266" w:name="_Toc312677997"/>
      <w:r>
        <w:rPr>
          <w:rFonts w:hint="eastAsia" w:ascii="宋体" w:hAnsi="宋体" w:eastAsia="宋体" w:cs="宋体"/>
          <w:color w:val="auto"/>
          <w:sz w:val="24"/>
          <w:szCs w:val="24"/>
          <w:highlight w:val="none"/>
        </w:rPr>
        <w:t>.1.1 特殊质量标准和要求：。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隐蔽工程检查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5.2.1承包人提前通知监理人隐蔽工程检查的期限的约定：。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监理人不能按时进行检查时，应提前X小时提交书面延期要求。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关于延期最长不得超过：X小时。</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bookmarkStart w:id="267" w:name="_Toc351203638"/>
      <w:r>
        <w:rPr>
          <w:rFonts w:hint="eastAsia" w:ascii="宋体" w:hAnsi="宋体" w:eastAsia="宋体" w:cs="宋体"/>
          <w:color w:val="auto"/>
          <w:sz w:val="24"/>
          <w:szCs w:val="24"/>
          <w:highlight w:val="none"/>
        </w:rPr>
        <w:t>6. 安全文明施工与环境保护</w:t>
      </w:r>
      <w:bookmarkEnd w:id="26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关于治安保卫的特别约定：。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 文明施工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关于安全文明施工费支付比例和支付期限的约定：。</w:t>
      </w:r>
    </w:p>
    <w:p>
      <w:pPr>
        <w:spacing w:line="360" w:lineRule="auto"/>
        <w:ind w:firstLine="480" w:firstLineChars="200"/>
        <w:rPr>
          <w:rFonts w:hint="eastAsia" w:ascii="宋体" w:hAnsi="宋体" w:eastAsia="宋体" w:cs="宋体"/>
          <w:color w:val="auto"/>
          <w:sz w:val="24"/>
          <w:szCs w:val="24"/>
          <w:highlight w:val="none"/>
        </w:rPr>
      </w:pPr>
    </w:p>
    <w:bookmarkEnd w:id="260"/>
    <w:bookmarkEnd w:id="261"/>
    <w:bookmarkEnd w:id="262"/>
    <w:bookmarkEnd w:id="263"/>
    <w:bookmarkEnd w:id="264"/>
    <w:bookmarkEnd w:id="265"/>
    <w:bookmarkEnd w:id="266"/>
    <w:p>
      <w:pPr>
        <w:spacing w:line="360" w:lineRule="auto"/>
        <w:ind w:firstLine="480" w:firstLineChars="200"/>
        <w:rPr>
          <w:rFonts w:hint="eastAsia" w:ascii="宋体" w:hAnsi="宋体" w:eastAsia="宋体" w:cs="宋体"/>
          <w:color w:val="auto"/>
          <w:sz w:val="24"/>
          <w:szCs w:val="24"/>
          <w:highlight w:val="none"/>
        </w:rPr>
      </w:pPr>
      <w:bookmarkStart w:id="268" w:name="_Toc351203639"/>
      <w:r>
        <w:rPr>
          <w:rFonts w:hint="eastAsia" w:ascii="宋体" w:hAnsi="宋体" w:eastAsia="宋体" w:cs="宋体"/>
          <w:color w:val="auto"/>
          <w:sz w:val="24"/>
          <w:szCs w:val="24"/>
          <w:highlight w:val="none"/>
        </w:rPr>
        <w:t>7. 工期和进度</w:t>
      </w:r>
      <w:bookmarkEnd w:id="268"/>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合同当事人约定的施工组织设计应包括的其他内容：。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施工组织设计的提交和修改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269" w:name="_Toc297123514"/>
      <w:bookmarkStart w:id="270" w:name="_Toc303539123"/>
      <w:bookmarkStart w:id="271" w:name="_Toc312678005"/>
      <w:bookmarkStart w:id="272" w:name="_Toc300934966"/>
      <w:bookmarkStart w:id="273" w:name="_Toc304295541"/>
      <w:bookmarkStart w:id="274" w:name="_Toc297216173"/>
      <w:bookmarkStart w:id="275" w:name="_Toc312677479"/>
      <w:r>
        <w:rPr>
          <w:rFonts w:hint="eastAsia" w:ascii="宋体" w:hAnsi="宋体" w:eastAsia="宋体" w:cs="宋体"/>
          <w:color w:val="auto"/>
          <w:sz w:val="24"/>
          <w:szCs w:val="24"/>
          <w:highlight w:val="none"/>
        </w:rPr>
        <w:t>.2 施工进度计划</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 施工进度计划的修订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承包人提供施工组织设计（施工方案）和进度计划的时间：。</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关于承包人提交工程开工报审表的期限：。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因发包人原因造成监理人未能在计划开工日期之日起X天内发出开工通知的，承包人有权提出价格调整要求，或者解除合同。</w:t>
      </w:r>
    </w:p>
    <w:p>
      <w:pPr>
        <w:spacing w:line="360" w:lineRule="auto"/>
        <w:ind w:firstLine="480" w:firstLineChars="200"/>
        <w:rPr>
          <w:rFonts w:hint="eastAsia" w:ascii="宋体" w:hAnsi="宋体" w:eastAsia="宋体" w:cs="宋体"/>
          <w:color w:val="auto"/>
          <w:sz w:val="24"/>
          <w:szCs w:val="24"/>
          <w:highlight w:val="none"/>
        </w:rPr>
      </w:pPr>
    </w:p>
    <w:bookmarkEnd w:id="269"/>
    <w:bookmarkEnd w:id="270"/>
    <w:bookmarkEnd w:id="271"/>
    <w:bookmarkEnd w:id="272"/>
    <w:bookmarkEnd w:id="273"/>
    <w:bookmarkEnd w:id="274"/>
    <w:bookmarkEnd w:id="275"/>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7.4.1发包人通过监理人向承包人提供测量基准点、基准线和水准点及其书面资料的期限：。</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276" w:name="_Toc303539125"/>
      <w:bookmarkStart w:id="277" w:name="_Toc312678010"/>
      <w:bookmarkStart w:id="278" w:name="_Toc304295546"/>
      <w:bookmarkStart w:id="279" w:name="_Toc300934968"/>
      <w:bookmarkStart w:id="280" w:name="_Toc297216175"/>
      <w:bookmarkStart w:id="281" w:name="_Toc312677484"/>
      <w:bookmarkStart w:id="282" w:name="_Toc297123516"/>
      <w:r>
        <w:rPr>
          <w:rFonts w:hint="eastAsia" w:ascii="宋体" w:hAnsi="宋体" w:eastAsia="宋体" w:cs="宋体"/>
          <w:color w:val="auto"/>
          <w:sz w:val="24"/>
          <w:szCs w:val="24"/>
          <w:highlight w:val="none"/>
        </w:rPr>
        <w:t>.5 工期延误</w:t>
      </w:r>
    </w:p>
    <w:bookmarkEnd w:id="276"/>
    <w:bookmarkEnd w:id="277"/>
    <w:bookmarkEnd w:id="278"/>
    <w:bookmarkEnd w:id="279"/>
    <w:bookmarkEnd w:id="280"/>
    <w:bookmarkEnd w:id="281"/>
    <w:bookmarkEnd w:id="282"/>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因发包人原因导致工期延误的其他情形：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283" w:name="_Toc312678012"/>
      <w:bookmarkStart w:id="284" w:name="_Toc312677486"/>
      <w:bookmarkStart w:id="285" w:name="_Toc318581169"/>
      <w:bookmarkStart w:id="286" w:name="_Toc300934970"/>
      <w:bookmarkStart w:id="287" w:name="_Toc297123518"/>
      <w:bookmarkStart w:id="288" w:name="_Toc303539127"/>
      <w:bookmarkStart w:id="289" w:name="_Toc304295548"/>
      <w:bookmarkStart w:id="290" w:name="_Toc297216177"/>
      <w:r>
        <w:rPr>
          <w:rFonts w:hint="eastAsia" w:ascii="宋体" w:hAnsi="宋体" w:eastAsia="宋体" w:cs="宋体"/>
          <w:color w:val="auto"/>
          <w:sz w:val="24"/>
          <w:szCs w:val="24"/>
          <w:highlight w:val="none"/>
        </w:rPr>
        <w:t>.5.2 因承包人原因导致工期延误</w:t>
      </w:r>
    </w:p>
    <w:bookmarkEnd w:id="283"/>
    <w:bookmarkEnd w:id="284"/>
    <w:bookmarkEnd w:id="285"/>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291" w:name="_Toc312678013"/>
      <w:bookmarkStart w:id="292" w:name="_Toc312677487"/>
      <w:bookmarkStart w:id="293" w:name="_Toc318581170"/>
      <w:r>
        <w:rPr>
          <w:rFonts w:hint="eastAsia" w:ascii="宋体" w:hAnsi="宋体" w:eastAsia="宋体" w:cs="宋体"/>
          <w:color w:val="auto"/>
          <w:sz w:val="24"/>
          <w:szCs w:val="24"/>
          <w:highlight w:val="none"/>
        </w:rPr>
        <w:t>承包人原因造成工期延误，逾期竣工违约金的计算方法为：</w:t>
      </w:r>
    </w:p>
    <w:bookmarkEnd w:id="286"/>
    <w:bookmarkEnd w:id="287"/>
    <w:bookmarkEnd w:id="288"/>
    <w:bookmarkEnd w:id="289"/>
    <w:bookmarkEnd w:id="290"/>
    <w:bookmarkEnd w:id="291"/>
    <w:bookmarkEnd w:id="292"/>
    <w:bookmarkEnd w:id="293"/>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w:t>
      </w:r>
      <w:bookmarkStart w:id="294" w:name="_Toc318581171"/>
      <w:bookmarkStart w:id="295" w:name="_Toc312678014"/>
      <w:r>
        <w:rPr>
          <w:rFonts w:hint="eastAsia" w:ascii="宋体" w:hAnsi="宋体" w:eastAsia="宋体" w:cs="宋体"/>
          <w:color w:val="auto"/>
          <w:sz w:val="24"/>
          <w:szCs w:val="24"/>
          <w:highlight w:val="none"/>
        </w:rPr>
        <w:t>期竣工违约金的上限：签约合同价款的10%。</w:t>
      </w:r>
    </w:p>
    <w:bookmarkEnd w:id="294"/>
    <w:bookmarkEnd w:id="295"/>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296" w:name="_Toc297123519"/>
      <w:bookmarkStart w:id="297" w:name="_Toc297216178"/>
      <w:bookmarkStart w:id="298" w:name="_Toc300934971"/>
      <w:bookmarkStart w:id="299" w:name="_Toc304295549"/>
      <w:bookmarkStart w:id="300" w:name="_Toc303539128"/>
      <w:bookmarkStart w:id="301" w:name="_Toc312678015"/>
      <w:r>
        <w:rPr>
          <w:rFonts w:hint="eastAsia" w:ascii="宋体" w:hAnsi="宋体" w:eastAsia="宋体" w:cs="宋体"/>
          <w:color w:val="auto"/>
          <w:sz w:val="24"/>
          <w:szCs w:val="24"/>
          <w:highlight w:val="none"/>
        </w:rPr>
        <w:t>.6 不</w:t>
      </w:r>
      <w:bookmarkEnd w:id="296"/>
      <w:bookmarkEnd w:id="297"/>
      <w:bookmarkEnd w:id="298"/>
      <w:bookmarkEnd w:id="299"/>
      <w:bookmarkEnd w:id="300"/>
      <w:bookmarkEnd w:id="301"/>
      <w:r>
        <w:rPr>
          <w:rFonts w:hint="eastAsia" w:ascii="宋体" w:hAnsi="宋体" w:eastAsia="宋体" w:cs="宋体"/>
          <w:color w:val="auto"/>
          <w:sz w:val="24"/>
          <w:szCs w:val="24"/>
          <w:highlight w:val="none"/>
        </w:rPr>
        <w:t>利物质条件</w:t>
      </w:r>
    </w:p>
    <w:p>
      <w:pPr>
        <w:spacing w:line="360" w:lineRule="auto"/>
        <w:ind w:firstLine="480" w:firstLineChars="200"/>
        <w:rPr>
          <w:rFonts w:hint="eastAsia" w:ascii="宋体" w:hAnsi="宋体" w:eastAsia="宋体" w:cs="宋体"/>
          <w:color w:val="auto"/>
          <w:sz w:val="24"/>
          <w:szCs w:val="24"/>
          <w:highlight w:val="none"/>
        </w:rPr>
      </w:pPr>
      <w:bookmarkStart w:id="302" w:name="_Toc297123520"/>
      <w:bookmarkStart w:id="303" w:name="_Toc318581172"/>
      <w:bookmarkStart w:id="304" w:name="_Toc297216179"/>
      <w:bookmarkStart w:id="305" w:name="_Toc304295550"/>
      <w:bookmarkStart w:id="306" w:name="_Toc303539129"/>
      <w:bookmarkStart w:id="307" w:name="_Toc312678016"/>
      <w:bookmarkStart w:id="308" w:name="_Toc300934972"/>
      <w:r>
        <w:rPr>
          <w:rFonts w:hint="eastAsia" w:ascii="宋体" w:hAnsi="宋体" w:eastAsia="宋体" w:cs="宋体"/>
          <w:color w:val="auto"/>
          <w:sz w:val="24"/>
          <w:szCs w:val="24"/>
          <w:highlight w:val="none"/>
        </w:rPr>
        <w:t>不利物质条件的其他情形和有关约定：。</w:t>
      </w:r>
    </w:p>
    <w:p>
      <w:pPr>
        <w:spacing w:line="360" w:lineRule="auto"/>
        <w:ind w:firstLine="480" w:firstLineChars="200"/>
        <w:rPr>
          <w:rFonts w:hint="eastAsia" w:ascii="宋体" w:hAnsi="宋体" w:eastAsia="宋体" w:cs="宋体"/>
          <w:color w:val="auto"/>
          <w:sz w:val="24"/>
          <w:szCs w:val="24"/>
          <w:highlight w:val="none"/>
        </w:rPr>
      </w:pPr>
    </w:p>
    <w:bookmarkEnd w:id="302"/>
    <w:bookmarkEnd w:id="303"/>
    <w:bookmarkEnd w:id="304"/>
    <w:bookmarkEnd w:id="305"/>
    <w:bookmarkEnd w:id="306"/>
    <w:bookmarkEnd w:id="307"/>
    <w:bookmarkEnd w:id="308"/>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09" w:name="_Toc312678017"/>
      <w:bookmarkStart w:id="310" w:name="_Toc303539130"/>
      <w:bookmarkStart w:id="311" w:name="_Toc297216180"/>
      <w:bookmarkStart w:id="312" w:name="_Toc304295551"/>
      <w:bookmarkStart w:id="313" w:name="_Toc300934973"/>
      <w:bookmarkStart w:id="314" w:name="_Toc297123521"/>
      <w:r>
        <w:rPr>
          <w:rFonts w:hint="eastAsia" w:ascii="宋体" w:hAnsi="宋体" w:eastAsia="宋体" w:cs="宋体"/>
          <w:color w:val="auto"/>
          <w:sz w:val="24"/>
          <w:szCs w:val="24"/>
          <w:highlight w:val="none"/>
        </w:rPr>
        <w:t>.7异常恶劣的气候条件</w:t>
      </w:r>
    </w:p>
    <w:bookmarkEnd w:id="309"/>
    <w:bookmarkEnd w:id="310"/>
    <w:bookmarkEnd w:id="311"/>
    <w:bookmarkEnd w:id="312"/>
    <w:bookmarkEnd w:id="313"/>
    <w:bookmarkEnd w:id="314"/>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 提前竣工的奖励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7.8.1提前竣工的奖励：无。</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bookmarkStart w:id="315" w:name="_Toc351203640"/>
      <w:r>
        <w:rPr>
          <w:rFonts w:hint="eastAsia" w:ascii="宋体" w:hAnsi="宋体" w:eastAsia="宋体" w:cs="宋体"/>
          <w:color w:val="auto"/>
          <w:sz w:val="24"/>
          <w:szCs w:val="24"/>
          <w:highlight w:val="none"/>
        </w:rPr>
        <w:t>8. 材料与设备</w:t>
      </w:r>
      <w:bookmarkEnd w:id="31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8.1承包人采购材料与工程设备</w:t>
      </w:r>
    </w:p>
    <w:p>
      <w:pPr>
        <w:spacing w:line="360" w:lineRule="auto"/>
        <w:ind w:firstLine="480" w:firstLineChars="200"/>
        <w:rPr>
          <w:rFonts w:hint="eastAsia" w:ascii="宋体" w:hAnsi="宋体" w:eastAsia="宋体" w:cs="宋体"/>
          <w:color w:val="auto"/>
          <w:sz w:val="24"/>
          <w:szCs w:val="24"/>
          <w:highlight w:val="none"/>
        </w:rPr>
      </w:pPr>
    </w:p>
    <w:bookmarkEnd w:id="250"/>
    <w:bookmarkEnd w:id="251"/>
    <w:bookmarkEnd w:id="252"/>
    <w:bookmarkEnd w:id="253"/>
    <w:bookmarkEnd w:id="254"/>
    <w:bookmarkEnd w:id="255"/>
    <w:bookmarkEnd w:id="256"/>
    <w:bookmarkEnd w:id="257"/>
    <w:bookmarkEnd w:id="258"/>
    <w:bookmarkEnd w:id="259"/>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316" w:name="_Toc292559372"/>
      <w:bookmarkStart w:id="317" w:name="_Toc297120467"/>
      <w:bookmarkStart w:id="318" w:name="_Toc303539136"/>
      <w:bookmarkStart w:id="319" w:name="_Toc296347166"/>
      <w:bookmarkStart w:id="320" w:name="_Toc312678019"/>
      <w:bookmarkStart w:id="321" w:name="_Toc297123527"/>
      <w:bookmarkStart w:id="322" w:name="_Toc297048353"/>
      <w:bookmarkStart w:id="323" w:name="_Toc300934979"/>
      <w:bookmarkStart w:id="324" w:name="_Toc304295556"/>
      <w:bookmarkStart w:id="325" w:name="_Toc296346668"/>
      <w:bookmarkStart w:id="326" w:name="_Toc312677493"/>
      <w:bookmarkStart w:id="327" w:name="_Toc297216186"/>
      <w:bookmarkStart w:id="328" w:name="_Toc292559877"/>
      <w:bookmarkStart w:id="329" w:name="_Toc296944506"/>
      <w:bookmarkStart w:id="330" w:name="_Toc296890995"/>
      <w:bookmarkStart w:id="331" w:name="_Toc296503167"/>
      <w:bookmarkStart w:id="332" w:name="_Toc280868654"/>
      <w:bookmarkStart w:id="333" w:name="_Toc296891207"/>
      <w:bookmarkStart w:id="334" w:name="_Toc280868656"/>
      <w:bookmarkStart w:id="335" w:name="_Toc267251424"/>
      <w:bookmarkStart w:id="336" w:name="_Toc280868655"/>
      <w:r>
        <w:rPr>
          <w:rFonts w:hint="eastAsia" w:ascii="宋体" w:hAnsi="宋体" w:eastAsia="宋体" w:cs="宋体"/>
          <w:color w:val="auto"/>
          <w:sz w:val="24"/>
          <w:szCs w:val="24"/>
          <w:highlight w:val="none"/>
        </w:rPr>
        <w:t>.2材料与工程设备的保管与使用</w:t>
      </w:r>
    </w:p>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337" w:name="_Toc292559878"/>
      <w:bookmarkStart w:id="338" w:name="_Toc292559373"/>
      <w:bookmarkStart w:id="339" w:name="_Toc296891208"/>
      <w:bookmarkStart w:id="340" w:name="_Toc297123528"/>
      <w:bookmarkStart w:id="341" w:name="_Toc297120468"/>
      <w:bookmarkStart w:id="342" w:name="_Toc304295557"/>
      <w:bookmarkStart w:id="343" w:name="_Toc312677494"/>
      <w:bookmarkStart w:id="344" w:name="_Toc297048354"/>
      <w:bookmarkStart w:id="345" w:name="_Toc312678020"/>
      <w:bookmarkStart w:id="346" w:name="_Toc300934980"/>
      <w:bookmarkStart w:id="347" w:name="_Toc296347167"/>
      <w:bookmarkStart w:id="348" w:name="_Toc296503168"/>
      <w:bookmarkStart w:id="349" w:name="_Toc297216187"/>
      <w:bookmarkStart w:id="350" w:name="_Toc303539137"/>
      <w:bookmarkStart w:id="351" w:name="_Toc296890996"/>
      <w:bookmarkStart w:id="352" w:name="_Toc318581173"/>
      <w:bookmarkStart w:id="353" w:name="_Toc296944507"/>
      <w:bookmarkStart w:id="354" w:name="_Toc296346669"/>
      <w:r>
        <w:rPr>
          <w:rFonts w:hint="eastAsia" w:ascii="宋体" w:hAnsi="宋体" w:eastAsia="宋体" w:cs="宋体"/>
          <w:color w:val="auto"/>
          <w:sz w:val="24"/>
          <w:szCs w:val="24"/>
          <w:highlight w:val="none"/>
        </w:rPr>
        <w:t>.2.1发包人供应的材料设备的保管费用的承担：。</w:t>
      </w:r>
      <w:bookmarkEnd w:id="337"/>
      <w:bookmarkEnd w:id="338"/>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样品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样品的报送与封存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需要承包人报送样品的材料或工程设备，样品的种类、名称、规格、数量要求：。</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施工设备和临时设施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8.4.1 承包人提供的施工设备和临时设施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8.4.2 关于修建临时设施费用承担的约定：。</w:t>
      </w:r>
    </w:p>
    <w:p>
      <w:pPr>
        <w:spacing w:line="360" w:lineRule="auto"/>
        <w:ind w:firstLine="480" w:firstLineChars="200"/>
        <w:rPr>
          <w:rFonts w:hint="eastAsia" w:ascii="宋体" w:hAnsi="宋体" w:eastAsia="宋体" w:cs="宋体"/>
          <w:color w:val="auto"/>
          <w:sz w:val="24"/>
          <w:szCs w:val="24"/>
          <w:highlight w:val="none"/>
        </w:rPr>
      </w:pPr>
    </w:p>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Pr>
        <w:spacing w:line="360" w:lineRule="auto"/>
        <w:ind w:firstLine="480" w:firstLineChars="200"/>
        <w:rPr>
          <w:rFonts w:hint="eastAsia" w:ascii="宋体" w:hAnsi="宋体" w:eastAsia="宋体" w:cs="宋体"/>
          <w:color w:val="auto"/>
          <w:sz w:val="24"/>
          <w:szCs w:val="24"/>
          <w:highlight w:val="none"/>
        </w:rPr>
      </w:pPr>
      <w:bookmarkStart w:id="355" w:name="_Toc351203641"/>
      <w:r>
        <w:rPr>
          <w:rFonts w:hint="eastAsia" w:ascii="宋体" w:hAnsi="宋体" w:eastAsia="宋体" w:cs="宋体"/>
          <w:color w:val="auto"/>
          <w:sz w:val="24"/>
          <w:szCs w:val="24"/>
          <w:highlight w:val="none"/>
        </w:rPr>
        <w:t>9</w:t>
      </w:r>
      <w:bookmarkEnd w:id="334"/>
      <w:bookmarkEnd w:id="335"/>
      <w:bookmarkEnd w:id="336"/>
      <w:bookmarkStart w:id="356" w:name="_Toc303539139"/>
      <w:bookmarkStart w:id="357" w:name="_Toc297216192"/>
      <w:bookmarkStart w:id="358" w:name="_Toc304295559"/>
      <w:bookmarkStart w:id="359" w:name="_Toc312678021"/>
      <w:bookmarkStart w:id="360" w:name="_Toc300934982"/>
      <w:bookmarkStart w:id="361" w:name="_Toc297123533"/>
      <w:bookmarkStart w:id="362" w:name="_Toc312677495"/>
      <w:bookmarkStart w:id="363" w:name="_Toc267251427"/>
      <w:bookmarkStart w:id="364" w:name="_Toc296503173"/>
      <w:bookmarkStart w:id="365" w:name="_Toc267251428"/>
      <w:bookmarkStart w:id="366" w:name="_Toc296891213"/>
      <w:bookmarkStart w:id="367" w:name="_Toc296346674"/>
      <w:bookmarkStart w:id="368" w:name="_Toc292559883"/>
      <w:bookmarkStart w:id="369" w:name="_Toc296891001"/>
      <w:bookmarkStart w:id="370" w:name="_Toc296944512"/>
      <w:bookmarkStart w:id="371" w:name="_Toc297120473"/>
      <w:bookmarkStart w:id="372" w:name="_Toc297048359"/>
      <w:bookmarkStart w:id="373" w:name="_Toc296347172"/>
      <w:bookmarkStart w:id="374" w:name="_Toc292559378"/>
      <w:r>
        <w:rPr>
          <w:rFonts w:hint="eastAsia" w:ascii="宋体" w:hAnsi="宋体" w:eastAsia="宋体" w:cs="宋体"/>
          <w:color w:val="auto"/>
          <w:sz w:val="24"/>
          <w:szCs w:val="24"/>
          <w:highlight w:val="none"/>
        </w:rPr>
        <w:t>. 试验与检验</w:t>
      </w:r>
      <w:bookmarkEnd w:id="355"/>
    </w:p>
    <w:bookmarkEnd w:id="356"/>
    <w:bookmarkEnd w:id="357"/>
    <w:bookmarkEnd w:id="358"/>
    <w:bookmarkEnd w:id="359"/>
    <w:bookmarkEnd w:id="360"/>
    <w:bookmarkEnd w:id="361"/>
    <w:bookmarkEnd w:id="362"/>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375" w:name="_Toc312677496"/>
      <w:bookmarkStart w:id="376" w:name="_Toc297216193"/>
      <w:bookmarkStart w:id="377" w:name="_Toc304295560"/>
      <w:bookmarkStart w:id="378" w:name="_Toc303539140"/>
      <w:bookmarkStart w:id="379" w:name="_Toc297123534"/>
      <w:bookmarkStart w:id="380" w:name="_Toc312678022"/>
      <w:bookmarkStart w:id="381" w:name="_Toc300934983"/>
      <w:r>
        <w:rPr>
          <w:rFonts w:hint="eastAsia" w:ascii="宋体" w:hAnsi="宋体" w:eastAsia="宋体" w:cs="宋体"/>
          <w:color w:val="auto"/>
          <w:sz w:val="24"/>
          <w:szCs w:val="24"/>
          <w:highlight w:val="none"/>
        </w:rPr>
        <w:t>.1试验设备与试验人员</w:t>
      </w:r>
    </w:p>
    <w:bookmarkEnd w:id="375"/>
    <w:bookmarkEnd w:id="376"/>
    <w:bookmarkEnd w:id="377"/>
    <w:bookmarkEnd w:id="378"/>
    <w:bookmarkEnd w:id="379"/>
    <w:bookmarkEnd w:id="380"/>
    <w:bookmarkEnd w:id="381"/>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382" w:name="_Toc297216194"/>
      <w:bookmarkStart w:id="383" w:name="_Toc312677497"/>
      <w:bookmarkStart w:id="384" w:name="_Toc297123535"/>
      <w:bookmarkStart w:id="385" w:name="_Toc304295561"/>
      <w:bookmarkStart w:id="386" w:name="_Toc303539141"/>
      <w:bookmarkStart w:id="387" w:name="_Toc312678023"/>
      <w:bookmarkStart w:id="388" w:name="_Toc300934984"/>
      <w:bookmarkStart w:id="389" w:name="_Toc318581174"/>
      <w:r>
        <w:rPr>
          <w:rFonts w:hint="eastAsia" w:ascii="宋体" w:hAnsi="宋体" w:eastAsia="宋体" w:cs="宋体"/>
          <w:color w:val="auto"/>
          <w:sz w:val="24"/>
          <w:szCs w:val="24"/>
          <w:highlight w:val="none"/>
        </w:rPr>
        <w:t>.1.1 试验设备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382"/>
      <w:bookmarkEnd w:id="383"/>
      <w:bookmarkEnd w:id="384"/>
      <w:bookmarkEnd w:id="385"/>
      <w:bookmarkEnd w:id="386"/>
      <w:bookmarkEnd w:id="387"/>
      <w:bookmarkEnd w:id="388"/>
      <w:bookmarkStart w:id="390" w:name="_Toc297123536"/>
      <w:bookmarkStart w:id="391" w:name="_Toc312677498"/>
      <w:bookmarkStart w:id="392" w:name="_Toc312678024"/>
      <w:bookmarkStart w:id="393" w:name="_Toc297216195"/>
      <w:bookmarkStart w:id="394" w:name="_Toc300934985"/>
      <w:bookmarkStart w:id="395" w:name="_Toc304295562"/>
      <w:bookmarkStart w:id="396" w:name="_Toc303539142"/>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现场工艺试验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p>
    <w:p>
      <w:pPr>
        <w:spacing w:line="360" w:lineRule="auto"/>
        <w:ind w:firstLine="480" w:firstLineChars="200"/>
        <w:rPr>
          <w:rFonts w:hint="eastAsia" w:ascii="宋体" w:hAnsi="宋体" w:eastAsia="宋体" w:cs="宋体"/>
          <w:color w:val="auto"/>
          <w:sz w:val="24"/>
          <w:szCs w:val="24"/>
          <w:highlight w:val="none"/>
        </w:rPr>
      </w:pPr>
    </w:p>
    <w:bookmarkEnd w:id="389"/>
    <w:bookmarkEnd w:id="390"/>
    <w:bookmarkEnd w:id="391"/>
    <w:bookmarkEnd w:id="392"/>
    <w:bookmarkEnd w:id="393"/>
    <w:bookmarkEnd w:id="394"/>
    <w:bookmarkEnd w:id="395"/>
    <w:bookmarkEnd w:id="396"/>
    <w:p>
      <w:pPr>
        <w:spacing w:line="360" w:lineRule="auto"/>
        <w:ind w:firstLine="480" w:firstLineChars="200"/>
        <w:rPr>
          <w:rFonts w:hint="eastAsia" w:ascii="宋体" w:hAnsi="宋体" w:eastAsia="宋体" w:cs="宋体"/>
          <w:color w:val="auto"/>
          <w:sz w:val="24"/>
          <w:szCs w:val="24"/>
          <w:highlight w:val="none"/>
        </w:rPr>
      </w:pPr>
      <w:bookmarkStart w:id="397" w:name="_Toc351203642"/>
      <w:r>
        <w:rPr>
          <w:rFonts w:hint="eastAsia" w:ascii="宋体" w:hAnsi="宋体" w:eastAsia="宋体" w:cs="宋体"/>
          <w:color w:val="auto"/>
          <w:sz w:val="24"/>
          <w:szCs w:val="24"/>
          <w:highlight w:val="none"/>
        </w:rPr>
        <w:t>1</w:t>
      </w:r>
      <w:bookmarkEnd w:id="363"/>
      <w:bookmarkEnd w:id="364"/>
      <w:bookmarkEnd w:id="365"/>
      <w:bookmarkEnd w:id="366"/>
      <w:bookmarkEnd w:id="367"/>
      <w:bookmarkEnd w:id="368"/>
      <w:bookmarkEnd w:id="369"/>
      <w:bookmarkEnd w:id="370"/>
      <w:bookmarkEnd w:id="371"/>
      <w:bookmarkEnd w:id="372"/>
      <w:bookmarkEnd w:id="373"/>
      <w:bookmarkEnd w:id="374"/>
      <w:bookmarkStart w:id="398" w:name="_Toc292559398"/>
      <w:bookmarkStart w:id="399" w:name="_Toc300934989"/>
      <w:bookmarkStart w:id="400" w:name="_Toc297216199"/>
      <w:bookmarkStart w:id="401" w:name="_Toc296347192"/>
      <w:bookmarkStart w:id="402" w:name="_Toc297048379"/>
      <w:bookmarkStart w:id="403" w:name="_Toc303539146"/>
      <w:bookmarkStart w:id="404" w:name="_Toc296891021"/>
      <w:bookmarkStart w:id="405" w:name="_Toc296944532"/>
      <w:bookmarkStart w:id="406" w:name="_Toc304295566"/>
      <w:bookmarkStart w:id="407" w:name="_Toc296503193"/>
      <w:bookmarkStart w:id="408" w:name="_Toc296346694"/>
      <w:bookmarkStart w:id="409" w:name="_Toc297120493"/>
      <w:bookmarkStart w:id="410" w:name="_Toc297123540"/>
      <w:bookmarkStart w:id="411" w:name="_Toc296891233"/>
      <w:bookmarkStart w:id="412" w:name="_Toc292559903"/>
      <w:bookmarkStart w:id="413" w:name="_Toc312677499"/>
      <w:bookmarkStart w:id="414" w:name="_Toc312678025"/>
      <w:bookmarkStart w:id="415" w:name="_Toc267251440"/>
      <w:bookmarkStart w:id="416" w:name="_Toc267251437"/>
      <w:bookmarkStart w:id="417" w:name="_Toc267251439"/>
      <w:bookmarkStart w:id="418" w:name="_Toc267251435"/>
      <w:bookmarkStart w:id="419" w:name="_Toc267251433"/>
      <w:bookmarkStart w:id="420" w:name="_Toc267251441"/>
      <w:bookmarkStart w:id="421" w:name="_Toc267251442"/>
      <w:r>
        <w:rPr>
          <w:rFonts w:hint="eastAsia" w:ascii="宋体" w:hAnsi="宋体" w:eastAsia="宋体" w:cs="宋体"/>
          <w:color w:val="auto"/>
          <w:sz w:val="24"/>
          <w:szCs w:val="24"/>
          <w:highlight w:val="none"/>
        </w:rPr>
        <w:t>0. 变更</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bookmarkEnd w:id="413"/>
    <w:bookmarkEnd w:id="414"/>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422" w:name="_Toc297120494"/>
      <w:bookmarkStart w:id="423" w:name="_Toc296347193"/>
      <w:bookmarkStart w:id="424" w:name="_Toc297216200"/>
      <w:bookmarkStart w:id="425" w:name="_Toc312678026"/>
      <w:bookmarkStart w:id="426" w:name="_Toc303539147"/>
      <w:bookmarkStart w:id="427" w:name="_Toc292559904"/>
      <w:bookmarkStart w:id="428" w:name="_Toc292559399"/>
      <w:bookmarkStart w:id="429" w:name="_Toc296346695"/>
      <w:bookmarkStart w:id="430" w:name="_Toc297123541"/>
      <w:bookmarkStart w:id="431" w:name="_Toc304295567"/>
      <w:bookmarkStart w:id="432" w:name="_Toc296503194"/>
      <w:bookmarkStart w:id="433" w:name="_Toc297048380"/>
      <w:bookmarkStart w:id="434" w:name="_Toc312677500"/>
      <w:bookmarkStart w:id="435" w:name="_Toc296944533"/>
      <w:bookmarkStart w:id="436" w:name="_Toc296891234"/>
      <w:bookmarkStart w:id="437" w:name="_Toc300934990"/>
      <w:bookmarkStart w:id="438" w:name="_Toc296891022"/>
      <w:r>
        <w:rPr>
          <w:rFonts w:hint="eastAsia" w:ascii="宋体" w:hAnsi="宋体" w:eastAsia="宋体" w:cs="宋体"/>
          <w:color w:val="auto"/>
          <w:sz w:val="24"/>
          <w:szCs w:val="24"/>
          <w:highlight w:val="none"/>
        </w:rPr>
        <w:t>0.1 变更的范围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变更估价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 变更估价原则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关于变更估价的约定: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Start w:id="439" w:name="_Toc297123544"/>
      <w:bookmarkStart w:id="440" w:name="_Toc296944536"/>
      <w:bookmarkStart w:id="441" w:name="_Toc297120497"/>
      <w:bookmarkStart w:id="442" w:name="_Toc296347196"/>
      <w:bookmarkStart w:id="443" w:name="_Toc296503197"/>
      <w:bookmarkStart w:id="444" w:name="_Toc296891025"/>
      <w:bookmarkStart w:id="445" w:name="_Toc303539150"/>
      <w:bookmarkStart w:id="446" w:name="_Toc300934993"/>
      <w:bookmarkStart w:id="447" w:name="_Toc292559402"/>
      <w:bookmarkStart w:id="448" w:name="_Toc292559907"/>
      <w:bookmarkStart w:id="449" w:name="_Toc297048383"/>
      <w:bookmarkStart w:id="450" w:name="_Toc296346698"/>
      <w:bookmarkStart w:id="451" w:name="_Toc296891237"/>
      <w:bookmarkStart w:id="452" w:name="_Toc297216203"/>
      <w:bookmarkStart w:id="453" w:name="_Toc304295570"/>
      <w:bookmarkStart w:id="454" w:name="_Toc312677503"/>
      <w:bookmarkStart w:id="455" w:name="_Toc312678029"/>
      <w:r>
        <w:rPr>
          <w:rFonts w:hint="eastAsia" w:ascii="宋体" w:hAnsi="宋体" w:eastAsia="宋体" w:cs="宋体"/>
          <w:color w:val="auto"/>
          <w:sz w:val="24"/>
          <w:szCs w:val="24"/>
          <w:highlight w:val="none"/>
        </w:rPr>
        <w:t>0.3 承</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Start w:id="456" w:name="_Toc297216204"/>
      <w:bookmarkStart w:id="457" w:name="_Toc296346704"/>
      <w:bookmarkStart w:id="458" w:name="_Toc292559408"/>
      <w:bookmarkStart w:id="459" w:name="_Toc296347202"/>
      <w:bookmarkStart w:id="460" w:name="_Toc296891031"/>
      <w:bookmarkStart w:id="461" w:name="_Toc297048389"/>
      <w:bookmarkStart w:id="462" w:name="_Toc300934994"/>
      <w:bookmarkStart w:id="463" w:name="_Toc303539151"/>
      <w:bookmarkStart w:id="464" w:name="_Toc292559913"/>
      <w:bookmarkStart w:id="465" w:name="_Toc297120503"/>
      <w:bookmarkStart w:id="466" w:name="_Toc296503203"/>
      <w:bookmarkStart w:id="467" w:name="_Toc296944542"/>
      <w:bookmarkStart w:id="468" w:name="_Toc297123545"/>
      <w:bookmarkStart w:id="469" w:name="_Toc296891243"/>
      <w:r>
        <w:rPr>
          <w:rFonts w:hint="eastAsia" w:ascii="宋体" w:hAnsi="宋体" w:eastAsia="宋体" w:cs="宋体"/>
          <w:color w:val="auto"/>
          <w:sz w:val="24"/>
          <w:szCs w:val="24"/>
          <w:highlight w:val="none"/>
        </w:rPr>
        <w:t>包人的合理化建议</w:t>
      </w:r>
    </w:p>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w:t>
      </w:r>
      <w:bookmarkStart w:id="470" w:name="_Toc292559409"/>
      <w:bookmarkStart w:id="471" w:name="_Toc296347203"/>
      <w:bookmarkStart w:id="472" w:name="_Toc318581175"/>
      <w:bookmarkStart w:id="473" w:name="_Toc296891032"/>
      <w:bookmarkStart w:id="474" w:name="_Toc312678030"/>
      <w:bookmarkStart w:id="475" w:name="_Toc304295571"/>
      <w:bookmarkStart w:id="476" w:name="_Toc296891244"/>
      <w:bookmarkStart w:id="477" w:name="_Toc297120504"/>
      <w:bookmarkStart w:id="478" w:name="_Toc297216205"/>
      <w:bookmarkStart w:id="479" w:name="_Toc297123546"/>
      <w:bookmarkStart w:id="480" w:name="_Toc292559914"/>
      <w:bookmarkStart w:id="481" w:name="_Toc300934995"/>
      <w:bookmarkStart w:id="482" w:name="_Toc296503204"/>
      <w:bookmarkStart w:id="483" w:name="_Toc297048390"/>
      <w:bookmarkStart w:id="484" w:name="_Toc303539152"/>
      <w:bookmarkStart w:id="485" w:name="_Toc296944543"/>
      <w:bookmarkStart w:id="486" w:name="_Toc312677504"/>
      <w:bookmarkStart w:id="487" w:name="_Toc296346705"/>
      <w:r>
        <w:rPr>
          <w:rFonts w:hint="eastAsia" w:ascii="宋体" w:hAnsi="宋体" w:eastAsia="宋体" w:cs="宋体"/>
          <w:color w:val="auto"/>
          <w:sz w:val="24"/>
          <w:szCs w:val="24"/>
          <w:highlight w:val="none"/>
        </w:rPr>
        <w:t>包人提出的合理化建议降低了合同价格或者提高了工程经济效益的奖励的方法和金额为：。</w:t>
      </w:r>
    </w:p>
    <w:p>
      <w:pPr>
        <w:spacing w:line="360" w:lineRule="auto"/>
        <w:ind w:firstLine="480" w:firstLineChars="200"/>
        <w:rPr>
          <w:rFonts w:hint="eastAsia" w:ascii="宋体" w:hAnsi="宋体" w:eastAsia="宋体" w:cs="宋体"/>
          <w:color w:val="auto"/>
          <w:sz w:val="24"/>
          <w:szCs w:val="24"/>
          <w:highlight w:val="none"/>
        </w:rPr>
      </w:pPr>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488" w:name="_Toc296346700"/>
      <w:bookmarkStart w:id="489" w:name="_Toc312677507"/>
      <w:bookmarkStart w:id="490" w:name="_Toc297048385"/>
      <w:bookmarkStart w:id="491" w:name="_Toc312678033"/>
      <w:bookmarkStart w:id="492" w:name="_Toc304295574"/>
      <w:bookmarkStart w:id="493" w:name="_Toc296891027"/>
      <w:bookmarkStart w:id="494" w:name="_Toc296347198"/>
      <w:bookmarkStart w:id="495" w:name="_Toc303539154"/>
      <w:bookmarkStart w:id="496" w:name="_Toc296891239"/>
      <w:bookmarkStart w:id="497" w:name="_Toc297120499"/>
      <w:bookmarkStart w:id="498" w:name="_Toc296944538"/>
      <w:bookmarkStart w:id="499" w:name="_Toc300934997"/>
      <w:bookmarkStart w:id="500" w:name="_Toc292559404"/>
      <w:bookmarkStart w:id="501" w:name="_Toc297123548"/>
      <w:bookmarkStart w:id="502" w:name="_Toc292559909"/>
      <w:bookmarkStart w:id="503" w:name="_Toc297216207"/>
      <w:bookmarkStart w:id="504" w:name="_Toc296503199"/>
      <w:r>
        <w:rPr>
          <w:rFonts w:hint="eastAsia" w:ascii="宋体" w:hAnsi="宋体" w:eastAsia="宋体" w:cs="宋体"/>
          <w:color w:val="auto"/>
          <w:sz w:val="24"/>
          <w:szCs w:val="24"/>
          <w:highlight w:val="none"/>
        </w:rPr>
        <w:t>0.4 暂估价</w:t>
      </w:r>
    </w:p>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505" w:name="_Toc318581177"/>
      <w:bookmarkStart w:id="506" w:name="_Toc312678035"/>
      <w:bookmarkStart w:id="507" w:name="_Toc312677509"/>
      <w:r>
        <w:rPr>
          <w:rFonts w:hint="eastAsia" w:ascii="宋体" w:hAnsi="宋体" w:eastAsia="宋体" w:cs="宋体"/>
          <w:color w:val="auto"/>
          <w:sz w:val="24"/>
          <w:szCs w:val="24"/>
          <w:highlight w:val="none"/>
        </w:rPr>
        <w:t>0.4.1 依法必须招标的暂估价项目</w:t>
      </w:r>
    </w:p>
    <w:bookmarkEnd w:id="505"/>
    <w:bookmarkEnd w:id="506"/>
    <w:bookmarkEnd w:id="507"/>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对于依法必须招标的暂估价项目的确认和批准采取第种方式确定。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10.4.2 不属于依法必须招标的暂估价项目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对于不属于依法必须招标的暂估价项目的确认和批准采取第X种方式确定。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第3种方式：承包人直接实施的暂估价项目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 暂列金额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合同当事人关于暂列金额使用的约定：。</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bookmarkStart w:id="508" w:name="_Toc351203643"/>
      <w:r>
        <w:rPr>
          <w:rFonts w:hint="eastAsia" w:ascii="宋体" w:hAnsi="宋体" w:eastAsia="宋体" w:cs="宋体"/>
          <w:color w:val="auto"/>
          <w:sz w:val="24"/>
          <w:szCs w:val="24"/>
          <w:highlight w:val="none"/>
        </w:rPr>
        <w:t>11. 价格调整</w:t>
      </w:r>
      <w:bookmarkEnd w:id="508"/>
    </w:p>
    <w:p>
      <w:pPr>
        <w:spacing w:line="360" w:lineRule="auto"/>
        <w:ind w:firstLine="480" w:firstLineChars="200"/>
        <w:rPr>
          <w:rFonts w:hint="eastAsia" w:ascii="宋体" w:hAnsi="宋体" w:eastAsia="宋体" w:cs="宋体"/>
          <w:color w:val="auto"/>
          <w:sz w:val="24"/>
          <w:szCs w:val="24"/>
          <w:highlight w:val="none"/>
        </w:rPr>
      </w:pPr>
      <w:bookmarkStart w:id="509" w:name="_Toc303539157"/>
      <w:bookmarkStart w:id="510" w:name="_Toc296346702"/>
      <w:bookmarkStart w:id="511" w:name="_Toc296891029"/>
      <w:bookmarkStart w:id="512" w:name="_Toc297123550"/>
      <w:bookmarkStart w:id="513" w:name="_Toc292559406"/>
      <w:bookmarkStart w:id="514" w:name="_Toc296347200"/>
      <w:bookmarkStart w:id="515" w:name="_Toc296891241"/>
      <w:bookmarkStart w:id="516" w:name="_Toc292559911"/>
      <w:bookmarkStart w:id="517" w:name="_Toc297048387"/>
      <w:bookmarkStart w:id="518" w:name="_Toc312678039"/>
      <w:bookmarkStart w:id="519" w:name="_Toc296503201"/>
      <w:bookmarkStart w:id="520" w:name="_Toc304295577"/>
      <w:bookmarkStart w:id="521" w:name="_Toc297120501"/>
      <w:bookmarkStart w:id="522" w:name="_Toc297216209"/>
      <w:bookmarkStart w:id="523" w:name="_Toc300935000"/>
      <w:bookmarkStart w:id="524" w:name="_Toc296944540"/>
      <w:r>
        <w:rPr>
          <w:rFonts w:hint="eastAsia" w:ascii="宋体" w:hAnsi="宋体" w:eastAsia="宋体" w:cs="宋体"/>
          <w:color w:val="auto"/>
          <w:sz w:val="24"/>
          <w:szCs w:val="24"/>
          <w:highlight w:val="none"/>
        </w:rPr>
        <w:t>11.1 市场价格波动引起的调整</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市场价格波动是否调整合同价格的约定：不调整。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因市场价格波动调整合同价格，采用以下第X种方式对合同价格进行调整：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关于各可调因子、定值和变值权重，以及基本价格指数及其来源的约定：；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③承包人在已标价工程量清单或预算书中载明的材料单价等于基准单价的：专用合同条款合同履行期间材料单价涨跌幅以基准单价为基础超过±%时，其超过部分据实调整。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p>
    <w:p>
      <w:pPr>
        <w:spacing w:line="360" w:lineRule="auto"/>
        <w:ind w:firstLine="480" w:firstLineChars="200"/>
        <w:rPr>
          <w:rFonts w:hint="eastAsia" w:ascii="宋体" w:hAnsi="宋体" w:eastAsia="宋体" w:cs="宋体"/>
          <w:color w:val="auto"/>
          <w:sz w:val="24"/>
          <w:szCs w:val="24"/>
          <w:highlight w:val="none"/>
        </w:rPr>
      </w:pPr>
    </w:p>
    <w:bookmarkEnd w:id="415"/>
    <w:bookmarkEnd w:id="416"/>
    <w:bookmarkEnd w:id="417"/>
    <w:bookmarkEnd w:id="418"/>
    <w:bookmarkEnd w:id="419"/>
    <w:bookmarkEnd w:id="420"/>
    <w:p>
      <w:pPr>
        <w:spacing w:line="360" w:lineRule="auto"/>
        <w:ind w:firstLine="480" w:firstLineChars="200"/>
        <w:rPr>
          <w:rFonts w:hint="eastAsia" w:ascii="宋体" w:hAnsi="宋体" w:eastAsia="宋体" w:cs="宋体"/>
          <w:color w:val="auto"/>
          <w:sz w:val="24"/>
          <w:szCs w:val="24"/>
          <w:highlight w:val="none"/>
        </w:rPr>
      </w:pPr>
      <w:bookmarkStart w:id="525" w:name="_Toc296346706"/>
      <w:bookmarkStart w:id="526" w:name="_Toc292559915"/>
      <w:bookmarkStart w:id="527" w:name="_Toc297048391"/>
      <w:bookmarkStart w:id="528" w:name="_Toc296891033"/>
      <w:bookmarkStart w:id="529" w:name="_Toc296944544"/>
      <w:bookmarkStart w:id="530" w:name="_Toc296891245"/>
      <w:bookmarkStart w:id="531" w:name="_Toc297120505"/>
      <w:bookmarkStart w:id="532" w:name="_Toc296347204"/>
      <w:bookmarkStart w:id="533" w:name="_Toc296503205"/>
      <w:bookmarkStart w:id="534" w:name="_Toc292559410"/>
      <w:bookmarkStart w:id="535" w:name="_Toc351203644"/>
      <w:bookmarkStart w:id="536" w:name="_Toc297216211"/>
      <w:bookmarkStart w:id="537" w:name="_Toc297123552"/>
      <w:bookmarkStart w:id="538" w:name="_Toc303539159"/>
      <w:bookmarkStart w:id="539" w:name="_Toc304295579"/>
      <w:bookmarkStart w:id="540" w:name="_Toc312678040"/>
      <w:bookmarkStart w:id="541" w:name="_Toc300935002"/>
      <w:r>
        <w:rPr>
          <w:rFonts w:hint="eastAsia" w:ascii="宋体" w:hAnsi="宋体" w:eastAsia="宋体" w:cs="宋体"/>
          <w:color w:val="auto"/>
          <w:sz w:val="24"/>
          <w:szCs w:val="24"/>
          <w:highlight w:val="none"/>
        </w:rPr>
        <w:t xml:space="preserve">12. </w:t>
      </w:r>
      <w:bookmarkEnd w:id="525"/>
      <w:bookmarkEnd w:id="526"/>
      <w:bookmarkEnd w:id="527"/>
      <w:bookmarkEnd w:id="528"/>
      <w:bookmarkEnd w:id="529"/>
      <w:bookmarkEnd w:id="530"/>
      <w:bookmarkEnd w:id="531"/>
      <w:bookmarkEnd w:id="532"/>
      <w:bookmarkEnd w:id="533"/>
      <w:bookmarkEnd w:id="534"/>
      <w:r>
        <w:rPr>
          <w:rFonts w:hint="eastAsia" w:ascii="宋体" w:hAnsi="宋体" w:eastAsia="宋体" w:cs="宋体"/>
          <w:color w:val="auto"/>
          <w:sz w:val="24"/>
          <w:szCs w:val="24"/>
          <w:highlight w:val="none"/>
        </w:rPr>
        <w:t>合同价格、计量与支付</w:t>
      </w:r>
      <w:bookmarkEnd w:id="535"/>
    </w:p>
    <w:bookmarkEnd w:id="536"/>
    <w:bookmarkEnd w:id="537"/>
    <w:bookmarkEnd w:id="538"/>
    <w:bookmarkEnd w:id="539"/>
    <w:bookmarkEnd w:id="540"/>
    <w:bookmarkEnd w:id="541"/>
    <w:p>
      <w:pPr>
        <w:spacing w:line="360" w:lineRule="auto"/>
        <w:ind w:firstLine="480" w:firstLineChars="200"/>
        <w:rPr>
          <w:rFonts w:hint="eastAsia" w:ascii="宋体" w:hAnsi="宋体" w:eastAsia="宋体" w:cs="宋体"/>
          <w:color w:val="auto"/>
          <w:sz w:val="24"/>
          <w:szCs w:val="24"/>
          <w:highlight w:val="none"/>
        </w:rPr>
      </w:pPr>
      <w:bookmarkStart w:id="542" w:name="_Toc267251461"/>
      <w:bookmarkStart w:id="543" w:name="_Toc292559411"/>
      <w:bookmarkStart w:id="544" w:name="_Toc292559916"/>
      <w:bookmarkStart w:id="545" w:name="_Toc296891034"/>
      <w:bookmarkStart w:id="546" w:name="_Toc296944545"/>
      <w:bookmarkStart w:id="547" w:name="_Toc296347205"/>
      <w:bookmarkStart w:id="548" w:name="_Toc296891246"/>
      <w:bookmarkStart w:id="549" w:name="_Toc296346707"/>
      <w:bookmarkStart w:id="550" w:name="_Toc297120506"/>
      <w:bookmarkStart w:id="551" w:name="_Toc296503206"/>
      <w:bookmarkStart w:id="552" w:name="_Toc297048392"/>
      <w:bookmarkStart w:id="553" w:name="_Toc303539160"/>
      <w:bookmarkStart w:id="554" w:name="_Toc297123553"/>
      <w:bookmarkStart w:id="555" w:name="_Toc312678041"/>
      <w:bookmarkStart w:id="556" w:name="_Toc297216212"/>
      <w:bookmarkStart w:id="557" w:name="_Toc304295580"/>
      <w:bookmarkStart w:id="558" w:name="_Toc300935003"/>
      <w:bookmarkStart w:id="559" w:name="_Toc300935004"/>
      <w:bookmarkStart w:id="560" w:name="_Toc312678042"/>
      <w:bookmarkStart w:id="561" w:name="_Toc304295581"/>
      <w:bookmarkStart w:id="562" w:name="_Toc303539161"/>
      <w:bookmarkStart w:id="563" w:name="_Toc297216213"/>
      <w:bookmarkStart w:id="564" w:name="_Toc297123554"/>
      <w:bookmarkStart w:id="565" w:name="_Toc296891247"/>
      <w:bookmarkStart w:id="566" w:name="_Toc296503207"/>
      <w:bookmarkStart w:id="567" w:name="_Toc296347206"/>
      <w:bookmarkStart w:id="568" w:name="_Toc296891035"/>
      <w:bookmarkStart w:id="569" w:name="_Toc292559412"/>
      <w:bookmarkStart w:id="570" w:name="_Toc292559917"/>
      <w:bookmarkStart w:id="571" w:name="_Toc297048393"/>
      <w:bookmarkStart w:id="572" w:name="_Toc296346708"/>
      <w:bookmarkStart w:id="573" w:name="_Toc297120507"/>
      <w:bookmarkStart w:id="574" w:name="_Toc296944546"/>
      <w:r>
        <w:rPr>
          <w:rFonts w:hint="eastAsia" w:ascii="宋体" w:hAnsi="宋体" w:eastAsia="宋体" w:cs="宋体"/>
          <w:color w:val="auto"/>
          <w:sz w:val="24"/>
          <w:szCs w:val="24"/>
          <w:highlight w:val="none"/>
        </w:rPr>
        <w:t>12.1 合</w:t>
      </w:r>
      <w:bookmarkEnd w:id="542"/>
      <w:bookmarkEnd w:id="543"/>
      <w:bookmarkEnd w:id="544"/>
      <w:r>
        <w:rPr>
          <w:rFonts w:hint="eastAsia" w:ascii="宋体" w:hAnsi="宋体" w:eastAsia="宋体" w:cs="宋体"/>
          <w:color w:val="auto"/>
          <w:sz w:val="24"/>
          <w:szCs w:val="24"/>
          <w:highlight w:val="none"/>
        </w:rPr>
        <w:t>同价</w:t>
      </w:r>
      <w:bookmarkEnd w:id="545"/>
      <w:bookmarkEnd w:id="546"/>
      <w:bookmarkEnd w:id="547"/>
      <w:bookmarkEnd w:id="548"/>
      <w:bookmarkEnd w:id="549"/>
      <w:bookmarkEnd w:id="550"/>
      <w:bookmarkEnd w:id="551"/>
      <w:bookmarkEnd w:id="552"/>
      <w:r>
        <w:rPr>
          <w:rFonts w:hint="eastAsia" w:ascii="宋体" w:hAnsi="宋体" w:eastAsia="宋体" w:cs="宋体"/>
          <w:color w:val="auto"/>
          <w:sz w:val="24"/>
          <w:szCs w:val="24"/>
          <w:highlight w:val="none"/>
        </w:rPr>
        <w:t>格形式</w:t>
      </w:r>
    </w:p>
    <w:bookmarkEnd w:id="553"/>
    <w:bookmarkEnd w:id="554"/>
    <w:bookmarkEnd w:id="555"/>
    <w:bookmarkEnd w:id="556"/>
    <w:bookmarkEnd w:id="557"/>
    <w:bookmarkEnd w:id="558"/>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12.1.1 单价合同。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    /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 总价合同。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 其他价格方式：。</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预付款</w:t>
      </w:r>
    </w:p>
    <w:bookmarkEnd w:id="559"/>
    <w:bookmarkEnd w:id="560"/>
    <w:bookmarkEnd w:id="561"/>
    <w:bookmarkEnd w:id="562"/>
    <w:bookmarkEnd w:id="563"/>
    <w:bookmarkEnd w:id="564"/>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预付款的支付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预付款支付比例或金额（比例20%-40%）：。</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预付款扣回的方式：。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 预付款担保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p>
    <w:p>
      <w:pPr>
        <w:spacing w:line="360" w:lineRule="auto"/>
        <w:ind w:firstLine="480" w:firstLineChars="200"/>
        <w:rPr>
          <w:rFonts w:hint="eastAsia" w:ascii="宋体" w:hAnsi="宋体" w:eastAsia="宋体" w:cs="宋体"/>
          <w:color w:val="auto"/>
          <w:sz w:val="24"/>
          <w:szCs w:val="24"/>
          <w:highlight w:val="none"/>
        </w:rPr>
      </w:pPr>
    </w:p>
    <w:bookmarkEnd w:id="565"/>
    <w:bookmarkEnd w:id="566"/>
    <w:bookmarkEnd w:id="567"/>
    <w:bookmarkEnd w:id="568"/>
    <w:bookmarkEnd w:id="569"/>
    <w:bookmarkEnd w:id="570"/>
    <w:bookmarkEnd w:id="571"/>
    <w:bookmarkEnd w:id="572"/>
    <w:bookmarkEnd w:id="573"/>
    <w:bookmarkEnd w:id="574"/>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计量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计量原则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12.3.1.1总价措施项目的计量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总价措施项目清单中的项目（除环境保护、安全施工、文明施工、临时设施等以费率计价的项目以外），包干计取，结算不作调整；进度支付时按发包人确认后的工程形象进度比例按月计量。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安全文明施工费的计量、支付与结算按川建发〔2017〕5号执行。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12.3.1.2规费的计量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按建设行政主管部门核定的承包人规费费率计量和结算。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12.3.1.3税金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税金按国家或省级、行业建设主管部门的规定计取。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12.3.5总价合同采用支付分解表计量支付的，是否适用第12.3.4 项〔总价合同的计量〕约定进行计量：。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工程进度款支付</w:t>
      </w:r>
    </w:p>
    <w:p>
      <w:pPr>
        <w:spacing w:line="360" w:lineRule="auto"/>
        <w:ind w:firstLine="480" w:firstLineChars="200"/>
        <w:rPr>
          <w:rFonts w:hint="eastAsia" w:ascii="宋体" w:hAnsi="宋体" w:eastAsia="宋体" w:cs="宋体"/>
          <w:color w:val="auto"/>
          <w:sz w:val="24"/>
          <w:szCs w:val="24"/>
          <w:highlight w:val="none"/>
        </w:rPr>
      </w:pPr>
      <w:bookmarkStart w:id="575" w:name="_Toc297216215"/>
      <w:bookmarkStart w:id="576" w:name="_Toc300935006"/>
      <w:bookmarkStart w:id="577" w:name="_Toc292559921"/>
      <w:bookmarkStart w:id="578" w:name="_Toc296503211"/>
      <w:bookmarkStart w:id="579" w:name="_Toc296346712"/>
      <w:bookmarkStart w:id="580" w:name="_Toc296891251"/>
      <w:bookmarkStart w:id="581" w:name="_Toc296944550"/>
      <w:bookmarkStart w:id="582" w:name="_Toc297048397"/>
      <w:bookmarkStart w:id="583" w:name="_Toc292559416"/>
      <w:bookmarkStart w:id="584" w:name="_Toc296891039"/>
      <w:bookmarkStart w:id="585" w:name="_Toc296347210"/>
      <w:bookmarkStart w:id="586" w:name="_Toc297123556"/>
      <w:bookmarkStart w:id="587" w:name="_Toc303539163"/>
      <w:bookmarkStart w:id="588" w:name="_Toc297120511"/>
      <w:r>
        <w:rPr>
          <w:rFonts w:hint="eastAsia" w:ascii="宋体" w:hAnsi="宋体" w:eastAsia="宋体" w:cs="宋体"/>
          <w:color w:val="auto"/>
          <w:sz w:val="24"/>
          <w:szCs w:val="24"/>
          <w:highlight w:val="none"/>
        </w:rPr>
        <w:t>12.4.1 付款周期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关于付款周期的约定：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进度付款申请单的编制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Pr>
          <w:rFonts w:hint="eastAsia" w:ascii="宋体" w:hAnsi="宋体" w:eastAsia="宋体" w:cs="宋体"/>
          <w:color w:val="auto"/>
          <w:sz w:val="24"/>
          <w:szCs w:val="24"/>
          <w:highlight w:val="none"/>
        </w:rPr>
        <w:t>2.4.3 进度付款申请单的提交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（1）单价合同进度付款申请单提交的约定：。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（2）总价合同进度付款申请单提交的约定：。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（1）监理人审查并报送发包人的期限：。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12.4.5 支付分解表的编制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（1）总价合同支付分解表的编制与审批：。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（2）单价合同的总价项目支付分解表的编制与审批：。</w:t>
      </w:r>
    </w:p>
    <w:p>
      <w:pPr>
        <w:spacing w:line="360" w:lineRule="auto"/>
        <w:ind w:firstLine="480" w:firstLineChars="200"/>
        <w:rPr>
          <w:rFonts w:hint="eastAsia" w:ascii="宋体" w:hAnsi="宋体" w:eastAsia="宋体" w:cs="宋体"/>
          <w:color w:val="auto"/>
          <w:sz w:val="24"/>
          <w:szCs w:val="24"/>
          <w:highlight w:val="none"/>
        </w:rPr>
      </w:pPr>
    </w:p>
    <w:bookmarkEnd w:id="421"/>
    <w:p>
      <w:pPr>
        <w:spacing w:line="360" w:lineRule="auto"/>
        <w:ind w:firstLine="480" w:firstLineChars="200"/>
        <w:rPr>
          <w:rFonts w:hint="eastAsia" w:ascii="宋体" w:hAnsi="宋体" w:eastAsia="宋体" w:cs="宋体"/>
          <w:color w:val="auto"/>
          <w:sz w:val="24"/>
          <w:szCs w:val="24"/>
          <w:highlight w:val="none"/>
        </w:rPr>
      </w:pPr>
      <w:bookmarkStart w:id="589" w:name="_Toc351203645"/>
      <w:bookmarkStart w:id="590" w:name="_Toc292559929"/>
      <w:bookmarkStart w:id="591" w:name="_Toc297048405"/>
      <w:bookmarkStart w:id="592" w:name="_Toc296346720"/>
      <w:bookmarkStart w:id="593" w:name="_Toc296503219"/>
      <w:bookmarkStart w:id="594" w:name="_Toc292559424"/>
      <w:bookmarkStart w:id="595" w:name="_Toc296944558"/>
      <w:bookmarkStart w:id="596" w:name="_Toc304295593"/>
      <w:bookmarkStart w:id="597" w:name="_Toc312678053"/>
      <w:bookmarkStart w:id="598" w:name="_Toc297120519"/>
      <w:bookmarkStart w:id="599" w:name="_Toc300935015"/>
      <w:bookmarkStart w:id="600" w:name="_Toc296891047"/>
      <w:bookmarkStart w:id="601" w:name="_Toc296891259"/>
      <w:bookmarkStart w:id="602" w:name="_Toc303539172"/>
      <w:bookmarkStart w:id="603" w:name="_Toc296347218"/>
      <w:bookmarkStart w:id="604" w:name="_Toc297123564"/>
      <w:bookmarkStart w:id="605" w:name="_Toc297216223"/>
      <w:r>
        <w:rPr>
          <w:rFonts w:hint="eastAsia" w:ascii="宋体" w:hAnsi="宋体" w:eastAsia="宋体" w:cs="宋体"/>
          <w:color w:val="auto"/>
          <w:sz w:val="24"/>
          <w:szCs w:val="24"/>
          <w:highlight w:val="none"/>
        </w:rPr>
        <w:t>13.验收和工程试车</w:t>
      </w:r>
      <w:bookmarkEnd w:id="589"/>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13.1.1监理人不能按时进行验收时，应提前X小时提交书面延期要求。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关于延期最长不得超过：X小时。</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bookmarkStart w:id="606" w:name="_Toc297216224"/>
      <w:bookmarkStart w:id="607" w:name="_Toc292559933"/>
      <w:bookmarkStart w:id="608" w:name="_Toc304295596"/>
      <w:bookmarkStart w:id="609" w:name="_Toc297048409"/>
      <w:bookmarkStart w:id="610" w:name="_Toc296891263"/>
      <w:bookmarkStart w:id="611" w:name="_Toc303539173"/>
      <w:bookmarkStart w:id="612" w:name="_Toc297120523"/>
      <w:bookmarkStart w:id="613" w:name="_Toc296944562"/>
      <w:bookmarkStart w:id="614" w:name="_Toc300935016"/>
      <w:bookmarkStart w:id="615" w:name="_Toc296891051"/>
      <w:bookmarkStart w:id="616" w:name="_Toc296346724"/>
      <w:bookmarkStart w:id="617" w:name="_Toc312678056"/>
      <w:bookmarkStart w:id="618" w:name="_Toc297123565"/>
      <w:bookmarkStart w:id="619" w:name="_Toc296347222"/>
      <w:bookmarkStart w:id="620" w:name="_Toc296503223"/>
      <w:bookmarkStart w:id="621" w:name="_Toc292559428"/>
      <w:bookmarkStart w:id="622" w:name="_Toc267251476"/>
      <w:bookmarkStart w:id="623" w:name="_Toc267251472"/>
      <w:bookmarkStart w:id="624" w:name="_Toc267251474"/>
      <w:bookmarkStart w:id="625" w:name="_Toc267251471"/>
      <w:bookmarkStart w:id="626" w:name="_Toc267251470"/>
      <w:bookmarkStart w:id="627" w:name="_Toc267251475"/>
      <w:bookmarkStart w:id="628" w:name="_Toc267251473"/>
      <w:r>
        <w:rPr>
          <w:rFonts w:hint="eastAsia" w:ascii="宋体" w:hAnsi="宋体" w:eastAsia="宋体" w:cs="宋体"/>
          <w:color w:val="auto"/>
          <w:sz w:val="24"/>
          <w:szCs w:val="24"/>
          <w:highlight w:val="none"/>
        </w:rPr>
        <w:t>13.2 竣工验收</w:t>
      </w:r>
    </w:p>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Pr>
        <w:spacing w:line="360" w:lineRule="auto"/>
        <w:ind w:firstLine="480" w:firstLineChars="200"/>
        <w:rPr>
          <w:rFonts w:hint="eastAsia" w:ascii="宋体" w:hAnsi="宋体" w:eastAsia="宋体" w:cs="宋体"/>
          <w:color w:val="auto"/>
          <w:sz w:val="24"/>
          <w:szCs w:val="24"/>
          <w:highlight w:val="none"/>
        </w:rPr>
      </w:pPr>
      <w:bookmarkStart w:id="629" w:name="_Toc280868704"/>
      <w:bookmarkStart w:id="630" w:name="_Toc280868705"/>
      <w:bookmarkStart w:id="631" w:name="_Toc280868706"/>
      <w:bookmarkStart w:id="632" w:name="_Toc280868707"/>
      <w:bookmarkStart w:id="633" w:name="_Toc280868708"/>
      <w:bookmarkStart w:id="634" w:name="_Toc280868709"/>
      <w:r>
        <w:rPr>
          <w:rFonts w:hint="eastAsia" w:ascii="宋体" w:hAnsi="宋体" w:eastAsia="宋体" w:cs="宋体"/>
          <w:color w:val="auto"/>
          <w:sz w:val="24"/>
          <w:szCs w:val="24"/>
          <w:highlight w:val="none"/>
        </w:rPr>
        <w:t>13.2.1 竣工验收程序</w:t>
      </w:r>
    </w:p>
    <w:bookmarkEnd w:id="629"/>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关于竣工验收程序的约定：。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发包人不按照本项约定组织竣工验收、颁发工程接收证书的违约金的计算方法：。</w:t>
      </w:r>
    </w:p>
    <w:bookmarkEnd w:id="630"/>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13.2.2 移交、接收全部与部分工程</w:t>
      </w:r>
    </w:p>
    <w:bookmarkEnd w:id="631"/>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承包人向发包人移交工程的期限：。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发包人未按本合同约定接收全部或部分工程的，违约金的计算方法为：。</w:t>
      </w:r>
    </w:p>
    <w:bookmarkEnd w:id="632"/>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bookmarkEnd w:id="633"/>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13.3.1 试车程序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工程试车内容：。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（1）单机无负荷试车费用由承担；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（2）无负荷联动试车费用由承担。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13.3.2 投料试车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关于投料试车相关事项的约定：。</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竣工退场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13.4.1 竣工退场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承包人完成竣工退场的期限：。</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bookmarkStart w:id="635" w:name="_Toc351203646"/>
      <w:r>
        <w:rPr>
          <w:rFonts w:hint="eastAsia" w:ascii="宋体" w:hAnsi="宋体" w:eastAsia="宋体" w:cs="宋体"/>
          <w:color w:val="auto"/>
          <w:sz w:val="24"/>
          <w:szCs w:val="24"/>
          <w:highlight w:val="none"/>
        </w:rPr>
        <w:t>14. 竣工结算</w:t>
      </w:r>
      <w:bookmarkEnd w:id="63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竣工结算申请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承包人提交竣工结算申请单的期限：。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竣工结算申请单应包括的内容：。</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最终结清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14.3.1 最终结清申请单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承包人提交最终结算申请单的期限：。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14.3.2 最终结清证书和支付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p>
    <w:p>
      <w:pPr>
        <w:spacing w:line="360" w:lineRule="auto"/>
        <w:ind w:firstLine="480" w:firstLineChars="200"/>
        <w:rPr>
          <w:rFonts w:hint="eastAsia" w:ascii="宋体" w:hAnsi="宋体" w:eastAsia="宋体" w:cs="宋体"/>
          <w:color w:val="auto"/>
          <w:sz w:val="24"/>
          <w:szCs w:val="24"/>
          <w:highlight w:val="none"/>
        </w:rPr>
      </w:pPr>
    </w:p>
    <w:bookmarkEnd w:id="622"/>
    <w:bookmarkEnd w:id="623"/>
    <w:bookmarkEnd w:id="624"/>
    <w:bookmarkEnd w:id="625"/>
    <w:bookmarkEnd w:id="626"/>
    <w:bookmarkEnd w:id="627"/>
    <w:bookmarkEnd w:id="628"/>
    <w:bookmarkEnd w:id="634"/>
    <w:p>
      <w:pPr>
        <w:spacing w:line="360" w:lineRule="auto"/>
        <w:ind w:firstLine="480" w:firstLineChars="200"/>
        <w:rPr>
          <w:rFonts w:hint="eastAsia" w:ascii="宋体" w:hAnsi="宋体" w:eastAsia="宋体" w:cs="宋体"/>
          <w:color w:val="auto"/>
          <w:sz w:val="24"/>
          <w:szCs w:val="24"/>
          <w:highlight w:val="none"/>
        </w:rPr>
      </w:pPr>
      <w:bookmarkStart w:id="636" w:name="_Toc351203647"/>
      <w:bookmarkStart w:id="637" w:name="_Toc267251483"/>
      <w:bookmarkStart w:id="638" w:name="_Toc267251484"/>
      <w:bookmarkStart w:id="639" w:name="_Toc267251482"/>
      <w:bookmarkStart w:id="640" w:name="_Toc267251485"/>
      <w:bookmarkStart w:id="641" w:name="_Toc267251490"/>
      <w:bookmarkStart w:id="642" w:name="_Toc267251486"/>
      <w:bookmarkStart w:id="643" w:name="_Toc267251489"/>
      <w:bookmarkStart w:id="644" w:name="_Toc267251488"/>
      <w:bookmarkStart w:id="645" w:name="_Toc267251491"/>
      <w:bookmarkStart w:id="646" w:name="_Toc267251501"/>
      <w:bookmarkStart w:id="647" w:name="_Toc267251502"/>
      <w:bookmarkStart w:id="648" w:name="_Toc267251493"/>
      <w:bookmarkStart w:id="649" w:name="_Toc267251492"/>
      <w:bookmarkStart w:id="650" w:name="_Toc267251494"/>
      <w:bookmarkStart w:id="651" w:name="_Toc267251498"/>
      <w:bookmarkStart w:id="652" w:name="_Toc267251495"/>
      <w:bookmarkStart w:id="653" w:name="_Toc267251499"/>
      <w:bookmarkStart w:id="654" w:name="_Toc267251503"/>
      <w:bookmarkStart w:id="655" w:name="_Toc267251497"/>
      <w:bookmarkStart w:id="656" w:name="_Toc267251496"/>
      <w:bookmarkStart w:id="657" w:name="_Toc267251506"/>
      <w:bookmarkStart w:id="658" w:name="_Toc267251504"/>
      <w:bookmarkStart w:id="659" w:name="_Toc267251507"/>
      <w:bookmarkStart w:id="660" w:name="_Toc267251508"/>
      <w:bookmarkStart w:id="661" w:name="_Toc267251509"/>
      <w:bookmarkStart w:id="662" w:name="_Toc267251513"/>
      <w:bookmarkStart w:id="663" w:name="_Toc267251515"/>
      <w:bookmarkStart w:id="664" w:name="_Toc267251514"/>
      <w:bookmarkStart w:id="665" w:name="_Toc267251510"/>
      <w:bookmarkStart w:id="666" w:name="_Toc267251511"/>
      <w:r>
        <w:rPr>
          <w:rFonts w:hint="eastAsia" w:ascii="宋体" w:hAnsi="宋体" w:eastAsia="宋体" w:cs="宋体"/>
          <w:color w:val="auto"/>
          <w:sz w:val="24"/>
          <w:szCs w:val="24"/>
          <w:highlight w:val="none"/>
        </w:rPr>
        <w:t>15. 缺陷责任期与保修</w:t>
      </w:r>
      <w:bookmarkEnd w:id="636"/>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缺陷责任期</w:t>
      </w:r>
      <w:bookmarkEnd w:id="63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质量保证金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关于是否扣留质量保证金的约定：。在工程项目竣工前，承包人按专用合同条款第3.7条提供履约担保的，发包人不得同时预留工程质量保证金。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15.2.1 承包人提供质量保证金的方式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质量保证金采用以下第种方式：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（1）质量保证金保函，保证金额为：；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（2）%的工程款；</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15.2.2 质量保证金的扣留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质量保证金的扣留采取以下第（2）种方式：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（1）在支付工程进度款时逐次扣留，在此情形下，质量保证金的计算基数不包括预付款的支付、扣回以及价格调整的金额；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（2）工程竣工结算时一次性扣留质量保证金；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（3）其他扣留方式:。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关于质量保证金的补充约定：。</w:t>
      </w:r>
    </w:p>
    <w:p>
      <w:pPr>
        <w:spacing w:line="360" w:lineRule="auto"/>
        <w:ind w:firstLine="480" w:firstLineChars="200"/>
        <w:rPr>
          <w:rFonts w:hint="eastAsia" w:ascii="宋体" w:hAnsi="宋体" w:eastAsia="宋体" w:cs="宋体"/>
          <w:color w:val="auto"/>
          <w:sz w:val="24"/>
          <w:szCs w:val="24"/>
          <w:highlight w:val="none"/>
        </w:rPr>
      </w:pPr>
    </w:p>
    <w:bookmarkEnd w:id="638"/>
    <w:bookmarkEnd w:id="639"/>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保修</w:t>
      </w:r>
    </w:p>
    <w:bookmarkEnd w:id="640"/>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保修责任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工程保修期为：。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15.3.2 修复通知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承包人收到保修通知并到达工程现场的合理时间：。</w:t>
      </w:r>
    </w:p>
    <w:p>
      <w:pPr>
        <w:spacing w:line="360" w:lineRule="auto"/>
        <w:ind w:firstLine="480" w:firstLineChars="200"/>
        <w:rPr>
          <w:rFonts w:hint="eastAsia" w:ascii="宋体" w:hAnsi="宋体" w:eastAsia="宋体" w:cs="宋体"/>
          <w:color w:val="auto"/>
          <w:sz w:val="24"/>
          <w:szCs w:val="24"/>
          <w:highlight w:val="none"/>
        </w:rPr>
      </w:pPr>
    </w:p>
    <w:bookmarkEnd w:id="641"/>
    <w:bookmarkEnd w:id="642"/>
    <w:bookmarkEnd w:id="643"/>
    <w:bookmarkEnd w:id="644"/>
    <w:p>
      <w:pPr>
        <w:spacing w:line="360" w:lineRule="auto"/>
        <w:ind w:firstLine="480" w:firstLineChars="200"/>
        <w:rPr>
          <w:rFonts w:hint="eastAsia" w:ascii="宋体" w:hAnsi="宋体" w:eastAsia="宋体" w:cs="宋体"/>
          <w:color w:val="auto"/>
          <w:sz w:val="24"/>
          <w:szCs w:val="24"/>
          <w:highlight w:val="none"/>
        </w:rPr>
      </w:pPr>
      <w:bookmarkStart w:id="667" w:name="_Toc351203648"/>
      <w:bookmarkStart w:id="668" w:name="_Toc280868717"/>
      <w:bookmarkStart w:id="669" w:name="_Toc280868718"/>
      <w:r>
        <w:rPr>
          <w:rFonts w:hint="eastAsia" w:ascii="宋体" w:hAnsi="宋体" w:eastAsia="宋体" w:cs="宋体"/>
          <w:color w:val="auto"/>
          <w:sz w:val="24"/>
          <w:szCs w:val="24"/>
          <w:highlight w:val="none"/>
        </w:rPr>
        <w:t>16. 违约</w:t>
      </w:r>
      <w:bookmarkEnd w:id="66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发包人违约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发包人违约的其他情形：。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16.1.2 发包人违约的责任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发包人违约责任的承担方式和计算方法：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（1）因发包人原因未能在计划开工日期前7天内下达开工通知的违约责任：。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（2）因发包人原因未能按合同约定支付合同价款的违约责任：。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（3）发包人违反第10.1款〔变更的范围〕第（2）项约定，自行实施被取消的工作或转由他人实施的违约责任：。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（4）发包人提供的材料、工程设备的规格、数量或质量不符合合同约定，或因发包人原因导致交货日期延误或交货地点变更等情况的违约责任：。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（5）因发包人违反合同约定造成暂停施工的违约责任：。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（6）发包人无正当理由没有在约定期限内发出复工指示，导致承包人无法复工的违约责任：。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承包人按16.1.1项〔发包人违约的情形〕约定暂停施工满天后发包人仍不纠正其违约行为并致使合同目的不能实现的，承包人有权解除合同。</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承包人违约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16.2.1 承包人违约的情形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承包人违约的其他情形：。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16.2.2承包人违约的责任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承包人违约责任的承担方式和计算方法：。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关于承包人违约解除合同的特别约定：。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发包人继续使用承包人在施工现场的材料、设备、临时工程、承包人文件和由承包人或以其名义编制的其他文件的费用承担方式：。</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bookmarkStart w:id="670" w:name="_Toc351203649"/>
      <w:r>
        <w:rPr>
          <w:rFonts w:hint="eastAsia" w:ascii="宋体" w:hAnsi="宋体" w:eastAsia="宋体" w:cs="宋体"/>
          <w:color w:val="auto"/>
          <w:sz w:val="24"/>
          <w:szCs w:val="24"/>
          <w:highlight w:val="none"/>
        </w:rPr>
        <w:t>17. 不可抗力</w:t>
      </w:r>
      <w:bookmarkEnd w:id="668"/>
      <w:bookmarkEnd w:id="670"/>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除通用合同条款约定的不可抗力事件之外，视为不可抗力的其他情形：。</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因不可抗力解除合同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合同解除后，发包人应在商定或确定发包人应支付款项后天内完成款项的支付。</w:t>
      </w:r>
    </w:p>
    <w:p>
      <w:pPr>
        <w:spacing w:line="360" w:lineRule="auto"/>
        <w:ind w:firstLine="480" w:firstLineChars="200"/>
        <w:rPr>
          <w:rFonts w:hint="eastAsia" w:ascii="宋体" w:hAnsi="宋体" w:eastAsia="宋体" w:cs="宋体"/>
          <w:color w:val="auto"/>
          <w:sz w:val="24"/>
          <w:szCs w:val="24"/>
          <w:highlight w:val="none"/>
        </w:rPr>
      </w:pPr>
      <w:bookmarkStart w:id="671" w:name="_Toc351203650"/>
      <w:r>
        <w:rPr>
          <w:rFonts w:hint="eastAsia" w:ascii="宋体" w:hAnsi="宋体" w:eastAsia="宋体" w:cs="宋体"/>
          <w:color w:val="auto"/>
          <w:sz w:val="24"/>
          <w:szCs w:val="24"/>
          <w:highlight w:val="none"/>
        </w:rPr>
        <w:t>18. 保险</w:t>
      </w:r>
      <w:bookmarkEnd w:id="671"/>
    </w:p>
    <w:bookmarkEnd w:id="669"/>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其他保险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关于其他保险的约定：。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承包人是否应为其施工设备等办理财产保险：应当。</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通知义务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关于变更保险合同时的通知义务的约定：。</w:t>
      </w:r>
    </w:p>
    <w:p>
      <w:pPr>
        <w:spacing w:line="360" w:lineRule="auto"/>
        <w:ind w:firstLine="480" w:firstLineChars="200"/>
        <w:rPr>
          <w:rFonts w:hint="eastAsia" w:ascii="宋体" w:hAnsi="宋体" w:eastAsia="宋体" w:cs="宋体"/>
          <w:color w:val="auto"/>
          <w:sz w:val="24"/>
          <w:szCs w:val="24"/>
          <w:highlight w:val="none"/>
        </w:rPr>
      </w:pPr>
    </w:p>
    <w:bookmarkEnd w:id="645"/>
    <w:bookmarkEnd w:id="646"/>
    <w:bookmarkEnd w:id="647"/>
    <w:bookmarkEnd w:id="648"/>
    <w:bookmarkEnd w:id="649"/>
    <w:bookmarkEnd w:id="650"/>
    <w:bookmarkEnd w:id="651"/>
    <w:bookmarkEnd w:id="652"/>
    <w:bookmarkEnd w:id="653"/>
    <w:bookmarkEnd w:id="654"/>
    <w:bookmarkEnd w:id="655"/>
    <w:bookmarkEnd w:id="656"/>
    <w:p>
      <w:pPr>
        <w:spacing w:line="360" w:lineRule="auto"/>
        <w:ind w:firstLine="480" w:firstLineChars="200"/>
        <w:rPr>
          <w:rFonts w:hint="eastAsia" w:ascii="宋体" w:hAnsi="宋体" w:eastAsia="宋体" w:cs="宋体"/>
          <w:color w:val="auto"/>
          <w:sz w:val="24"/>
          <w:szCs w:val="24"/>
          <w:highlight w:val="none"/>
        </w:rPr>
      </w:pPr>
      <w:bookmarkStart w:id="672" w:name="_Toc351203651"/>
      <w:r>
        <w:rPr>
          <w:rFonts w:hint="eastAsia" w:ascii="宋体" w:hAnsi="宋体" w:eastAsia="宋体" w:cs="宋体"/>
          <w:color w:val="auto"/>
          <w:sz w:val="24"/>
          <w:szCs w:val="24"/>
          <w:highlight w:val="none"/>
        </w:rPr>
        <w:t>19. 争议解决</w:t>
      </w:r>
      <w:bookmarkEnd w:id="672"/>
    </w:p>
    <w:bookmarkEnd w:id="657"/>
    <w:bookmarkEnd w:id="658"/>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争</w:t>
      </w:r>
      <w:bookmarkEnd w:id="659"/>
      <w:r>
        <w:rPr>
          <w:rFonts w:hint="eastAsia" w:ascii="宋体" w:hAnsi="宋体" w:eastAsia="宋体" w:cs="宋体"/>
          <w:color w:val="auto"/>
          <w:sz w:val="24"/>
          <w:szCs w:val="24"/>
          <w:highlight w:val="none"/>
        </w:rPr>
        <w:t>议评审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19.1.1 争议评审小组的确定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争议评审小组成员的确定：。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19.1.2 争议评审小组的决定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仲裁或诉讼</w:t>
      </w:r>
      <w:bookmarkEnd w:id="660"/>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因合同及合同有关事项发生的争议，按下列第种方式解决：</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（1）向仲裁委员会申请仲裁；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（2）向人民法院起诉。</w:t>
      </w:r>
      <w:bookmarkEnd w:id="661"/>
      <w:bookmarkEnd w:id="662"/>
      <w:bookmarkEnd w:id="663"/>
      <w:bookmarkEnd w:id="664"/>
      <w:bookmarkEnd w:id="665"/>
      <w:bookmarkEnd w:id="666"/>
    </w:p>
    <w:p>
      <w:pPr>
        <w:widowControl/>
        <w:spacing w:line="360" w:lineRule="auto"/>
        <w:jc w:val="left"/>
        <w:rPr>
          <w:rFonts w:hint="eastAsia" w:ascii="宋体" w:hAnsi="宋体" w:eastAsia="宋体" w:cs="宋体"/>
          <w:color w:val="auto"/>
          <w:sz w:val="24"/>
          <w:szCs w:val="24"/>
          <w:highlight w:val="none"/>
        </w:rPr>
      </w:pPr>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keepNext/>
        <w:keepLines/>
        <w:widowControl w:val="0"/>
        <w:bidi w:val="0"/>
        <w:spacing w:line="360" w:lineRule="auto"/>
        <w:jc w:val="center"/>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2"/>
          <w:sz w:val="28"/>
          <w:szCs w:val="32"/>
          <w:highlight w:val="none"/>
          <w:lang w:val="en-US" w:eastAsia="zh-CN" w:bidi="ar-SA"/>
        </w:rPr>
        <w:t>第四节 合同附件格式</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附件一：工程质量保修书</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工程质量保修书</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发包人（全称）：</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承包人（全称）：</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发包人、承包人根据《中华人民共和国建筑法》、《建设工程质量管理条例》和《房屋建筑工程质量保修办法》，经协商一致，对签订工程质量保修书。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1、工程质量保修范围和内容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承包人在质量保修期内，按照有关法律、法规、规章规定和双方约定，承担本工程质量保修责任。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质保期：</w:t>
      </w:r>
      <w:r>
        <w:rPr>
          <w:rFonts w:hint="eastAsia" w:ascii="宋体" w:hAnsi="宋体" w:eastAsia="宋体" w:cs="宋体"/>
          <w:color w:val="auto"/>
          <w:sz w:val="24"/>
          <w:szCs w:val="24"/>
          <w:highlight w:val="none"/>
          <w:u w:val="single"/>
          <w:lang w:val="en-US" w:eastAsia="zh-CN"/>
        </w:rPr>
        <w:t>1年</w:t>
      </w:r>
      <w:r>
        <w:rPr>
          <w:rFonts w:hint="eastAsia" w:ascii="宋体" w:hAnsi="宋体" w:eastAsia="宋体" w:cs="宋体"/>
          <w:color w:val="auto"/>
          <w:sz w:val="24"/>
          <w:szCs w:val="24"/>
          <w:highlight w:val="none"/>
          <w:u w:val="singl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2、质量保修期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2.1双方根据《建设工程质量管理条例》及有关规定，约定本工程的质量保修期如下：</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（1）基础设施工程、房屋建筑的地基基础工程和主体结构工程为设计文件规定的该工程合理使用年限；</w:t>
      </w:r>
    </w:p>
    <w:p>
      <w:pPr>
        <w:spacing w:line="360" w:lineRule="auto"/>
        <w:ind w:firstLine="342" w:firstLineChars="15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（2）屋面防水工程、有防水要求的卫生间、房间和外墙面的防渗漏为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年；</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（3）装修工程为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（4）供热与供冷系统为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个采暖期、供冷期；</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（5）电气管线、给排水管道、设备安装工程为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p>
    <w:p>
      <w:pPr>
        <w:widowControl w:val="0"/>
        <w:autoSpaceDE w:val="0"/>
        <w:autoSpaceDN w:val="0"/>
        <w:adjustRightInd w:val="0"/>
        <w:spacing w:line="360" w:lineRule="auto"/>
        <w:ind w:firstLine="357" w:firstLineChars="149"/>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（6）住宅小区内的给排水设施、道路等配套工程为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年；</w:t>
      </w:r>
    </w:p>
    <w:p>
      <w:pPr>
        <w:widowControl w:val="0"/>
        <w:autoSpaceDE w:val="0"/>
        <w:autoSpaceDN w:val="0"/>
        <w:adjustRightInd w:val="0"/>
        <w:spacing w:line="360" w:lineRule="auto"/>
        <w:ind w:firstLine="357" w:firstLineChars="149"/>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（7）其他项目的保修期限为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年。</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质量保修期自工程竣工验收合格之日起计算。</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3、质量保修责任</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属于保修范围、内容的项目，承包人应当在接到保修通知之日起7天内派人保修。承包人不在约定期限内派人保修的，发包人可以委托他人修理。</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发生紧急抢修事故的，承包人在接到事故通知后，应当立即到达事故现场抢修。</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质量保修完成后，由发包人组织验收。</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4、保修费用</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4.1保修费用由造成质量缺陷的责任方承担。</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w:t>
      </w:r>
    </w:p>
    <w:p>
      <w:pPr>
        <w:spacing w:line="360" w:lineRule="auto"/>
        <w:ind w:firstLine="480"/>
        <w:rPr>
          <w:rFonts w:hint="eastAsia" w:ascii="宋体" w:hAnsi="宋体" w:eastAsia="宋体" w:cs="宋体"/>
          <w:color w:val="auto"/>
          <w:sz w:val="24"/>
          <w:szCs w:val="24"/>
          <w:highlight w:val="none"/>
        </w:rPr>
      </w:pPr>
      <w:bookmarkStart w:id="673" w:name="_Toc211643904"/>
      <w:bookmarkStart w:id="674" w:name="_Toc435626179"/>
      <w:bookmarkStart w:id="675" w:name="_Toc247945911"/>
      <w:bookmarkStart w:id="676" w:name="_Toc199318336"/>
      <w:bookmarkStart w:id="677" w:name="_Toc207526821"/>
      <w:r>
        <w:rPr>
          <w:rFonts w:hint="eastAsia" w:ascii="宋体" w:hAnsi="宋体" w:eastAsia="宋体" w:cs="宋体"/>
          <w:color w:val="auto"/>
          <w:sz w:val="24"/>
          <w:szCs w:val="24"/>
          <w:highlight w:val="none"/>
        </w:rPr>
        <w:t>5.1 双方约定的其他工程质量保修事项:</w:t>
      </w:r>
      <w:bookmarkEnd w:id="673"/>
      <w:bookmarkEnd w:id="674"/>
      <w:bookmarkEnd w:id="675"/>
      <w:bookmarkEnd w:id="676"/>
      <w:bookmarkEnd w:id="677"/>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质量保证金按工程竣工结算价的3%计算，质量保证金的退还按合同约定，不计利息。承包方接到保修通知书后三天内必须到场保修，否则发包方可请人保修，所发生的费用在保修金中支付。</w:t>
      </w:r>
    </w:p>
    <w:p>
      <w:pPr>
        <w:spacing w:line="360" w:lineRule="auto"/>
        <w:ind w:firstLine="480"/>
        <w:rPr>
          <w:rFonts w:hint="eastAsia" w:ascii="宋体" w:hAnsi="宋体" w:eastAsia="宋体" w:cs="宋体"/>
          <w:color w:val="auto"/>
          <w:sz w:val="24"/>
          <w:szCs w:val="24"/>
          <w:highlight w:val="none"/>
        </w:rPr>
      </w:pPr>
      <w:bookmarkStart w:id="678" w:name="_Toc435626180"/>
      <w:bookmarkStart w:id="679" w:name="_Toc199318337"/>
      <w:bookmarkStart w:id="680" w:name="_Toc211643905"/>
      <w:bookmarkStart w:id="681" w:name="_Toc207526822"/>
      <w:bookmarkStart w:id="682" w:name="_Toc247945912"/>
      <w:r>
        <w:rPr>
          <w:rFonts w:hint="eastAsia" w:ascii="宋体" w:hAnsi="宋体" w:eastAsia="宋体" w:cs="宋体"/>
          <w:color w:val="auto"/>
          <w:sz w:val="24"/>
          <w:szCs w:val="24"/>
          <w:highlight w:val="none"/>
        </w:rPr>
        <w:t>5.2 本工程质量保修书,由施工合同发包人、承包人双方在竣工验收前共同签署，作为施工合同附件，其有效期限至保修期满。</w:t>
      </w:r>
      <w:bookmarkEnd w:id="678"/>
      <w:bookmarkEnd w:id="679"/>
      <w:bookmarkEnd w:id="680"/>
      <w:bookmarkEnd w:id="681"/>
      <w:bookmarkEnd w:id="682"/>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发包人（公章）：承包人（公章）：</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法定代表人（签字）：法定代表人（签字）：</w:t>
      </w:r>
    </w:p>
    <w:p>
      <w:pPr>
        <w:spacing w:line="360" w:lineRule="auto"/>
        <w:rPr>
          <w:rFonts w:hint="eastAsia" w:ascii="宋体" w:hAnsi="宋体" w:eastAsia="宋体" w:cs="宋体"/>
          <w:color w:val="auto"/>
          <w:sz w:val="24"/>
          <w:szCs w:val="24"/>
          <w:highlight w:val="none"/>
        </w:rPr>
      </w:pPr>
    </w:p>
    <w:p>
      <w:pPr>
        <w:keepNext w:val="0"/>
        <w:keepLines w:val="0"/>
        <w:pageBreakBefore w:val="0"/>
        <w:kinsoku/>
        <w:overflowPunct/>
        <w:bidi w:val="0"/>
        <w:spacing w:beforeAutospacing="0" w:afterAutospacing="0" w:line="360" w:lineRule="auto"/>
        <w:textAlignment w:val="auto"/>
        <w:rPr>
          <w:rFonts w:hint="eastAsia"/>
          <w:color w:val="auto"/>
        </w:rPr>
      </w:pPr>
      <w:r>
        <w:rPr>
          <w:rFonts w:hint="eastAsia" w:ascii="宋体" w:hAnsi="宋体" w:eastAsia="宋体" w:cs="宋体"/>
          <w:color w:val="auto"/>
          <w:sz w:val="24"/>
          <w:szCs w:val="24"/>
          <w:highlight w:val="none"/>
        </w:rPr>
        <w:t>年月日年月日</w:t>
      </w:r>
    </w:p>
    <w:p>
      <w:pPr>
        <w:spacing w:line="360" w:lineRule="auto"/>
        <w:jc w:val="center"/>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p>
    <w:bookmarkEnd w:id="127"/>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p>
    <w:p>
      <w:pPr>
        <w:pStyle w:val="37"/>
        <w:spacing w:line="360" w:lineRule="auto"/>
        <w:rPr>
          <w:rFonts w:hint="eastAsia" w:ascii="宋体" w:hAnsi="宋体" w:eastAsia="宋体" w:cs="宋体"/>
          <w:sz w:val="24"/>
          <w:szCs w:val="24"/>
        </w:rPr>
      </w:pPr>
      <w:bookmarkStart w:id="683" w:name="_Toc41037911"/>
      <w:r>
        <w:rPr>
          <w:rFonts w:hint="eastAsia" w:ascii="宋体" w:hAnsi="宋体" w:eastAsia="宋体" w:cs="宋体"/>
          <w:sz w:val="24"/>
          <w:szCs w:val="24"/>
        </w:rPr>
        <w:t>第十章</w:t>
      </w:r>
      <w:r>
        <w:rPr>
          <w:rFonts w:hint="eastAsia" w:ascii="宋体" w:hAnsi="宋体" w:cs="宋体"/>
          <w:sz w:val="24"/>
          <w:szCs w:val="24"/>
          <w:lang w:val="en-US" w:eastAsia="zh-CN"/>
        </w:rPr>
        <w:t xml:space="preserve">  </w:t>
      </w:r>
      <w:r>
        <w:rPr>
          <w:rFonts w:hint="eastAsia" w:ascii="宋体" w:hAnsi="宋体" w:eastAsia="宋体" w:cs="宋体"/>
          <w:sz w:val="24"/>
          <w:szCs w:val="24"/>
        </w:rPr>
        <w:t>工程量清单和图纸</w:t>
      </w:r>
      <w:bookmarkEnd w:id="683"/>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另册。</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sectPr>
      <w:headerReference r:id="rId3" w:type="default"/>
      <w:footerReference r:id="rId4" w:type="default"/>
      <w:pgSz w:w="11907" w:h="16840"/>
      <w:pgMar w:top="1134" w:right="1418" w:bottom="1134" w:left="141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w:t>
    </w:r>
    <w:r>
      <w:t xml:space="preserve"> 106 -</w:t>
    </w:r>
    <w:r>
      <w:fldChar w:fldCharType="end"/>
    </w:r>
  </w:p>
  <w:p>
    <w:pPr>
      <w:pStyle w:val="26"/>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349D"/>
    <w:multiLevelType w:val="singleLevel"/>
    <w:tmpl w:val="8577349D"/>
    <w:lvl w:ilvl="0" w:tentative="0">
      <w:start w:val="1"/>
      <w:numFmt w:val="decimal"/>
      <w:suff w:val="nothing"/>
      <w:lvlText w:val="（%1）"/>
      <w:lvlJc w:val="left"/>
      <w:pPr>
        <w:ind w:left="0" w:firstLine="420"/>
      </w:pPr>
      <w:rPr>
        <w:rFonts w:hint="default"/>
      </w:rPr>
    </w:lvl>
  </w:abstractNum>
  <w:abstractNum w:abstractNumId="1">
    <w:nsid w:val="A7AD1E0F"/>
    <w:multiLevelType w:val="singleLevel"/>
    <w:tmpl w:val="A7AD1E0F"/>
    <w:lvl w:ilvl="0" w:tentative="0">
      <w:start w:val="8"/>
      <w:numFmt w:val="chineseCounting"/>
      <w:suff w:val="nothing"/>
      <w:lvlText w:val="%1、"/>
      <w:lvlJc w:val="left"/>
      <w:rPr>
        <w:rFonts w:hint="eastAsia"/>
      </w:rPr>
    </w:lvl>
  </w:abstractNum>
  <w:abstractNum w:abstractNumId="2">
    <w:nsid w:val="28EA551B"/>
    <w:multiLevelType w:val="multilevel"/>
    <w:tmpl w:val="28EA55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6C33A13"/>
    <w:multiLevelType w:val="multilevel"/>
    <w:tmpl w:val="56C33A1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C07086"/>
    <w:multiLevelType w:val="singleLevel"/>
    <w:tmpl w:val="59C07086"/>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s">
    <w15:presenceInfo w15:providerId="None" w15:userId="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MxMGNkYTJhN2NkODc0MzYwZWZhYmI0Y2E4ZDVlOGEifQ=="/>
  </w:docVars>
  <w:rsids>
    <w:rsidRoot w:val="004963CF"/>
    <w:rsid w:val="000002C9"/>
    <w:rsid w:val="00001BA6"/>
    <w:rsid w:val="0000280D"/>
    <w:rsid w:val="000045B2"/>
    <w:rsid w:val="00005366"/>
    <w:rsid w:val="00005ED2"/>
    <w:rsid w:val="00006B76"/>
    <w:rsid w:val="00007C75"/>
    <w:rsid w:val="000118D6"/>
    <w:rsid w:val="00011D5F"/>
    <w:rsid w:val="0001383C"/>
    <w:rsid w:val="000142E9"/>
    <w:rsid w:val="0001445E"/>
    <w:rsid w:val="0001644F"/>
    <w:rsid w:val="00024AAB"/>
    <w:rsid w:val="00025453"/>
    <w:rsid w:val="00026573"/>
    <w:rsid w:val="00027650"/>
    <w:rsid w:val="000320FB"/>
    <w:rsid w:val="0003490D"/>
    <w:rsid w:val="000350DB"/>
    <w:rsid w:val="000352C0"/>
    <w:rsid w:val="000353EC"/>
    <w:rsid w:val="00036A7C"/>
    <w:rsid w:val="000438EF"/>
    <w:rsid w:val="00043BB1"/>
    <w:rsid w:val="00043DEF"/>
    <w:rsid w:val="000445CD"/>
    <w:rsid w:val="00044D30"/>
    <w:rsid w:val="00045F05"/>
    <w:rsid w:val="00047A99"/>
    <w:rsid w:val="00047C44"/>
    <w:rsid w:val="00052ECD"/>
    <w:rsid w:val="00056AF4"/>
    <w:rsid w:val="0005711D"/>
    <w:rsid w:val="00057788"/>
    <w:rsid w:val="000618F1"/>
    <w:rsid w:val="00063229"/>
    <w:rsid w:val="00065A79"/>
    <w:rsid w:val="00065B86"/>
    <w:rsid w:val="0007080C"/>
    <w:rsid w:val="00075C45"/>
    <w:rsid w:val="00076B9A"/>
    <w:rsid w:val="000771C9"/>
    <w:rsid w:val="000805C3"/>
    <w:rsid w:val="00080D90"/>
    <w:rsid w:val="00080EF8"/>
    <w:rsid w:val="00084B9B"/>
    <w:rsid w:val="00085618"/>
    <w:rsid w:val="00085C54"/>
    <w:rsid w:val="00090C38"/>
    <w:rsid w:val="00090C4E"/>
    <w:rsid w:val="00093573"/>
    <w:rsid w:val="000944EF"/>
    <w:rsid w:val="00097C46"/>
    <w:rsid w:val="000A08BB"/>
    <w:rsid w:val="000A12BE"/>
    <w:rsid w:val="000A4C23"/>
    <w:rsid w:val="000B079C"/>
    <w:rsid w:val="000B6A3F"/>
    <w:rsid w:val="000B718E"/>
    <w:rsid w:val="000B7A9E"/>
    <w:rsid w:val="000B7D6B"/>
    <w:rsid w:val="000C10A0"/>
    <w:rsid w:val="000C166E"/>
    <w:rsid w:val="000C1FF6"/>
    <w:rsid w:val="000C339F"/>
    <w:rsid w:val="000C4C4B"/>
    <w:rsid w:val="000C637A"/>
    <w:rsid w:val="000C65F1"/>
    <w:rsid w:val="000C6E82"/>
    <w:rsid w:val="000C7291"/>
    <w:rsid w:val="000C770F"/>
    <w:rsid w:val="000D0B1C"/>
    <w:rsid w:val="000D3DE4"/>
    <w:rsid w:val="000D5CC4"/>
    <w:rsid w:val="000E170E"/>
    <w:rsid w:val="000E1C7E"/>
    <w:rsid w:val="000F0293"/>
    <w:rsid w:val="000F5193"/>
    <w:rsid w:val="000F6146"/>
    <w:rsid w:val="000F6963"/>
    <w:rsid w:val="0010372F"/>
    <w:rsid w:val="00103EF3"/>
    <w:rsid w:val="00104100"/>
    <w:rsid w:val="0010456F"/>
    <w:rsid w:val="00110935"/>
    <w:rsid w:val="00112184"/>
    <w:rsid w:val="00114F40"/>
    <w:rsid w:val="0011501C"/>
    <w:rsid w:val="001205C1"/>
    <w:rsid w:val="00122204"/>
    <w:rsid w:val="00122ABF"/>
    <w:rsid w:val="00122F61"/>
    <w:rsid w:val="00123C23"/>
    <w:rsid w:val="001258F3"/>
    <w:rsid w:val="00125BDF"/>
    <w:rsid w:val="00125C11"/>
    <w:rsid w:val="00134E24"/>
    <w:rsid w:val="00135774"/>
    <w:rsid w:val="0013646E"/>
    <w:rsid w:val="00136E45"/>
    <w:rsid w:val="00137AD4"/>
    <w:rsid w:val="001430BB"/>
    <w:rsid w:val="00143782"/>
    <w:rsid w:val="0014617C"/>
    <w:rsid w:val="00146917"/>
    <w:rsid w:val="001471E1"/>
    <w:rsid w:val="00154637"/>
    <w:rsid w:val="001562CC"/>
    <w:rsid w:val="00161605"/>
    <w:rsid w:val="001619E0"/>
    <w:rsid w:val="00163CFF"/>
    <w:rsid w:val="00163DCD"/>
    <w:rsid w:val="00164D5B"/>
    <w:rsid w:val="001673A2"/>
    <w:rsid w:val="00167967"/>
    <w:rsid w:val="00170D1A"/>
    <w:rsid w:val="00171519"/>
    <w:rsid w:val="00177983"/>
    <w:rsid w:val="00180C7B"/>
    <w:rsid w:val="0018155B"/>
    <w:rsid w:val="001830FA"/>
    <w:rsid w:val="0018628A"/>
    <w:rsid w:val="00186F46"/>
    <w:rsid w:val="00186F9A"/>
    <w:rsid w:val="001870EF"/>
    <w:rsid w:val="001903C6"/>
    <w:rsid w:val="001908E4"/>
    <w:rsid w:val="0019108A"/>
    <w:rsid w:val="001917C3"/>
    <w:rsid w:val="001921F2"/>
    <w:rsid w:val="0019526D"/>
    <w:rsid w:val="00195CCF"/>
    <w:rsid w:val="00197003"/>
    <w:rsid w:val="00197F6D"/>
    <w:rsid w:val="001A3E74"/>
    <w:rsid w:val="001A4537"/>
    <w:rsid w:val="001A5C81"/>
    <w:rsid w:val="001A60FF"/>
    <w:rsid w:val="001A644E"/>
    <w:rsid w:val="001B0DDC"/>
    <w:rsid w:val="001B21E6"/>
    <w:rsid w:val="001B3A88"/>
    <w:rsid w:val="001B5643"/>
    <w:rsid w:val="001C00B8"/>
    <w:rsid w:val="001C25E2"/>
    <w:rsid w:val="001C5CD0"/>
    <w:rsid w:val="001C765F"/>
    <w:rsid w:val="001C7906"/>
    <w:rsid w:val="001C7AFA"/>
    <w:rsid w:val="001D0047"/>
    <w:rsid w:val="001D1EC9"/>
    <w:rsid w:val="001D21A7"/>
    <w:rsid w:val="001D3D83"/>
    <w:rsid w:val="001D4AFE"/>
    <w:rsid w:val="001D6B0D"/>
    <w:rsid w:val="001D7434"/>
    <w:rsid w:val="001D7D77"/>
    <w:rsid w:val="001E10B6"/>
    <w:rsid w:val="001E3951"/>
    <w:rsid w:val="001E4F12"/>
    <w:rsid w:val="001E78D3"/>
    <w:rsid w:val="001E7E2D"/>
    <w:rsid w:val="001F0C43"/>
    <w:rsid w:val="001F468E"/>
    <w:rsid w:val="001F4A11"/>
    <w:rsid w:val="001F4B4F"/>
    <w:rsid w:val="001F50A2"/>
    <w:rsid w:val="001F5C93"/>
    <w:rsid w:val="002006F5"/>
    <w:rsid w:val="002009C2"/>
    <w:rsid w:val="00201B60"/>
    <w:rsid w:val="00203961"/>
    <w:rsid w:val="002043D9"/>
    <w:rsid w:val="002045CB"/>
    <w:rsid w:val="00206470"/>
    <w:rsid w:val="00215A5B"/>
    <w:rsid w:val="00217462"/>
    <w:rsid w:val="002308E0"/>
    <w:rsid w:val="00231731"/>
    <w:rsid w:val="002319FD"/>
    <w:rsid w:val="002341E5"/>
    <w:rsid w:val="00234840"/>
    <w:rsid w:val="00235948"/>
    <w:rsid w:val="00236F74"/>
    <w:rsid w:val="00240ACF"/>
    <w:rsid w:val="00241FB1"/>
    <w:rsid w:val="00243EFE"/>
    <w:rsid w:val="002501A9"/>
    <w:rsid w:val="00251126"/>
    <w:rsid w:val="0025237B"/>
    <w:rsid w:val="00254D85"/>
    <w:rsid w:val="00255520"/>
    <w:rsid w:val="0025607A"/>
    <w:rsid w:val="00266A70"/>
    <w:rsid w:val="002671EC"/>
    <w:rsid w:val="0026792F"/>
    <w:rsid w:val="00270166"/>
    <w:rsid w:val="0027469A"/>
    <w:rsid w:val="00277FC7"/>
    <w:rsid w:val="00281F04"/>
    <w:rsid w:val="002836B8"/>
    <w:rsid w:val="002879B4"/>
    <w:rsid w:val="00287FEF"/>
    <w:rsid w:val="00292EB2"/>
    <w:rsid w:val="00294BB9"/>
    <w:rsid w:val="00294D41"/>
    <w:rsid w:val="002951C3"/>
    <w:rsid w:val="00297E22"/>
    <w:rsid w:val="002A1CE0"/>
    <w:rsid w:val="002A1E25"/>
    <w:rsid w:val="002A20DF"/>
    <w:rsid w:val="002A3BD4"/>
    <w:rsid w:val="002A70BB"/>
    <w:rsid w:val="002B4916"/>
    <w:rsid w:val="002B5DA8"/>
    <w:rsid w:val="002B78F0"/>
    <w:rsid w:val="002C2FC5"/>
    <w:rsid w:val="002C4B42"/>
    <w:rsid w:val="002C5839"/>
    <w:rsid w:val="002C593F"/>
    <w:rsid w:val="002C5C0C"/>
    <w:rsid w:val="002C6271"/>
    <w:rsid w:val="002C7030"/>
    <w:rsid w:val="002D1422"/>
    <w:rsid w:val="002D2264"/>
    <w:rsid w:val="002D4948"/>
    <w:rsid w:val="002D60CA"/>
    <w:rsid w:val="002E08D9"/>
    <w:rsid w:val="002E47D1"/>
    <w:rsid w:val="002E4CEA"/>
    <w:rsid w:val="002E7B61"/>
    <w:rsid w:val="002F0009"/>
    <w:rsid w:val="002F59B1"/>
    <w:rsid w:val="0030072D"/>
    <w:rsid w:val="00303F64"/>
    <w:rsid w:val="00304070"/>
    <w:rsid w:val="00304BB6"/>
    <w:rsid w:val="003106B2"/>
    <w:rsid w:val="00311633"/>
    <w:rsid w:val="00311C55"/>
    <w:rsid w:val="0031394A"/>
    <w:rsid w:val="00313A80"/>
    <w:rsid w:val="003153A8"/>
    <w:rsid w:val="00315D8B"/>
    <w:rsid w:val="003162F4"/>
    <w:rsid w:val="003178CB"/>
    <w:rsid w:val="00317B78"/>
    <w:rsid w:val="00317D06"/>
    <w:rsid w:val="0032672E"/>
    <w:rsid w:val="00327C0C"/>
    <w:rsid w:val="003303C0"/>
    <w:rsid w:val="0033168C"/>
    <w:rsid w:val="00332C92"/>
    <w:rsid w:val="00334212"/>
    <w:rsid w:val="003361D1"/>
    <w:rsid w:val="0033631C"/>
    <w:rsid w:val="0033766F"/>
    <w:rsid w:val="0034034E"/>
    <w:rsid w:val="003417F8"/>
    <w:rsid w:val="00342009"/>
    <w:rsid w:val="003426D7"/>
    <w:rsid w:val="00344A9F"/>
    <w:rsid w:val="0034663D"/>
    <w:rsid w:val="003469FF"/>
    <w:rsid w:val="00346BEF"/>
    <w:rsid w:val="00346C0D"/>
    <w:rsid w:val="00346C9C"/>
    <w:rsid w:val="003502EC"/>
    <w:rsid w:val="00355F0C"/>
    <w:rsid w:val="003562B1"/>
    <w:rsid w:val="003579D0"/>
    <w:rsid w:val="00360133"/>
    <w:rsid w:val="00360576"/>
    <w:rsid w:val="00361AB0"/>
    <w:rsid w:val="00364CD9"/>
    <w:rsid w:val="00366093"/>
    <w:rsid w:val="0037038E"/>
    <w:rsid w:val="00374B12"/>
    <w:rsid w:val="00375AFF"/>
    <w:rsid w:val="00377D57"/>
    <w:rsid w:val="003803E0"/>
    <w:rsid w:val="00383128"/>
    <w:rsid w:val="0038506C"/>
    <w:rsid w:val="00391056"/>
    <w:rsid w:val="00391C6E"/>
    <w:rsid w:val="003946BC"/>
    <w:rsid w:val="00394768"/>
    <w:rsid w:val="0039603D"/>
    <w:rsid w:val="003964FD"/>
    <w:rsid w:val="003A1458"/>
    <w:rsid w:val="003A2B58"/>
    <w:rsid w:val="003A3EBE"/>
    <w:rsid w:val="003A3ED5"/>
    <w:rsid w:val="003A63F4"/>
    <w:rsid w:val="003A6752"/>
    <w:rsid w:val="003B2363"/>
    <w:rsid w:val="003B2462"/>
    <w:rsid w:val="003B5A53"/>
    <w:rsid w:val="003C0005"/>
    <w:rsid w:val="003C0916"/>
    <w:rsid w:val="003C179C"/>
    <w:rsid w:val="003C3544"/>
    <w:rsid w:val="003C46EC"/>
    <w:rsid w:val="003C4E7E"/>
    <w:rsid w:val="003C4FA1"/>
    <w:rsid w:val="003D07F1"/>
    <w:rsid w:val="003D111B"/>
    <w:rsid w:val="003D1341"/>
    <w:rsid w:val="003D18C4"/>
    <w:rsid w:val="003D224D"/>
    <w:rsid w:val="003D378F"/>
    <w:rsid w:val="003D6413"/>
    <w:rsid w:val="003D698E"/>
    <w:rsid w:val="003D6A42"/>
    <w:rsid w:val="003E25E3"/>
    <w:rsid w:val="003F3B66"/>
    <w:rsid w:val="003F6E87"/>
    <w:rsid w:val="003F71D0"/>
    <w:rsid w:val="003F7D73"/>
    <w:rsid w:val="0040095C"/>
    <w:rsid w:val="00400ADA"/>
    <w:rsid w:val="004014E2"/>
    <w:rsid w:val="00401858"/>
    <w:rsid w:val="00402669"/>
    <w:rsid w:val="00402CD6"/>
    <w:rsid w:val="00404536"/>
    <w:rsid w:val="004061B6"/>
    <w:rsid w:val="00414634"/>
    <w:rsid w:val="00417AD7"/>
    <w:rsid w:val="004213B7"/>
    <w:rsid w:val="00425BFC"/>
    <w:rsid w:val="00426A9B"/>
    <w:rsid w:val="0042738C"/>
    <w:rsid w:val="00430C54"/>
    <w:rsid w:val="004313A0"/>
    <w:rsid w:val="00432917"/>
    <w:rsid w:val="00434105"/>
    <w:rsid w:val="004348E7"/>
    <w:rsid w:val="004363C4"/>
    <w:rsid w:val="00436855"/>
    <w:rsid w:val="00437E7E"/>
    <w:rsid w:val="00437F74"/>
    <w:rsid w:val="004429D7"/>
    <w:rsid w:val="00442AA5"/>
    <w:rsid w:val="00442FCA"/>
    <w:rsid w:val="00443672"/>
    <w:rsid w:val="004467BC"/>
    <w:rsid w:val="00446D90"/>
    <w:rsid w:val="00454CC8"/>
    <w:rsid w:val="00456B96"/>
    <w:rsid w:val="004622A8"/>
    <w:rsid w:val="00464AAC"/>
    <w:rsid w:val="00465791"/>
    <w:rsid w:val="00466819"/>
    <w:rsid w:val="00471382"/>
    <w:rsid w:val="00471CDE"/>
    <w:rsid w:val="00472E4C"/>
    <w:rsid w:val="004738F5"/>
    <w:rsid w:val="00474A4C"/>
    <w:rsid w:val="004761FA"/>
    <w:rsid w:val="0047791E"/>
    <w:rsid w:val="004803C2"/>
    <w:rsid w:val="00481777"/>
    <w:rsid w:val="00481AF0"/>
    <w:rsid w:val="004824AC"/>
    <w:rsid w:val="00482521"/>
    <w:rsid w:val="00482650"/>
    <w:rsid w:val="00482974"/>
    <w:rsid w:val="0048681D"/>
    <w:rsid w:val="00486B78"/>
    <w:rsid w:val="0049059C"/>
    <w:rsid w:val="00490C59"/>
    <w:rsid w:val="00491ECD"/>
    <w:rsid w:val="00492D02"/>
    <w:rsid w:val="00493269"/>
    <w:rsid w:val="00494218"/>
    <w:rsid w:val="004948F7"/>
    <w:rsid w:val="004951B2"/>
    <w:rsid w:val="00495EAC"/>
    <w:rsid w:val="004963CF"/>
    <w:rsid w:val="0049661D"/>
    <w:rsid w:val="00496D41"/>
    <w:rsid w:val="004A02C0"/>
    <w:rsid w:val="004A14C7"/>
    <w:rsid w:val="004A1B5B"/>
    <w:rsid w:val="004A1EFE"/>
    <w:rsid w:val="004A2209"/>
    <w:rsid w:val="004A2E20"/>
    <w:rsid w:val="004A6A55"/>
    <w:rsid w:val="004A6CFC"/>
    <w:rsid w:val="004B0B86"/>
    <w:rsid w:val="004B1667"/>
    <w:rsid w:val="004B2429"/>
    <w:rsid w:val="004B30A8"/>
    <w:rsid w:val="004B477A"/>
    <w:rsid w:val="004B5F7C"/>
    <w:rsid w:val="004C121E"/>
    <w:rsid w:val="004C1809"/>
    <w:rsid w:val="004C267B"/>
    <w:rsid w:val="004C31F7"/>
    <w:rsid w:val="004C41D4"/>
    <w:rsid w:val="004C5693"/>
    <w:rsid w:val="004C572D"/>
    <w:rsid w:val="004C67A5"/>
    <w:rsid w:val="004D027A"/>
    <w:rsid w:val="004D3E29"/>
    <w:rsid w:val="004D6377"/>
    <w:rsid w:val="004D7A52"/>
    <w:rsid w:val="004E03AD"/>
    <w:rsid w:val="004E12DB"/>
    <w:rsid w:val="004E1559"/>
    <w:rsid w:val="004E28D8"/>
    <w:rsid w:val="004E2ED0"/>
    <w:rsid w:val="004E3F87"/>
    <w:rsid w:val="004E4275"/>
    <w:rsid w:val="004E4EBD"/>
    <w:rsid w:val="004E502D"/>
    <w:rsid w:val="004F012B"/>
    <w:rsid w:val="004F04C5"/>
    <w:rsid w:val="004F28B3"/>
    <w:rsid w:val="004F2C27"/>
    <w:rsid w:val="004F2D9F"/>
    <w:rsid w:val="004F7EC8"/>
    <w:rsid w:val="00500ADA"/>
    <w:rsid w:val="005011F1"/>
    <w:rsid w:val="0050422D"/>
    <w:rsid w:val="005045AA"/>
    <w:rsid w:val="0050632B"/>
    <w:rsid w:val="00506B36"/>
    <w:rsid w:val="00511247"/>
    <w:rsid w:val="0051476C"/>
    <w:rsid w:val="00516757"/>
    <w:rsid w:val="005170A5"/>
    <w:rsid w:val="00522F23"/>
    <w:rsid w:val="00523BB1"/>
    <w:rsid w:val="00525235"/>
    <w:rsid w:val="005257E2"/>
    <w:rsid w:val="00525ABD"/>
    <w:rsid w:val="00526EC5"/>
    <w:rsid w:val="00527A5D"/>
    <w:rsid w:val="00530AC8"/>
    <w:rsid w:val="00535B4B"/>
    <w:rsid w:val="00541304"/>
    <w:rsid w:val="00541DA0"/>
    <w:rsid w:val="00541E0D"/>
    <w:rsid w:val="00542BDD"/>
    <w:rsid w:val="00543B42"/>
    <w:rsid w:val="00545AC0"/>
    <w:rsid w:val="00550F27"/>
    <w:rsid w:val="0055230B"/>
    <w:rsid w:val="00566338"/>
    <w:rsid w:val="00570A02"/>
    <w:rsid w:val="00573ED4"/>
    <w:rsid w:val="00575D04"/>
    <w:rsid w:val="005766C7"/>
    <w:rsid w:val="00576C41"/>
    <w:rsid w:val="005830B0"/>
    <w:rsid w:val="00584823"/>
    <w:rsid w:val="00584E64"/>
    <w:rsid w:val="00585158"/>
    <w:rsid w:val="0058612A"/>
    <w:rsid w:val="005901DD"/>
    <w:rsid w:val="00596438"/>
    <w:rsid w:val="00597088"/>
    <w:rsid w:val="00597604"/>
    <w:rsid w:val="00597A44"/>
    <w:rsid w:val="005A1C32"/>
    <w:rsid w:val="005A2E43"/>
    <w:rsid w:val="005A45A5"/>
    <w:rsid w:val="005B0BF1"/>
    <w:rsid w:val="005B1814"/>
    <w:rsid w:val="005B21E3"/>
    <w:rsid w:val="005B7553"/>
    <w:rsid w:val="005B75E3"/>
    <w:rsid w:val="005C6DC1"/>
    <w:rsid w:val="005C713C"/>
    <w:rsid w:val="005C7991"/>
    <w:rsid w:val="005C7994"/>
    <w:rsid w:val="005D0CC2"/>
    <w:rsid w:val="005D0E49"/>
    <w:rsid w:val="005D16BA"/>
    <w:rsid w:val="005D326A"/>
    <w:rsid w:val="005D4DD4"/>
    <w:rsid w:val="005D5133"/>
    <w:rsid w:val="005D57B4"/>
    <w:rsid w:val="005D6829"/>
    <w:rsid w:val="005D74D1"/>
    <w:rsid w:val="005E1006"/>
    <w:rsid w:val="005E3748"/>
    <w:rsid w:val="005E3FE6"/>
    <w:rsid w:val="005E58C3"/>
    <w:rsid w:val="005F072A"/>
    <w:rsid w:val="005F082D"/>
    <w:rsid w:val="005F37DA"/>
    <w:rsid w:val="005F5360"/>
    <w:rsid w:val="005F6C91"/>
    <w:rsid w:val="00600009"/>
    <w:rsid w:val="006008AE"/>
    <w:rsid w:val="00610785"/>
    <w:rsid w:val="0061107A"/>
    <w:rsid w:val="00611C56"/>
    <w:rsid w:val="00612313"/>
    <w:rsid w:val="0061340F"/>
    <w:rsid w:val="00614F72"/>
    <w:rsid w:val="006153EB"/>
    <w:rsid w:val="00616DD2"/>
    <w:rsid w:val="006172A2"/>
    <w:rsid w:val="00617F62"/>
    <w:rsid w:val="00620F31"/>
    <w:rsid w:val="006210B4"/>
    <w:rsid w:val="00622975"/>
    <w:rsid w:val="0062363E"/>
    <w:rsid w:val="006240F5"/>
    <w:rsid w:val="00626F0F"/>
    <w:rsid w:val="0062788E"/>
    <w:rsid w:val="0063150C"/>
    <w:rsid w:val="0063163D"/>
    <w:rsid w:val="00631927"/>
    <w:rsid w:val="00631994"/>
    <w:rsid w:val="006319C9"/>
    <w:rsid w:val="00632D7C"/>
    <w:rsid w:val="00635B24"/>
    <w:rsid w:val="00641535"/>
    <w:rsid w:val="006419A1"/>
    <w:rsid w:val="0064259D"/>
    <w:rsid w:val="00644966"/>
    <w:rsid w:val="00645411"/>
    <w:rsid w:val="00646734"/>
    <w:rsid w:val="00647B85"/>
    <w:rsid w:val="00653449"/>
    <w:rsid w:val="006547D5"/>
    <w:rsid w:val="00654A6A"/>
    <w:rsid w:val="0066294C"/>
    <w:rsid w:val="00665DC0"/>
    <w:rsid w:val="006662C3"/>
    <w:rsid w:val="006662D9"/>
    <w:rsid w:val="00666814"/>
    <w:rsid w:val="00666DF3"/>
    <w:rsid w:val="006728B1"/>
    <w:rsid w:val="0067569A"/>
    <w:rsid w:val="00675FC0"/>
    <w:rsid w:val="00681B80"/>
    <w:rsid w:val="00684FDE"/>
    <w:rsid w:val="00685B07"/>
    <w:rsid w:val="006879C6"/>
    <w:rsid w:val="006908CB"/>
    <w:rsid w:val="00692BB8"/>
    <w:rsid w:val="00694B8F"/>
    <w:rsid w:val="00695FFE"/>
    <w:rsid w:val="006972E5"/>
    <w:rsid w:val="00697650"/>
    <w:rsid w:val="006A1D9C"/>
    <w:rsid w:val="006A3908"/>
    <w:rsid w:val="006A6924"/>
    <w:rsid w:val="006A697C"/>
    <w:rsid w:val="006A6BD0"/>
    <w:rsid w:val="006A6F9A"/>
    <w:rsid w:val="006A7684"/>
    <w:rsid w:val="006B4996"/>
    <w:rsid w:val="006B565C"/>
    <w:rsid w:val="006B6642"/>
    <w:rsid w:val="006B697F"/>
    <w:rsid w:val="006B71A8"/>
    <w:rsid w:val="006B74C2"/>
    <w:rsid w:val="006C091C"/>
    <w:rsid w:val="006C1DE7"/>
    <w:rsid w:val="006C28E3"/>
    <w:rsid w:val="006C2925"/>
    <w:rsid w:val="006C4848"/>
    <w:rsid w:val="006C4E28"/>
    <w:rsid w:val="006C5032"/>
    <w:rsid w:val="006C6D59"/>
    <w:rsid w:val="006D3F7D"/>
    <w:rsid w:val="006D45FF"/>
    <w:rsid w:val="006D4FB4"/>
    <w:rsid w:val="006D58EF"/>
    <w:rsid w:val="006D7D20"/>
    <w:rsid w:val="006E3F97"/>
    <w:rsid w:val="006E40BE"/>
    <w:rsid w:val="006F25AD"/>
    <w:rsid w:val="006F2F68"/>
    <w:rsid w:val="006F3CBC"/>
    <w:rsid w:val="006F6A85"/>
    <w:rsid w:val="006F7CB3"/>
    <w:rsid w:val="00700ADB"/>
    <w:rsid w:val="007024C5"/>
    <w:rsid w:val="00704ACE"/>
    <w:rsid w:val="00705EFB"/>
    <w:rsid w:val="00706FD2"/>
    <w:rsid w:val="00707171"/>
    <w:rsid w:val="00707B57"/>
    <w:rsid w:val="00707CC8"/>
    <w:rsid w:val="00710B43"/>
    <w:rsid w:val="00712414"/>
    <w:rsid w:val="007127D1"/>
    <w:rsid w:val="00712C9C"/>
    <w:rsid w:val="00720397"/>
    <w:rsid w:val="007213C7"/>
    <w:rsid w:val="0072141B"/>
    <w:rsid w:val="00721509"/>
    <w:rsid w:val="00727C02"/>
    <w:rsid w:val="00730EC4"/>
    <w:rsid w:val="00731D8B"/>
    <w:rsid w:val="00732BF6"/>
    <w:rsid w:val="0073305A"/>
    <w:rsid w:val="00733C18"/>
    <w:rsid w:val="00735E22"/>
    <w:rsid w:val="007365B6"/>
    <w:rsid w:val="00736664"/>
    <w:rsid w:val="00736BD5"/>
    <w:rsid w:val="00743808"/>
    <w:rsid w:val="00744571"/>
    <w:rsid w:val="00746CBE"/>
    <w:rsid w:val="007473CE"/>
    <w:rsid w:val="00747C22"/>
    <w:rsid w:val="00750071"/>
    <w:rsid w:val="0075300D"/>
    <w:rsid w:val="007547FD"/>
    <w:rsid w:val="00754996"/>
    <w:rsid w:val="00754F74"/>
    <w:rsid w:val="00755173"/>
    <w:rsid w:val="007555E6"/>
    <w:rsid w:val="00755910"/>
    <w:rsid w:val="00755D75"/>
    <w:rsid w:val="0075776A"/>
    <w:rsid w:val="00760B0E"/>
    <w:rsid w:val="0076313E"/>
    <w:rsid w:val="00764985"/>
    <w:rsid w:val="00767158"/>
    <w:rsid w:val="007708D0"/>
    <w:rsid w:val="00771A68"/>
    <w:rsid w:val="00774F0B"/>
    <w:rsid w:val="00780942"/>
    <w:rsid w:val="007819CC"/>
    <w:rsid w:val="00787623"/>
    <w:rsid w:val="00787836"/>
    <w:rsid w:val="00791FB7"/>
    <w:rsid w:val="00792255"/>
    <w:rsid w:val="00792C89"/>
    <w:rsid w:val="00797F2B"/>
    <w:rsid w:val="007A3BA9"/>
    <w:rsid w:val="007A7CC8"/>
    <w:rsid w:val="007B2D1C"/>
    <w:rsid w:val="007B3F84"/>
    <w:rsid w:val="007B600E"/>
    <w:rsid w:val="007B63C3"/>
    <w:rsid w:val="007B7199"/>
    <w:rsid w:val="007C12F0"/>
    <w:rsid w:val="007C4898"/>
    <w:rsid w:val="007C7282"/>
    <w:rsid w:val="007D24F1"/>
    <w:rsid w:val="007D2D38"/>
    <w:rsid w:val="007D2E33"/>
    <w:rsid w:val="007D449D"/>
    <w:rsid w:val="007D5E44"/>
    <w:rsid w:val="007D606E"/>
    <w:rsid w:val="007D64CD"/>
    <w:rsid w:val="007E051E"/>
    <w:rsid w:val="007E4753"/>
    <w:rsid w:val="007E4A49"/>
    <w:rsid w:val="007E5DBE"/>
    <w:rsid w:val="007E7C4E"/>
    <w:rsid w:val="007E7CE0"/>
    <w:rsid w:val="007F1480"/>
    <w:rsid w:val="007F2519"/>
    <w:rsid w:val="007F303D"/>
    <w:rsid w:val="007F7D23"/>
    <w:rsid w:val="00801DAA"/>
    <w:rsid w:val="008025CC"/>
    <w:rsid w:val="00810E2C"/>
    <w:rsid w:val="00811B2B"/>
    <w:rsid w:val="00817B72"/>
    <w:rsid w:val="00821456"/>
    <w:rsid w:val="0082186F"/>
    <w:rsid w:val="00824C8A"/>
    <w:rsid w:val="00825FAC"/>
    <w:rsid w:val="008300F6"/>
    <w:rsid w:val="008307DA"/>
    <w:rsid w:val="00833196"/>
    <w:rsid w:val="00834A00"/>
    <w:rsid w:val="00834B80"/>
    <w:rsid w:val="00834F0D"/>
    <w:rsid w:val="00835FAA"/>
    <w:rsid w:val="008364B3"/>
    <w:rsid w:val="00841555"/>
    <w:rsid w:val="0084669E"/>
    <w:rsid w:val="008473C6"/>
    <w:rsid w:val="0085332F"/>
    <w:rsid w:val="008534FD"/>
    <w:rsid w:val="00861A09"/>
    <w:rsid w:val="00861CCA"/>
    <w:rsid w:val="008626EA"/>
    <w:rsid w:val="00862A03"/>
    <w:rsid w:val="00862B91"/>
    <w:rsid w:val="00865C33"/>
    <w:rsid w:val="00867DBC"/>
    <w:rsid w:val="00867DBF"/>
    <w:rsid w:val="00871711"/>
    <w:rsid w:val="00872DAB"/>
    <w:rsid w:val="00872FAE"/>
    <w:rsid w:val="00873F7B"/>
    <w:rsid w:val="00874490"/>
    <w:rsid w:val="00876212"/>
    <w:rsid w:val="00880FBC"/>
    <w:rsid w:val="00883451"/>
    <w:rsid w:val="00883718"/>
    <w:rsid w:val="0088456C"/>
    <w:rsid w:val="00891D4F"/>
    <w:rsid w:val="00892F38"/>
    <w:rsid w:val="00893370"/>
    <w:rsid w:val="008944FE"/>
    <w:rsid w:val="008A02D8"/>
    <w:rsid w:val="008A1654"/>
    <w:rsid w:val="008A572D"/>
    <w:rsid w:val="008A7729"/>
    <w:rsid w:val="008B17DE"/>
    <w:rsid w:val="008B1849"/>
    <w:rsid w:val="008B235F"/>
    <w:rsid w:val="008B33EE"/>
    <w:rsid w:val="008B4D5C"/>
    <w:rsid w:val="008B53A7"/>
    <w:rsid w:val="008B6027"/>
    <w:rsid w:val="008C0F07"/>
    <w:rsid w:val="008C2D28"/>
    <w:rsid w:val="008C35B7"/>
    <w:rsid w:val="008C3EC4"/>
    <w:rsid w:val="008D0544"/>
    <w:rsid w:val="008D20D2"/>
    <w:rsid w:val="008D30E0"/>
    <w:rsid w:val="008D3ACD"/>
    <w:rsid w:val="008D66A4"/>
    <w:rsid w:val="008D6DE8"/>
    <w:rsid w:val="008E1560"/>
    <w:rsid w:val="008E5B79"/>
    <w:rsid w:val="008E66AA"/>
    <w:rsid w:val="008E76F9"/>
    <w:rsid w:val="008E7B06"/>
    <w:rsid w:val="008F1968"/>
    <w:rsid w:val="008F3394"/>
    <w:rsid w:val="008F3C56"/>
    <w:rsid w:val="008F3EAE"/>
    <w:rsid w:val="009024CB"/>
    <w:rsid w:val="00902A91"/>
    <w:rsid w:val="00903C2D"/>
    <w:rsid w:val="00906F56"/>
    <w:rsid w:val="009104E4"/>
    <w:rsid w:val="00910DBE"/>
    <w:rsid w:val="00913CF5"/>
    <w:rsid w:val="00914B86"/>
    <w:rsid w:val="00916ABC"/>
    <w:rsid w:val="00917665"/>
    <w:rsid w:val="009203F9"/>
    <w:rsid w:val="00921CA4"/>
    <w:rsid w:val="00927194"/>
    <w:rsid w:val="00931770"/>
    <w:rsid w:val="0094011F"/>
    <w:rsid w:val="009401D9"/>
    <w:rsid w:val="00942784"/>
    <w:rsid w:val="00943C4E"/>
    <w:rsid w:val="00943E92"/>
    <w:rsid w:val="00943FC8"/>
    <w:rsid w:val="00946A45"/>
    <w:rsid w:val="009474C6"/>
    <w:rsid w:val="009474E7"/>
    <w:rsid w:val="00947E30"/>
    <w:rsid w:val="00951825"/>
    <w:rsid w:val="00956184"/>
    <w:rsid w:val="00957376"/>
    <w:rsid w:val="009576C4"/>
    <w:rsid w:val="009603F0"/>
    <w:rsid w:val="00965C41"/>
    <w:rsid w:val="00966CFD"/>
    <w:rsid w:val="00970EA2"/>
    <w:rsid w:val="00971C36"/>
    <w:rsid w:val="009738A3"/>
    <w:rsid w:val="00975EA1"/>
    <w:rsid w:val="00976D3F"/>
    <w:rsid w:val="00977185"/>
    <w:rsid w:val="00977A7F"/>
    <w:rsid w:val="00977D88"/>
    <w:rsid w:val="0098092B"/>
    <w:rsid w:val="00981E9D"/>
    <w:rsid w:val="00982169"/>
    <w:rsid w:val="00982A33"/>
    <w:rsid w:val="009837B6"/>
    <w:rsid w:val="00983C8D"/>
    <w:rsid w:val="00987329"/>
    <w:rsid w:val="009902C2"/>
    <w:rsid w:val="00993C92"/>
    <w:rsid w:val="00995C35"/>
    <w:rsid w:val="009978DE"/>
    <w:rsid w:val="009A525E"/>
    <w:rsid w:val="009B2C44"/>
    <w:rsid w:val="009B73D0"/>
    <w:rsid w:val="009C1E4D"/>
    <w:rsid w:val="009C2043"/>
    <w:rsid w:val="009C3725"/>
    <w:rsid w:val="009C3A75"/>
    <w:rsid w:val="009C3AB8"/>
    <w:rsid w:val="009C4F72"/>
    <w:rsid w:val="009C5991"/>
    <w:rsid w:val="009C5AA8"/>
    <w:rsid w:val="009C5C44"/>
    <w:rsid w:val="009D000D"/>
    <w:rsid w:val="009D18F6"/>
    <w:rsid w:val="009D494D"/>
    <w:rsid w:val="009D7704"/>
    <w:rsid w:val="009D7ABD"/>
    <w:rsid w:val="009E0BDB"/>
    <w:rsid w:val="009E136E"/>
    <w:rsid w:val="009E28E0"/>
    <w:rsid w:val="009E2CCC"/>
    <w:rsid w:val="009E2E93"/>
    <w:rsid w:val="009E5399"/>
    <w:rsid w:val="009E5CCC"/>
    <w:rsid w:val="009E6747"/>
    <w:rsid w:val="009F18E5"/>
    <w:rsid w:val="009F4B45"/>
    <w:rsid w:val="009F75FC"/>
    <w:rsid w:val="00A002FC"/>
    <w:rsid w:val="00A00660"/>
    <w:rsid w:val="00A025A1"/>
    <w:rsid w:val="00A05154"/>
    <w:rsid w:val="00A05A57"/>
    <w:rsid w:val="00A12C0D"/>
    <w:rsid w:val="00A15330"/>
    <w:rsid w:val="00A15481"/>
    <w:rsid w:val="00A17B37"/>
    <w:rsid w:val="00A2276B"/>
    <w:rsid w:val="00A23476"/>
    <w:rsid w:val="00A23670"/>
    <w:rsid w:val="00A25F5D"/>
    <w:rsid w:val="00A2775B"/>
    <w:rsid w:val="00A40144"/>
    <w:rsid w:val="00A43059"/>
    <w:rsid w:val="00A440B4"/>
    <w:rsid w:val="00A4627B"/>
    <w:rsid w:val="00A47A6E"/>
    <w:rsid w:val="00A5027D"/>
    <w:rsid w:val="00A50495"/>
    <w:rsid w:val="00A50E54"/>
    <w:rsid w:val="00A51FC4"/>
    <w:rsid w:val="00A52B39"/>
    <w:rsid w:val="00A546DC"/>
    <w:rsid w:val="00A55E23"/>
    <w:rsid w:val="00A571C4"/>
    <w:rsid w:val="00A574CF"/>
    <w:rsid w:val="00A5786D"/>
    <w:rsid w:val="00A60D54"/>
    <w:rsid w:val="00A630D2"/>
    <w:rsid w:val="00A63127"/>
    <w:rsid w:val="00A65878"/>
    <w:rsid w:val="00A66F38"/>
    <w:rsid w:val="00A7043C"/>
    <w:rsid w:val="00A70485"/>
    <w:rsid w:val="00A729E1"/>
    <w:rsid w:val="00A73908"/>
    <w:rsid w:val="00A772EB"/>
    <w:rsid w:val="00A77547"/>
    <w:rsid w:val="00A77660"/>
    <w:rsid w:val="00A80030"/>
    <w:rsid w:val="00A83BCA"/>
    <w:rsid w:val="00A84003"/>
    <w:rsid w:val="00A857D2"/>
    <w:rsid w:val="00A85E99"/>
    <w:rsid w:val="00A86CCD"/>
    <w:rsid w:val="00A90654"/>
    <w:rsid w:val="00A962F5"/>
    <w:rsid w:val="00A9695B"/>
    <w:rsid w:val="00AA55DC"/>
    <w:rsid w:val="00AA75B3"/>
    <w:rsid w:val="00AB0590"/>
    <w:rsid w:val="00AB2538"/>
    <w:rsid w:val="00AB6A10"/>
    <w:rsid w:val="00AB7B34"/>
    <w:rsid w:val="00AC180A"/>
    <w:rsid w:val="00AC34BE"/>
    <w:rsid w:val="00AC6041"/>
    <w:rsid w:val="00AC61F4"/>
    <w:rsid w:val="00AC6A28"/>
    <w:rsid w:val="00AC6EF4"/>
    <w:rsid w:val="00AC700D"/>
    <w:rsid w:val="00AD0794"/>
    <w:rsid w:val="00AD2DAA"/>
    <w:rsid w:val="00AD3A82"/>
    <w:rsid w:val="00AD4502"/>
    <w:rsid w:val="00AD4C8E"/>
    <w:rsid w:val="00AD5082"/>
    <w:rsid w:val="00AD69FD"/>
    <w:rsid w:val="00AE0788"/>
    <w:rsid w:val="00AE1E2C"/>
    <w:rsid w:val="00AE3590"/>
    <w:rsid w:val="00AE3A68"/>
    <w:rsid w:val="00AE415B"/>
    <w:rsid w:val="00AE5FEB"/>
    <w:rsid w:val="00AF0008"/>
    <w:rsid w:val="00AF0981"/>
    <w:rsid w:val="00AF5417"/>
    <w:rsid w:val="00AF5921"/>
    <w:rsid w:val="00AF62D3"/>
    <w:rsid w:val="00B004A7"/>
    <w:rsid w:val="00B00614"/>
    <w:rsid w:val="00B00BF5"/>
    <w:rsid w:val="00B01DE8"/>
    <w:rsid w:val="00B033FB"/>
    <w:rsid w:val="00B051BF"/>
    <w:rsid w:val="00B0665F"/>
    <w:rsid w:val="00B076D5"/>
    <w:rsid w:val="00B07D19"/>
    <w:rsid w:val="00B1082B"/>
    <w:rsid w:val="00B12650"/>
    <w:rsid w:val="00B135E0"/>
    <w:rsid w:val="00B15B19"/>
    <w:rsid w:val="00B231E5"/>
    <w:rsid w:val="00B24FEC"/>
    <w:rsid w:val="00B254CC"/>
    <w:rsid w:val="00B2578C"/>
    <w:rsid w:val="00B25B01"/>
    <w:rsid w:val="00B2689D"/>
    <w:rsid w:val="00B27F30"/>
    <w:rsid w:val="00B30284"/>
    <w:rsid w:val="00B302A7"/>
    <w:rsid w:val="00B318C1"/>
    <w:rsid w:val="00B327FB"/>
    <w:rsid w:val="00B331B6"/>
    <w:rsid w:val="00B42772"/>
    <w:rsid w:val="00B4387F"/>
    <w:rsid w:val="00B43B12"/>
    <w:rsid w:val="00B4723E"/>
    <w:rsid w:val="00B50DD9"/>
    <w:rsid w:val="00B55F8F"/>
    <w:rsid w:val="00B56D29"/>
    <w:rsid w:val="00B60DEA"/>
    <w:rsid w:val="00B63B34"/>
    <w:rsid w:val="00B6621A"/>
    <w:rsid w:val="00B667B7"/>
    <w:rsid w:val="00B71E21"/>
    <w:rsid w:val="00B73BDF"/>
    <w:rsid w:val="00B74603"/>
    <w:rsid w:val="00B75582"/>
    <w:rsid w:val="00B803EC"/>
    <w:rsid w:val="00B82BE7"/>
    <w:rsid w:val="00B832CC"/>
    <w:rsid w:val="00B86024"/>
    <w:rsid w:val="00B86570"/>
    <w:rsid w:val="00B8697A"/>
    <w:rsid w:val="00B8748E"/>
    <w:rsid w:val="00B91E16"/>
    <w:rsid w:val="00B9376C"/>
    <w:rsid w:val="00B94E7D"/>
    <w:rsid w:val="00B96371"/>
    <w:rsid w:val="00BA441B"/>
    <w:rsid w:val="00BA5AEA"/>
    <w:rsid w:val="00BA61C8"/>
    <w:rsid w:val="00BA7774"/>
    <w:rsid w:val="00BB14AA"/>
    <w:rsid w:val="00BB16A4"/>
    <w:rsid w:val="00BB4054"/>
    <w:rsid w:val="00BB405C"/>
    <w:rsid w:val="00BB46B5"/>
    <w:rsid w:val="00BB7CDA"/>
    <w:rsid w:val="00BB7DD0"/>
    <w:rsid w:val="00BC24E5"/>
    <w:rsid w:val="00BC3250"/>
    <w:rsid w:val="00BC489C"/>
    <w:rsid w:val="00BC5035"/>
    <w:rsid w:val="00BC611C"/>
    <w:rsid w:val="00BC7955"/>
    <w:rsid w:val="00BD385F"/>
    <w:rsid w:val="00BE09E0"/>
    <w:rsid w:val="00BE6519"/>
    <w:rsid w:val="00BE70C8"/>
    <w:rsid w:val="00BF0491"/>
    <w:rsid w:val="00BF1657"/>
    <w:rsid w:val="00BF3168"/>
    <w:rsid w:val="00BF36D1"/>
    <w:rsid w:val="00BF762C"/>
    <w:rsid w:val="00BF7963"/>
    <w:rsid w:val="00C0298C"/>
    <w:rsid w:val="00C044C0"/>
    <w:rsid w:val="00C06A67"/>
    <w:rsid w:val="00C07A57"/>
    <w:rsid w:val="00C10A88"/>
    <w:rsid w:val="00C138CA"/>
    <w:rsid w:val="00C15543"/>
    <w:rsid w:val="00C15785"/>
    <w:rsid w:val="00C16C57"/>
    <w:rsid w:val="00C1754E"/>
    <w:rsid w:val="00C179F4"/>
    <w:rsid w:val="00C20F31"/>
    <w:rsid w:val="00C23C1F"/>
    <w:rsid w:val="00C2530E"/>
    <w:rsid w:val="00C25A91"/>
    <w:rsid w:val="00C25DF1"/>
    <w:rsid w:val="00C25E70"/>
    <w:rsid w:val="00C30144"/>
    <w:rsid w:val="00C30867"/>
    <w:rsid w:val="00C33A40"/>
    <w:rsid w:val="00C33B6B"/>
    <w:rsid w:val="00C35CAE"/>
    <w:rsid w:val="00C368A3"/>
    <w:rsid w:val="00C3723C"/>
    <w:rsid w:val="00C4080F"/>
    <w:rsid w:val="00C44568"/>
    <w:rsid w:val="00C4761F"/>
    <w:rsid w:val="00C50B1F"/>
    <w:rsid w:val="00C50BFC"/>
    <w:rsid w:val="00C51F92"/>
    <w:rsid w:val="00C52358"/>
    <w:rsid w:val="00C534CB"/>
    <w:rsid w:val="00C53947"/>
    <w:rsid w:val="00C557AF"/>
    <w:rsid w:val="00C56461"/>
    <w:rsid w:val="00C57C5E"/>
    <w:rsid w:val="00C628C1"/>
    <w:rsid w:val="00C629A7"/>
    <w:rsid w:val="00C62A58"/>
    <w:rsid w:val="00C633BA"/>
    <w:rsid w:val="00C6362A"/>
    <w:rsid w:val="00C6526C"/>
    <w:rsid w:val="00C658D1"/>
    <w:rsid w:val="00C6599F"/>
    <w:rsid w:val="00C6640E"/>
    <w:rsid w:val="00C67346"/>
    <w:rsid w:val="00C7578A"/>
    <w:rsid w:val="00C76600"/>
    <w:rsid w:val="00C812A6"/>
    <w:rsid w:val="00C835FF"/>
    <w:rsid w:val="00C83728"/>
    <w:rsid w:val="00C85852"/>
    <w:rsid w:val="00C85AC4"/>
    <w:rsid w:val="00C86CA7"/>
    <w:rsid w:val="00C873A5"/>
    <w:rsid w:val="00C87AC4"/>
    <w:rsid w:val="00C9313D"/>
    <w:rsid w:val="00CA13F9"/>
    <w:rsid w:val="00CA3CC2"/>
    <w:rsid w:val="00CA69DA"/>
    <w:rsid w:val="00CB10E1"/>
    <w:rsid w:val="00CB2246"/>
    <w:rsid w:val="00CB28F9"/>
    <w:rsid w:val="00CB4FF8"/>
    <w:rsid w:val="00CB549B"/>
    <w:rsid w:val="00CC0153"/>
    <w:rsid w:val="00CC0833"/>
    <w:rsid w:val="00CC1C97"/>
    <w:rsid w:val="00CC251A"/>
    <w:rsid w:val="00CC2F37"/>
    <w:rsid w:val="00CC6F08"/>
    <w:rsid w:val="00CC7327"/>
    <w:rsid w:val="00CD0722"/>
    <w:rsid w:val="00CD2799"/>
    <w:rsid w:val="00CD3A30"/>
    <w:rsid w:val="00CD431D"/>
    <w:rsid w:val="00CD43B4"/>
    <w:rsid w:val="00CD5805"/>
    <w:rsid w:val="00CD613A"/>
    <w:rsid w:val="00CD6A22"/>
    <w:rsid w:val="00CD7023"/>
    <w:rsid w:val="00CD70DD"/>
    <w:rsid w:val="00CE4D89"/>
    <w:rsid w:val="00CE750A"/>
    <w:rsid w:val="00CF1405"/>
    <w:rsid w:val="00CF650A"/>
    <w:rsid w:val="00D03F9C"/>
    <w:rsid w:val="00D04054"/>
    <w:rsid w:val="00D050F6"/>
    <w:rsid w:val="00D05CEA"/>
    <w:rsid w:val="00D06754"/>
    <w:rsid w:val="00D07170"/>
    <w:rsid w:val="00D078ED"/>
    <w:rsid w:val="00D07C41"/>
    <w:rsid w:val="00D11350"/>
    <w:rsid w:val="00D13D61"/>
    <w:rsid w:val="00D143FE"/>
    <w:rsid w:val="00D15676"/>
    <w:rsid w:val="00D23343"/>
    <w:rsid w:val="00D24495"/>
    <w:rsid w:val="00D24B29"/>
    <w:rsid w:val="00D25ABA"/>
    <w:rsid w:val="00D262EA"/>
    <w:rsid w:val="00D26901"/>
    <w:rsid w:val="00D27EE3"/>
    <w:rsid w:val="00D35DBE"/>
    <w:rsid w:val="00D40D9B"/>
    <w:rsid w:val="00D41F1B"/>
    <w:rsid w:val="00D4329E"/>
    <w:rsid w:val="00D43929"/>
    <w:rsid w:val="00D45A7D"/>
    <w:rsid w:val="00D45C92"/>
    <w:rsid w:val="00D46D54"/>
    <w:rsid w:val="00D51A0D"/>
    <w:rsid w:val="00D52443"/>
    <w:rsid w:val="00D527F5"/>
    <w:rsid w:val="00D53C31"/>
    <w:rsid w:val="00D54C51"/>
    <w:rsid w:val="00D55C2A"/>
    <w:rsid w:val="00D55EE1"/>
    <w:rsid w:val="00D57607"/>
    <w:rsid w:val="00D611D0"/>
    <w:rsid w:val="00D6236E"/>
    <w:rsid w:val="00D63DBE"/>
    <w:rsid w:val="00D64C14"/>
    <w:rsid w:val="00D6617F"/>
    <w:rsid w:val="00D672C7"/>
    <w:rsid w:val="00D708B6"/>
    <w:rsid w:val="00D75594"/>
    <w:rsid w:val="00D764FC"/>
    <w:rsid w:val="00D7689F"/>
    <w:rsid w:val="00D77F36"/>
    <w:rsid w:val="00D8054E"/>
    <w:rsid w:val="00D80714"/>
    <w:rsid w:val="00D80B1F"/>
    <w:rsid w:val="00D86EB3"/>
    <w:rsid w:val="00D90211"/>
    <w:rsid w:val="00D90C2E"/>
    <w:rsid w:val="00D921D3"/>
    <w:rsid w:val="00D93E99"/>
    <w:rsid w:val="00D95626"/>
    <w:rsid w:val="00D9612B"/>
    <w:rsid w:val="00D96D8E"/>
    <w:rsid w:val="00D97CEA"/>
    <w:rsid w:val="00DA035A"/>
    <w:rsid w:val="00DA5BF9"/>
    <w:rsid w:val="00DA5CF4"/>
    <w:rsid w:val="00DA7936"/>
    <w:rsid w:val="00DB003A"/>
    <w:rsid w:val="00DB29CF"/>
    <w:rsid w:val="00DB2B46"/>
    <w:rsid w:val="00DB61B3"/>
    <w:rsid w:val="00DB65B5"/>
    <w:rsid w:val="00DC0F1D"/>
    <w:rsid w:val="00DC5D97"/>
    <w:rsid w:val="00DC6ACC"/>
    <w:rsid w:val="00DC7825"/>
    <w:rsid w:val="00DD0E98"/>
    <w:rsid w:val="00DD180C"/>
    <w:rsid w:val="00DD1BF1"/>
    <w:rsid w:val="00DD1D69"/>
    <w:rsid w:val="00DD5184"/>
    <w:rsid w:val="00DD7D65"/>
    <w:rsid w:val="00DE1257"/>
    <w:rsid w:val="00DE226B"/>
    <w:rsid w:val="00DE5202"/>
    <w:rsid w:val="00DE624E"/>
    <w:rsid w:val="00DE6917"/>
    <w:rsid w:val="00DF5879"/>
    <w:rsid w:val="00DF7115"/>
    <w:rsid w:val="00DF73ED"/>
    <w:rsid w:val="00E00A3C"/>
    <w:rsid w:val="00E01456"/>
    <w:rsid w:val="00E0277D"/>
    <w:rsid w:val="00E039CA"/>
    <w:rsid w:val="00E06AF3"/>
    <w:rsid w:val="00E10726"/>
    <w:rsid w:val="00E1168F"/>
    <w:rsid w:val="00E12820"/>
    <w:rsid w:val="00E13E96"/>
    <w:rsid w:val="00E16195"/>
    <w:rsid w:val="00E17605"/>
    <w:rsid w:val="00E202E8"/>
    <w:rsid w:val="00E25C3A"/>
    <w:rsid w:val="00E279B4"/>
    <w:rsid w:val="00E301C7"/>
    <w:rsid w:val="00E33E1F"/>
    <w:rsid w:val="00E346AD"/>
    <w:rsid w:val="00E3497A"/>
    <w:rsid w:val="00E34BE5"/>
    <w:rsid w:val="00E36393"/>
    <w:rsid w:val="00E44369"/>
    <w:rsid w:val="00E44EF9"/>
    <w:rsid w:val="00E45B0D"/>
    <w:rsid w:val="00E51901"/>
    <w:rsid w:val="00E52560"/>
    <w:rsid w:val="00E54AD1"/>
    <w:rsid w:val="00E550A3"/>
    <w:rsid w:val="00E55F03"/>
    <w:rsid w:val="00E56645"/>
    <w:rsid w:val="00E60426"/>
    <w:rsid w:val="00E618F6"/>
    <w:rsid w:val="00E61A3B"/>
    <w:rsid w:val="00E64518"/>
    <w:rsid w:val="00E656CD"/>
    <w:rsid w:val="00E65BD5"/>
    <w:rsid w:val="00E65F92"/>
    <w:rsid w:val="00E70206"/>
    <w:rsid w:val="00E73BBB"/>
    <w:rsid w:val="00E73F61"/>
    <w:rsid w:val="00E74B72"/>
    <w:rsid w:val="00E80B65"/>
    <w:rsid w:val="00E83C9F"/>
    <w:rsid w:val="00E858E2"/>
    <w:rsid w:val="00E92E8E"/>
    <w:rsid w:val="00E94C79"/>
    <w:rsid w:val="00E9697B"/>
    <w:rsid w:val="00EA0479"/>
    <w:rsid w:val="00EA2C26"/>
    <w:rsid w:val="00EB274C"/>
    <w:rsid w:val="00EB5E98"/>
    <w:rsid w:val="00EC0EEF"/>
    <w:rsid w:val="00EC3156"/>
    <w:rsid w:val="00EC3F9B"/>
    <w:rsid w:val="00EC47F0"/>
    <w:rsid w:val="00EC6D2A"/>
    <w:rsid w:val="00ED03BC"/>
    <w:rsid w:val="00ED0D53"/>
    <w:rsid w:val="00ED2A39"/>
    <w:rsid w:val="00ED3329"/>
    <w:rsid w:val="00ED4598"/>
    <w:rsid w:val="00ED46CD"/>
    <w:rsid w:val="00ED5F29"/>
    <w:rsid w:val="00ED6409"/>
    <w:rsid w:val="00ED6829"/>
    <w:rsid w:val="00ED691A"/>
    <w:rsid w:val="00ED7B71"/>
    <w:rsid w:val="00EE0913"/>
    <w:rsid w:val="00EE0E5A"/>
    <w:rsid w:val="00EE22F0"/>
    <w:rsid w:val="00EE355B"/>
    <w:rsid w:val="00EE5E27"/>
    <w:rsid w:val="00EE658B"/>
    <w:rsid w:val="00EF1834"/>
    <w:rsid w:val="00EF1D97"/>
    <w:rsid w:val="00EF3703"/>
    <w:rsid w:val="00EF7B88"/>
    <w:rsid w:val="00F04713"/>
    <w:rsid w:val="00F076FA"/>
    <w:rsid w:val="00F07925"/>
    <w:rsid w:val="00F104BE"/>
    <w:rsid w:val="00F114EC"/>
    <w:rsid w:val="00F1337C"/>
    <w:rsid w:val="00F159B0"/>
    <w:rsid w:val="00F16FBF"/>
    <w:rsid w:val="00F20460"/>
    <w:rsid w:val="00F204C3"/>
    <w:rsid w:val="00F22017"/>
    <w:rsid w:val="00F31E7D"/>
    <w:rsid w:val="00F33309"/>
    <w:rsid w:val="00F33FA4"/>
    <w:rsid w:val="00F34ABE"/>
    <w:rsid w:val="00F3559C"/>
    <w:rsid w:val="00F36317"/>
    <w:rsid w:val="00F4065F"/>
    <w:rsid w:val="00F42626"/>
    <w:rsid w:val="00F45DB0"/>
    <w:rsid w:val="00F461C1"/>
    <w:rsid w:val="00F46233"/>
    <w:rsid w:val="00F51D90"/>
    <w:rsid w:val="00F53120"/>
    <w:rsid w:val="00F54065"/>
    <w:rsid w:val="00F55394"/>
    <w:rsid w:val="00F56E1B"/>
    <w:rsid w:val="00F5773B"/>
    <w:rsid w:val="00F600E9"/>
    <w:rsid w:val="00F60319"/>
    <w:rsid w:val="00F60CAD"/>
    <w:rsid w:val="00F60D7D"/>
    <w:rsid w:val="00F62199"/>
    <w:rsid w:val="00F674BC"/>
    <w:rsid w:val="00F700F8"/>
    <w:rsid w:val="00F719AF"/>
    <w:rsid w:val="00F76EAF"/>
    <w:rsid w:val="00F81D6F"/>
    <w:rsid w:val="00F81DFB"/>
    <w:rsid w:val="00F825AA"/>
    <w:rsid w:val="00F82EFE"/>
    <w:rsid w:val="00F8320B"/>
    <w:rsid w:val="00F856CE"/>
    <w:rsid w:val="00F95655"/>
    <w:rsid w:val="00F966CF"/>
    <w:rsid w:val="00FA5AF9"/>
    <w:rsid w:val="00FA60AD"/>
    <w:rsid w:val="00FB05A8"/>
    <w:rsid w:val="00FB18CB"/>
    <w:rsid w:val="00FB2577"/>
    <w:rsid w:val="00FB2B5D"/>
    <w:rsid w:val="00FB2B6F"/>
    <w:rsid w:val="00FB3FA4"/>
    <w:rsid w:val="00FB734A"/>
    <w:rsid w:val="00FB7783"/>
    <w:rsid w:val="00FC5915"/>
    <w:rsid w:val="00FC661C"/>
    <w:rsid w:val="00FC6C2D"/>
    <w:rsid w:val="00FC77E8"/>
    <w:rsid w:val="00FC7B11"/>
    <w:rsid w:val="00FD1F36"/>
    <w:rsid w:val="00FD3702"/>
    <w:rsid w:val="00FD3CF3"/>
    <w:rsid w:val="00FD663E"/>
    <w:rsid w:val="00FD702B"/>
    <w:rsid w:val="00FD7095"/>
    <w:rsid w:val="00FD7694"/>
    <w:rsid w:val="00FE0FB5"/>
    <w:rsid w:val="00FE1E07"/>
    <w:rsid w:val="00FE2306"/>
    <w:rsid w:val="00FF09C8"/>
    <w:rsid w:val="00FF310E"/>
    <w:rsid w:val="00FF46B5"/>
    <w:rsid w:val="00FF732B"/>
    <w:rsid w:val="00FF7C1B"/>
    <w:rsid w:val="03337776"/>
    <w:rsid w:val="03B05003"/>
    <w:rsid w:val="03C718BF"/>
    <w:rsid w:val="0449403E"/>
    <w:rsid w:val="05015D85"/>
    <w:rsid w:val="05B94E3C"/>
    <w:rsid w:val="078A663C"/>
    <w:rsid w:val="07CC35E8"/>
    <w:rsid w:val="082D5E51"/>
    <w:rsid w:val="095837D1"/>
    <w:rsid w:val="0AE02514"/>
    <w:rsid w:val="0BB94190"/>
    <w:rsid w:val="0C06083B"/>
    <w:rsid w:val="0C3B1F34"/>
    <w:rsid w:val="0CCB1D49"/>
    <w:rsid w:val="0D4126B1"/>
    <w:rsid w:val="0D6E38C4"/>
    <w:rsid w:val="0E4E4508"/>
    <w:rsid w:val="0F007E2D"/>
    <w:rsid w:val="0F826827"/>
    <w:rsid w:val="10C30095"/>
    <w:rsid w:val="12C34A88"/>
    <w:rsid w:val="17766318"/>
    <w:rsid w:val="18AB2F72"/>
    <w:rsid w:val="1B591EA9"/>
    <w:rsid w:val="1BC05B5E"/>
    <w:rsid w:val="1E3A77DE"/>
    <w:rsid w:val="1F7C3AA9"/>
    <w:rsid w:val="21153713"/>
    <w:rsid w:val="22286C0E"/>
    <w:rsid w:val="22F96DEE"/>
    <w:rsid w:val="23DB1822"/>
    <w:rsid w:val="23E5206A"/>
    <w:rsid w:val="26ED40AB"/>
    <w:rsid w:val="27C960A8"/>
    <w:rsid w:val="28183C98"/>
    <w:rsid w:val="2C783060"/>
    <w:rsid w:val="2D4E3251"/>
    <w:rsid w:val="2D6128FB"/>
    <w:rsid w:val="2DF42E65"/>
    <w:rsid w:val="2E227539"/>
    <w:rsid w:val="2FBB22D7"/>
    <w:rsid w:val="2FF50698"/>
    <w:rsid w:val="2FF84291"/>
    <w:rsid w:val="319E2E7C"/>
    <w:rsid w:val="326C67DD"/>
    <w:rsid w:val="334E0780"/>
    <w:rsid w:val="35597A34"/>
    <w:rsid w:val="36E1167E"/>
    <w:rsid w:val="3863754A"/>
    <w:rsid w:val="3B767A17"/>
    <w:rsid w:val="3D691D46"/>
    <w:rsid w:val="41C91752"/>
    <w:rsid w:val="44330765"/>
    <w:rsid w:val="4A7844B5"/>
    <w:rsid w:val="4B737BB0"/>
    <w:rsid w:val="4C5E2892"/>
    <w:rsid w:val="4D3F01E3"/>
    <w:rsid w:val="4E370D61"/>
    <w:rsid w:val="4EA463D2"/>
    <w:rsid w:val="50E174FF"/>
    <w:rsid w:val="5463295C"/>
    <w:rsid w:val="54CA712B"/>
    <w:rsid w:val="57826FAF"/>
    <w:rsid w:val="58CD1E56"/>
    <w:rsid w:val="59E25D87"/>
    <w:rsid w:val="5A407DB3"/>
    <w:rsid w:val="5CAC4D2B"/>
    <w:rsid w:val="5D032CF0"/>
    <w:rsid w:val="5D320547"/>
    <w:rsid w:val="5FF249EF"/>
    <w:rsid w:val="606B2625"/>
    <w:rsid w:val="61FB17B3"/>
    <w:rsid w:val="62190D6E"/>
    <w:rsid w:val="626D05A3"/>
    <w:rsid w:val="62EC1FFF"/>
    <w:rsid w:val="63CA1543"/>
    <w:rsid w:val="642A1DDA"/>
    <w:rsid w:val="648278F9"/>
    <w:rsid w:val="681D48E0"/>
    <w:rsid w:val="6B883DC0"/>
    <w:rsid w:val="6D1F4B77"/>
    <w:rsid w:val="6E0D2249"/>
    <w:rsid w:val="6E62529C"/>
    <w:rsid w:val="6E6614EF"/>
    <w:rsid w:val="6EC9618D"/>
    <w:rsid w:val="6F87409D"/>
    <w:rsid w:val="706D12CD"/>
    <w:rsid w:val="72C423ED"/>
    <w:rsid w:val="75AF4DA0"/>
    <w:rsid w:val="77481D6B"/>
    <w:rsid w:val="797C5E0B"/>
    <w:rsid w:val="7A567F6D"/>
    <w:rsid w:val="7B4E0BD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nhideWhenUsed="0" w:uiPriority="99" w:name="index 7"/>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nhideWhenUsed="0" w:uiPriority="99" w:name="toc 4"/>
    <w:lsdException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unhideWhenUsed="0" w:uiPriority="99" w:semiHidden="0" w:name="header"/>
    <w:lsdException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iPriority="99"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71"/>
    <w:qFormat/>
    <w:uiPriority w:val="99"/>
    <w:pPr>
      <w:keepNext/>
      <w:keepLines/>
      <w:spacing w:before="260" w:after="260" w:line="416" w:lineRule="auto"/>
      <w:outlineLvl w:val="1"/>
    </w:pPr>
    <w:rPr>
      <w:rFonts w:ascii="Arial" w:hAnsi="Arial" w:eastAsia="黑体" w:cs="Arial"/>
      <w:b/>
      <w:bCs/>
      <w:sz w:val="32"/>
      <w:szCs w:val="32"/>
    </w:rPr>
  </w:style>
  <w:style w:type="paragraph" w:styleId="2">
    <w:name w:val="heading 3"/>
    <w:basedOn w:val="1"/>
    <w:next w:val="1"/>
    <w:link w:val="50"/>
    <w:qFormat/>
    <w:uiPriority w:val="99"/>
    <w:pPr>
      <w:keepNext/>
      <w:keepLines/>
      <w:spacing w:before="260" w:after="260" w:line="416" w:lineRule="auto"/>
      <w:outlineLvl w:val="2"/>
    </w:pPr>
    <w:rPr>
      <w:b/>
      <w:bCs/>
      <w:sz w:val="32"/>
      <w:szCs w:val="32"/>
    </w:rPr>
  </w:style>
  <w:style w:type="paragraph" w:styleId="5">
    <w:name w:val="heading 4"/>
    <w:basedOn w:val="1"/>
    <w:next w:val="1"/>
    <w:link w:val="51"/>
    <w:qFormat/>
    <w:uiPriority w:val="99"/>
    <w:pPr>
      <w:keepNext/>
      <w:keepLines/>
      <w:spacing w:before="280" w:after="290" w:line="372" w:lineRule="auto"/>
      <w:outlineLvl w:val="3"/>
    </w:pPr>
    <w:rPr>
      <w:rFonts w:ascii="Arial" w:hAnsi="Arial" w:eastAsia="黑体" w:cs="Arial"/>
      <w:b/>
      <w:bCs/>
      <w:sz w:val="28"/>
      <w:szCs w:val="28"/>
    </w:rPr>
  </w:style>
  <w:style w:type="paragraph" w:styleId="6">
    <w:name w:val="heading 5"/>
    <w:basedOn w:val="1"/>
    <w:next w:val="1"/>
    <w:link w:val="52"/>
    <w:qFormat/>
    <w:uiPriority w:val="99"/>
    <w:pPr>
      <w:keepNext/>
      <w:keepLines/>
      <w:spacing w:before="280" w:after="290" w:line="372" w:lineRule="auto"/>
      <w:outlineLvl w:val="4"/>
    </w:pPr>
    <w:rPr>
      <w:b/>
      <w:bCs/>
      <w:sz w:val="28"/>
      <w:szCs w:val="28"/>
    </w:rPr>
  </w:style>
  <w:style w:type="paragraph" w:styleId="7">
    <w:name w:val="heading 6"/>
    <w:basedOn w:val="1"/>
    <w:next w:val="1"/>
    <w:link w:val="53"/>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54"/>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55"/>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56"/>
    <w:qFormat/>
    <w:uiPriority w:val="99"/>
    <w:pPr>
      <w:keepNext/>
      <w:keepLines/>
      <w:spacing w:before="240" w:after="64" w:line="317" w:lineRule="auto"/>
      <w:outlineLvl w:val="8"/>
    </w:pPr>
    <w:rPr>
      <w:rFonts w:ascii="Cambria" w:hAnsi="Cambria" w:cs="Cambria"/>
    </w:rPr>
  </w:style>
  <w:style w:type="character" w:default="1" w:styleId="42">
    <w:name w:val="Default Paragraph Font"/>
    <w:semiHidden/>
    <w:uiPriority w:val="99"/>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link w:val="78"/>
    <w:qFormat/>
    <w:uiPriority w:val="99"/>
    <w:pPr>
      <w:ind w:firstLine="420" w:firstLineChars="200"/>
    </w:pPr>
    <w:rPr>
      <w:kern w:val="0"/>
      <w:sz w:val="24"/>
      <w:szCs w:val="24"/>
    </w:rPr>
  </w:style>
  <w:style w:type="paragraph" w:styleId="13">
    <w:name w:val="caption"/>
    <w:basedOn w:val="1"/>
    <w:next w:val="1"/>
    <w:qFormat/>
    <w:uiPriority w:val="99"/>
    <w:pPr>
      <w:ind w:firstLine="6290" w:firstLineChars="2282"/>
    </w:pPr>
    <w:rPr>
      <w:b/>
      <w:bCs/>
      <w:color w:val="000080"/>
      <w:sz w:val="28"/>
      <w:szCs w:val="28"/>
    </w:rPr>
  </w:style>
  <w:style w:type="paragraph" w:styleId="14">
    <w:name w:val="Document Map"/>
    <w:basedOn w:val="1"/>
    <w:link w:val="57"/>
    <w:semiHidden/>
    <w:qFormat/>
    <w:uiPriority w:val="99"/>
    <w:rPr>
      <w:rFonts w:ascii="宋体" w:cs="宋体"/>
      <w:sz w:val="18"/>
      <w:szCs w:val="18"/>
    </w:rPr>
  </w:style>
  <w:style w:type="paragraph" w:styleId="15">
    <w:name w:val="annotation text"/>
    <w:basedOn w:val="1"/>
    <w:link w:val="58"/>
    <w:semiHidden/>
    <w:qFormat/>
    <w:uiPriority w:val="99"/>
    <w:pPr>
      <w:jc w:val="left"/>
    </w:pPr>
    <w:rPr>
      <w:rFonts w:ascii="Calibri" w:hAnsi="Calibri" w:cs="Calibri"/>
      <w:sz w:val="18"/>
      <w:szCs w:val="18"/>
    </w:rPr>
  </w:style>
  <w:style w:type="paragraph" w:styleId="16">
    <w:name w:val="Body Text"/>
    <w:basedOn w:val="1"/>
    <w:next w:val="1"/>
    <w:link w:val="59"/>
    <w:qFormat/>
    <w:uiPriority w:val="99"/>
    <w:pPr>
      <w:spacing w:after="120"/>
    </w:pPr>
  </w:style>
  <w:style w:type="paragraph" w:styleId="17">
    <w:name w:val="Body Text Indent"/>
    <w:basedOn w:val="1"/>
    <w:link w:val="60"/>
    <w:qFormat/>
    <w:uiPriority w:val="99"/>
    <w:pPr>
      <w:ind w:firstLine="630"/>
    </w:pPr>
    <w:rPr>
      <w:sz w:val="32"/>
      <w:szCs w:val="32"/>
    </w:rPr>
  </w:style>
  <w:style w:type="paragraph" w:styleId="18">
    <w:name w:val="index 4"/>
    <w:basedOn w:val="1"/>
    <w:next w:val="1"/>
    <w:semiHidden/>
    <w:qFormat/>
    <w:uiPriority w:val="99"/>
    <w:pPr>
      <w:ind w:left="600" w:leftChars="600"/>
    </w:pPr>
  </w:style>
  <w:style w:type="paragraph" w:styleId="19">
    <w:name w:val="toc 5"/>
    <w:basedOn w:val="1"/>
    <w:next w:val="1"/>
    <w:semiHidden/>
    <w:uiPriority w:val="99"/>
    <w:pPr>
      <w:tabs>
        <w:tab w:val="right" w:leader="dot" w:pos="8296"/>
      </w:tabs>
      <w:ind w:left="1050" w:leftChars="500"/>
    </w:pPr>
    <w:rPr>
      <w:rFonts w:ascii="Calibri" w:hAnsi="Calibri" w:cs="Calibri"/>
    </w:rPr>
  </w:style>
  <w:style w:type="paragraph" w:styleId="20">
    <w:name w:val="toc 3"/>
    <w:basedOn w:val="1"/>
    <w:next w:val="1"/>
    <w:semiHidden/>
    <w:qFormat/>
    <w:uiPriority w:val="99"/>
    <w:pPr>
      <w:ind w:left="840" w:leftChars="400"/>
    </w:pPr>
  </w:style>
  <w:style w:type="paragraph" w:styleId="21">
    <w:name w:val="Plain Text"/>
    <w:basedOn w:val="1"/>
    <w:link w:val="61"/>
    <w:qFormat/>
    <w:uiPriority w:val="99"/>
    <w:pPr>
      <w:autoSpaceDE w:val="0"/>
      <w:autoSpaceDN w:val="0"/>
      <w:adjustRightInd w:val="0"/>
    </w:pPr>
    <w:rPr>
      <w:rFonts w:ascii="宋体" w:hAnsi="Tms Rmn" w:cs="宋体"/>
    </w:rPr>
  </w:style>
  <w:style w:type="paragraph" w:styleId="22">
    <w:name w:val="toc 8"/>
    <w:basedOn w:val="1"/>
    <w:next w:val="1"/>
    <w:semiHidden/>
    <w:qFormat/>
    <w:uiPriority w:val="99"/>
    <w:pPr>
      <w:ind w:left="2940" w:leftChars="1400"/>
    </w:pPr>
    <w:rPr>
      <w:rFonts w:ascii="Calibri" w:hAnsi="Calibri" w:cs="Calibri"/>
    </w:rPr>
  </w:style>
  <w:style w:type="paragraph" w:styleId="23">
    <w:name w:val="Date"/>
    <w:basedOn w:val="1"/>
    <w:next w:val="1"/>
    <w:link w:val="62"/>
    <w:qFormat/>
    <w:uiPriority w:val="99"/>
  </w:style>
  <w:style w:type="paragraph" w:styleId="24">
    <w:name w:val="Body Text Indent 2"/>
    <w:basedOn w:val="1"/>
    <w:link w:val="63"/>
    <w:qFormat/>
    <w:uiPriority w:val="99"/>
    <w:pPr>
      <w:spacing w:after="120" w:line="480" w:lineRule="auto"/>
      <w:ind w:left="420" w:leftChars="200"/>
    </w:pPr>
  </w:style>
  <w:style w:type="paragraph" w:styleId="25">
    <w:name w:val="Balloon Text"/>
    <w:basedOn w:val="1"/>
    <w:link w:val="64"/>
    <w:semiHidden/>
    <w:qFormat/>
    <w:uiPriority w:val="99"/>
    <w:rPr>
      <w:sz w:val="18"/>
      <w:szCs w:val="18"/>
    </w:rPr>
  </w:style>
  <w:style w:type="paragraph" w:styleId="26">
    <w:name w:val="footer"/>
    <w:basedOn w:val="1"/>
    <w:link w:val="65"/>
    <w:uiPriority w:val="99"/>
    <w:pPr>
      <w:tabs>
        <w:tab w:val="center" w:pos="4153"/>
        <w:tab w:val="right" w:pos="8306"/>
      </w:tabs>
      <w:snapToGrid w:val="0"/>
      <w:jc w:val="left"/>
    </w:pPr>
    <w:rPr>
      <w:sz w:val="18"/>
      <w:szCs w:val="18"/>
    </w:rPr>
  </w:style>
  <w:style w:type="paragraph" w:styleId="27">
    <w:name w:val="header"/>
    <w:basedOn w:val="1"/>
    <w:link w:val="66"/>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99"/>
    <w:pPr>
      <w:spacing w:line="480" w:lineRule="auto"/>
    </w:pPr>
    <w:rPr>
      <w:sz w:val="24"/>
      <w:szCs w:val="24"/>
    </w:rPr>
  </w:style>
  <w:style w:type="paragraph" w:styleId="29">
    <w:name w:val="toc 4"/>
    <w:basedOn w:val="1"/>
    <w:next w:val="1"/>
    <w:semiHidden/>
    <w:uiPriority w:val="99"/>
    <w:pPr>
      <w:tabs>
        <w:tab w:val="left" w:pos="1890"/>
        <w:tab w:val="right" w:leader="dot" w:pos="8296"/>
      </w:tabs>
      <w:ind w:left="630" w:leftChars="300"/>
    </w:pPr>
    <w:rPr>
      <w:rFonts w:ascii="Calibri" w:hAnsi="Calibri" w:cs="Calibri"/>
    </w:rPr>
  </w:style>
  <w:style w:type="paragraph" w:styleId="30">
    <w:name w:val="Subtitle"/>
    <w:basedOn w:val="1"/>
    <w:next w:val="1"/>
    <w:link w:val="144"/>
    <w:qFormat/>
    <w:uiPriority w:val="99"/>
    <w:pPr>
      <w:spacing w:before="240" w:after="60" w:line="312" w:lineRule="auto"/>
      <w:jc w:val="center"/>
      <w:outlineLvl w:val="1"/>
    </w:pPr>
    <w:rPr>
      <w:rFonts w:ascii="Cambria" w:hAnsi="Cambria" w:cs="Cambria"/>
      <w:b/>
      <w:bCs/>
      <w:kern w:val="28"/>
      <w:sz w:val="32"/>
      <w:szCs w:val="32"/>
    </w:rPr>
  </w:style>
  <w:style w:type="paragraph" w:styleId="31">
    <w:name w:val="toc 6"/>
    <w:basedOn w:val="1"/>
    <w:next w:val="1"/>
    <w:semiHidden/>
    <w:qFormat/>
    <w:uiPriority w:val="99"/>
    <w:pPr>
      <w:ind w:left="2100" w:leftChars="1000"/>
    </w:pPr>
    <w:rPr>
      <w:rFonts w:ascii="Calibri" w:hAnsi="Calibri" w:cs="Calibri"/>
    </w:rPr>
  </w:style>
  <w:style w:type="paragraph" w:styleId="32">
    <w:name w:val="Body Text Indent 3"/>
    <w:basedOn w:val="1"/>
    <w:link w:val="68"/>
    <w:qFormat/>
    <w:uiPriority w:val="99"/>
    <w:pPr>
      <w:spacing w:after="120"/>
      <w:ind w:left="420" w:leftChars="200"/>
    </w:pPr>
    <w:rPr>
      <w:sz w:val="16"/>
      <w:szCs w:val="16"/>
    </w:rPr>
  </w:style>
  <w:style w:type="paragraph" w:styleId="33">
    <w:name w:val="index 7"/>
    <w:basedOn w:val="1"/>
    <w:next w:val="1"/>
    <w:semiHidden/>
    <w:uiPriority w:val="99"/>
    <w:pPr>
      <w:ind w:left="1200" w:leftChars="1200"/>
    </w:pPr>
  </w:style>
  <w:style w:type="paragraph" w:styleId="34">
    <w:name w:val="toc 2"/>
    <w:basedOn w:val="1"/>
    <w:next w:val="1"/>
    <w:semiHidden/>
    <w:qFormat/>
    <w:uiPriority w:val="99"/>
    <w:pPr>
      <w:ind w:left="420" w:leftChars="200"/>
    </w:pPr>
  </w:style>
  <w:style w:type="paragraph" w:styleId="35">
    <w:name w:val="toc 9"/>
    <w:basedOn w:val="1"/>
    <w:next w:val="1"/>
    <w:semiHidden/>
    <w:qFormat/>
    <w:uiPriority w:val="99"/>
    <w:pPr>
      <w:ind w:left="3360" w:leftChars="1600"/>
    </w:pPr>
    <w:rPr>
      <w:rFonts w:ascii="Calibri" w:hAnsi="Calibri" w:cs="Calibri"/>
    </w:rPr>
  </w:style>
  <w:style w:type="paragraph" w:styleId="36">
    <w:name w:val="Normal (Web)"/>
    <w:basedOn w:val="1"/>
    <w:uiPriority w:val="99"/>
    <w:pPr>
      <w:widowControl/>
      <w:spacing w:before="100" w:beforeAutospacing="1" w:after="100" w:afterAutospacing="1"/>
      <w:jc w:val="left"/>
    </w:pPr>
    <w:rPr>
      <w:rFonts w:ascii="宋体" w:hAnsi="宋体" w:cs="宋体"/>
      <w:kern w:val="0"/>
      <w:sz w:val="18"/>
      <w:szCs w:val="18"/>
    </w:rPr>
  </w:style>
  <w:style w:type="paragraph" w:styleId="37">
    <w:name w:val="Title"/>
    <w:basedOn w:val="1"/>
    <w:next w:val="1"/>
    <w:link w:val="100"/>
    <w:qFormat/>
    <w:uiPriority w:val="99"/>
    <w:pPr>
      <w:spacing w:before="240" w:after="60"/>
      <w:jc w:val="center"/>
      <w:outlineLvl w:val="0"/>
    </w:pPr>
    <w:rPr>
      <w:rFonts w:ascii="Cambria" w:hAnsi="Cambria" w:cs="Cambria"/>
      <w:b/>
      <w:bCs/>
      <w:sz w:val="32"/>
      <w:szCs w:val="32"/>
    </w:rPr>
  </w:style>
  <w:style w:type="paragraph" w:styleId="38">
    <w:name w:val="annotation subject"/>
    <w:basedOn w:val="15"/>
    <w:next w:val="15"/>
    <w:link w:val="70"/>
    <w:semiHidden/>
    <w:uiPriority w:val="99"/>
    <w:rPr>
      <w:b/>
      <w:bCs/>
      <w:sz w:val="21"/>
      <w:szCs w:val="21"/>
    </w:rPr>
  </w:style>
  <w:style w:type="paragraph" w:styleId="39">
    <w:name w:val="Body Text First Indent"/>
    <w:basedOn w:val="16"/>
    <w:next w:val="1"/>
    <w:unhideWhenUsed/>
    <w:qFormat/>
    <w:locked/>
    <w:uiPriority w:val="99"/>
    <w:pPr>
      <w:ind w:firstLine="420" w:firstLineChars="100"/>
    </w:pPr>
  </w:style>
  <w:style w:type="table" w:styleId="41">
    <w:name w:val="Table Grid"/>
    <w:basedOn w:val="4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99"/>
    <w:rPr>
      <w:b/>
      <w:bCs/>
    </w:rPr>
  </w:style>
  <w:style w:type="character" w:styleId="44">
    <w:name w:val="page number"/>
    <w:basedOn w:val="42"/>
    <w:qFormat/>
    <w:uiPriority w:val="99"/>
  </w:style>
  <w:style w:type="character" w:styleId="45">
    <w:name w:val="Emphasis"/>
    <w:basedOn w:val="42"/>
    <w:qFormat/>
    <w:uiPriority w:val="99"/>
    <w:rPr>
      <w:i/>
      <w:iCs/>
    </w:rPr>
  </w:style>
  <w:style w:type="character" w:styleId="46">
    <w:name w:val="Hyperlink"/>
    <w:basedOn w:val="42"/>
    <w:qFormat/>
    <w:uiPriority w:val="99"/>
    <w:rPr>
      <w:color w:val="0000FF"/>
      <w:u w:val="single"/>
    </w:rPr>
  </w:style>
  <w:style w:type="character" w:styleId="47">
    <w:name w:val="annotation reference"/>
    <w:basedOn w:val="42"/>
    <w:semiHidden/>
    <w:qFormat/>
    <w:uiPriority w:val="99"/>
    <w:rPr>
      <w:sz w:val="21"/>
      <w:szCs w:val="21"/>
    </w:rPr>
  </w:style>
  <w:style w:type="character" w:customStyle="1" w:styleId="48">
    <w:name w:val="Heading 1 Char"/>
    <w:basedOn w:val="42"/>
    <w:link w:val="3"/>
    <w:locked/>
    <w:uiPriority w:val="99"/>
    <w:rPr>
      <w:rFonts w:ascii="Times New Roman" w:hAnsi="Times New Roman" w:eastAsia="宋体" w:cs="Times New Roman"/>
      <w:b/>
      <w:bCs/>
      <w:kern w:val="44"/>
      <w:sz w:val="44"/>
      <w:szCs w:val="44"/>
    </w:rPr>
  </w:style>
  <w:style w:type="character" w:customStyle="1" w:styleId="49">
    <w:name w:val="Heading 2 Char"/>
    <w:basedOn w:val="42"/>
    <w:link w:val="4"/>
    <w:semiHidden/>
    <w:locked/>
    <w:uiPriority w:val="99"/>
    <w:rPr>
      <w:rFonts w:ascii="Cambria" w:hAnsi="Cambria" w:eastAsia="宋体" w:cs="Cambria"/>
      <w:b/>
      <w:bCs/>
      <w:sz w:val="32"/>
      <w:szCs w:val="32"/>
    </w:rPr>
  </w:style>
  <w:style w:type="character" w:customStyle="1" w:styleId="50">
    <w:name w:val="Heading 3 Char"/>
    <w:basedOn w:val="42"/>
    <w:link w:val="2"/>
    <w:locked/>
    <w:uiPriority w:val="99"/>
    <w:rPr>
      <w:rFonts w:ascii="Times New Roman" w:hAnsi="Times New Roman" w:eastAsia="宋体" w:cs="Times New Roman"/>
      <w:b/>
      <w:bCs/>
      <w:sz w:val="32"/>
      <w:szCs w:val="32"/>
    </w:rPr>
  </w:style>
  <w:style w:type="character" w:customStyle="1" w:styleId="51">
    <w:name w:val="Heading 4 Char"/>
    <w:basedOn w:val="42"/>
    <w:link w:val="5"/>
    <w:qFormat/>
    <w:locked/>
    <w:uiPriority w:val="99"/>
    <w:rPr>
      <w:rFonts w:ascii="Arial" w:hAnsi="Arial" w:eastAsia="黑体" w:cs="Arial"/>
      <w:b/>
      <w:bCs/>
      <w:kern w:val="2"/>
      <w:sz w:val="28"/>
      <w:szCs w:val="28"/>
    </w:rPr>
  </w:style>
  <w:style w:type="character" w:customStyle="1" w:styleId="52">
    <w:name w:val="Heading 5 Char"/>
    <w:basedOn w:val="42"/>
    <w:link w:val="6"/>
    <w:qFormat/>
    <w:locked/>
    <w:uiPriority w:val="99"/>
    <w:rPr>
      <w:rFonts w:ascii="Times New Roman" w:hAnsi="Times New Roman" w:eastAsia="宋体" w:cs="Times New Roman"/>
      <w:b/>
      <w:bCs/>
      <w:kern w:val="2"/>
      <w:sz w:val="28"/>
      <w:szCs w:val="28"/>
    </w:rPr>
  </w:style>
  <w:style w:type="character" w:customStyle="1" w:styleId="53">
    <w:name w:val="Heading 6 Char"/>
    <w:basedOn w:val="42"/>
    <w:link w:val="7"/>
    <w:qFormat/>
    <w:locked/>
    <w:uiPriority w:val="99"/>
    <w:rPr>
      <w:rFonts w:ascii="Cambria" w:hAnsi="Cambria" w:eastAsia="宋体" w:cs="Cambria"/>
      <w:b/>
      <w:bCs/>
      <w:kern w:val="2"/>
      <w:sz w:val="24"/>
      <w:szCs w:val="24"/>
    </w:rPr>
  </w:style>
  <w:style w:type="character" w:customStyle="1" w:styleId="54">
    <w:name w:val="Heading 7 Char"/>
    <w:basedOn w:val="42"/>
    <w:link w:val="8"/>
    <w:locked/>
    <w:uiPriority w:val="99"/>
    <w:rPr>
      <w:rFonts w:ascii="Calibri" w:hAnsi="Calibri" w:eastAsia="宋体" w:cs="Calibri"/>
      <w:b/>
      <w:bCs/>
      <w:kern w:val="2"/>
      <w:sz w:val="24"/>
      <w:szCs w:val="24"/>
    </w:rPr>
  </w:style>
  <w:style w:type="character" w:customStyle="1" w:styleId="55">
    <w:name w:val="Heading 8 Char"/>
    <w:basedOn w:val="42"/>
    <w:link w:val="9"/>
    <w:qFormat/>
    <w:locked/>
    <w:uiPriority w:val="99"/>
    <w:rPr>
      <w:rFonts w:ascii="Cambria" w:hAnsi="Cambria" w:eastAsia="宋体" w:cs="Cambria"/>
      <w:kern w:val="2"/>
      <w:sz w:val="24"/>
      <w:szCs w:val="24"/>
    </w:rPr>
  </w:style>
  <w:style w:type="character" w:customStyle="1" w:styleId="56">
    <w:name w:val="Heading 9 Char"/>
    <w:basedOn w:val="42"/>
    <w:link w:val="10"/>
    <w:locked/>
    <w:uiPriority w:val="99"/>
    <w:rPr>
      <w:rFonts w:ascii="Cambria" w:hAnsi="Cambria" w:eastAsia="宋体" w:cs="Cambria"/>
      <w:kern w:val="2"/>
      <w:sz w:val="21"/>
      <w:szCs w:val="21"/>
    </w:rPr>
  </w:style>
  <w:style w:type="character" w:customStyle="1" w:styleId="57">
    <w:name w:val="Document Map Char"/>
    <w:basedOn w:val="42"/>
    <w:link w:val="14"/>
    <w:qFormat/>
    <w:locked/>
    <w:uiPriority w:val="99"/>
    <w:rPr>
      <w:rFonts w:ascii="宋体" w:hAnsi="Times New Roman" w:eastAsia="宋体" w:cs="宋体"/>
      <w:sz w:val="18"/>
      <w:szCs w:val="18"/>
    </w:rPr>
  </w:style>
  <w:style w:type="character" w:customStyle="1" w:styleId="58">
    <w:name w:val="Comment Text Char"/>
    <w:basedOn w:val="42"/>
    <w:link w:val="15"/>
    <w:qFormat/>
    <w:locked/>
    <w:uiPriority w:val="99"/>
    <w:rPr>
      <w:rFonts w:ascii="Times New Roman" w:hAnsi="Times New Roman" w:eastAsia="宋体" w:cs="Times New Roman"/>
      <w:sz w:val="24"/>
      <w:szCs w:val="24"/>
    </w:rPr>
  </w:style>
  <w:style w:type="character" w:customStyle="1" w:styleId="59">
    <w:name w:val="Body Text Char"/>
    <w:basedOn w:val="42"/>
    <w:link w:val="16"/>
    <w:qFormat/>
    <w:locked/>
    <w:uiPriority w:val="99"/>
    <w:rPr>
      <w:rFonts w:ascii="Times New Roman" w:hAnsi="Times New Roman" w:eastAsia="宋体" w:cs="Times New Roman"/>
      <w:sz w:val="24"/>
      <w:szCs w:val="24"/>
    </w:rPr>
  </w:style>
  <w:style w:type="character" w:customStyle="1" w:styleId="60">
    <w:name w:val="Body Text Indent Char"/>
    <w:basedOn w:val="42"/>
    <w:link w:val="17"/>
    <w:qFormat/>
    <w:locked/>
    <w:uiPriority w:val="99"/>
    <w:rPr>
      <w:rFonts w:ascii="Times New Roman" w:hAnsi="Times New Roman" w:eastAsia="宋体" w:cs="Times New Roman"/>
      <w:sz w:val="20"/>
      <w:szCs w:val="20"/>
    </w:rPr>
  </w:style>
  <w:style w:type="character" w:customStyle="1" w:styleId="61">
    <w:name w:val="Plain Text Char"/>
    <w:basedOn w:val="42"/>
    <w:link w:val="21"/>
    <w:qFormat/>
    <w:locked/>
    <w:uiPriority w:val="99"/>
    <w:rPr>
      <w:rFonts w:ascii="宋体" w:hAnsi="Courier New" w:eastAsia="宋体" w:cs="宋体"/>
      <w:sz w:val="21"/>
      <w:szCs w:val="21"/>
    </w:rPr>
  </w:style>
  <w:style w:type="character" w:customStyle="1" w:styleId="62">
    <w:name w:val="Date Char"/>
    <w:basedOn w:val="42"/>
    <w:link w:val="23"/>
    <w:qFormat/>
    <w:locked/>
    <w:uiPriority w:val="99"/>
    <w:rPr>
      <w:rFonts w:ascii="Times New Roman" w:hAnsi="Times New Roman" w:eastAsia="宋体" w:cs="Times New Roman"/>
      <w:kern w:val="2"/>
      <w:sz w:val="21"/>
      <w:szCs w:val="21"/>
    </w:rPr>
  </w:style>
  <w:style w:type="character" w:customStyle="1" w:styleId="63">
    <w:name w:val="Body Text Indent 2 Char"/>
    <w:basedOn w:val="42"/>
    <w:link w:val="24"/>
    <w:qFormat/>
    <w:locked/>
    <w:uiPriority w:val="99"/>
    <w:rPr>
      <w:rFonts w:ascii="Times New Roman" w:hAnsi="Times New Roman" w:eastAsia="宋体" w:cs="Times New Roman"/>
      <w:sz w:val="24"/>
      <w:szCs w:val="24"/>
    </w:rPr>
  </w:style>
  <w:style w:type="character" w:customStyle="1" w:styleId="64">
    <w:name w:val="Balloon Text Char"/>
    <w:basedOn w:val="42"/>
    <w:link w:val="25"/>
    <w:qFormat/>
    <w:locked/>
    <w:uiPriority w:val="99"/>
    <w:rPr>
      <w:rFonts w:ascii="Times New Roman" w:hAnsi="Times New Roman" w:eastAsia="宋体" w:cs="Times New Roman"/>
      <w:sz w:val="18"/>
      <w:szCs w:val="18"/>
    </w:rPr>
  </w:style>
  <w:style w:type="character" w:customStyle="1" w:styleId="65">
    <w:name w:val="Footer Char"/>
    <w:basedOn w:val="42"/>
    <w:link w:val="26"/>
    <w:qFormat/>
    <w:locked/>
    <w:uiPriority w:val="99"/>
    <w:rPr>
      <w:sz w:val="18"/>
      <w:szCs w:val="18"/>
    </w:rPr>
  </w:style>
  <w:style w:type="character" w:customStyle="1" w:styleId="66">
    <w:name w:val="Header Char"/>
    <w:basedOn w:val="42"/>
    <w:link w:val="27"/>
    <w:qFormat/>
    <w:locked/>
    <w:uiPriority w:val="99"/>
    <w:rPr>
      <w:sz w:val="18"/>
      <w:szCs w:val="18"/>
    </w:rPr>
  </w:style>
  <w:style w:type="character" w:customStyle="1" w:styleId="67">
    <w:name w:val="Subtitle Char"/>
    <w:basedOn w:val="42"/>
    <w:link w:val="30"/>
    <w:qFormat/>
    <w:locked/>
    <w:uiPriority w:val="99"/>
    <w:rPr>
      <w:rFonts w:ascii="Cambria" w:hAnsi="Cambria" w:cs="Cambria"/>
      <w:b/>
      <w:bCs/>
      <w:kern w:val="28"/>
      <w:sz w:val="32"/>
      <w:szCs w:val="32"/>
    </w:rPr>
  </w:style>
  <w:style w:type="character" w:customStyle="1" w:styleId="68">
    <w:name w:val="Body Text Indent 3 Char"/>
    <w:basedOn w:val="42"/>
    <w:link w:val="32"/>
    <w:qFormat/>
    <w:locked/>
    <w:uiPriority w:val="99"/>
    <w:rPr>
      <w:rFonts w:ascii="Times New Roman" w:hAnsi="Times New Roman" w:eastAsia="宋体" w:cs="Times New Roman"/>
      <w:sz w:val="16"/>
      <w:szCs w:val="16"/>
    </w:rPr>
  </w:style>
  <w:style w:type="character" w:customStyle="1" w:styleId="69">
    <w:name w:val="Title Char"/>
    <w:basedOn w:val="42"/>
    <w:link w:val="37"/>
    <w:qFormat/>
    <w:locked/>
    <w:uiPriority w:val="99"/>
    <w:rPr>
      <w:rFonts w:ascii="Cambria" w:hAnsi="Cambria" w:cs="Cambria"/>
      <w:b/>
      <w:bCs/>
      <w:kern w:val="2"/>
      <w:sz w:val="32"/>
      <w:szCs w:val="32"/>
    </w:rPr>
  </w:style>
  <w:style w:type="character" w:customStyle="1" w:styleId="70">
    <w:name w:val="Comment Subject Char"/>
    <w:basedOn w:val="58"/>
    <w:link w:val="38"/>
    <w:qFormat/>
    <w:locked/>
    <w:uiPriority w:val="99"/>
    <w:rPr>
      <w:b/>
      <w:bCs/>
    </w:rPr>
  </w:style>
  <w:style w:type="character" w:customStyle="1" w:styleId="71">
    <w:name w:val="Heading 2 Char1"/>
    <w:basedOn w:val="42"/>
    <w:link w:val="4"/>
    <w:qFormat/>
    <w:locked/>
    <w:uiPriority w:val="99"/>
    <w:rPr>
      <w:rFonts w:ascii="Arial" w:hAnsi="Arial" w:eastAsia="黑体" w:cs="Arial"/>
      <w:b/>
      <w:bCs/>
      <w:sz w:val="32"/>
      <w:szCs w:val="32"/>
    </w:rPr>
  </w:style>
  <w:style w:type="paragraph" w:customStyle="1" w:styleId="72">
    <w:name w:val="正文首行缩进两字符"/>
    <w:basedOn w:val="1"/>
    <w:qFormat/>
    <w:uiPriority w:val="99"/>
    <w:pPr>
      <w:spacing w:line="360" w:lineRule="auto"/>
      <w:ind w:firstLine="200" w:firstLineChars="200"/>
    </w:pPr>
  </w:style>
  <w:style w:type="paragraph" w:customStyle="1" w:styleId="73">
    <w:name w:val="正文1"/>
    <w:qFormat/>
    <w:uiPriority w:val="99"/>
    <w:pPr>
      <w:widowControl w:val="0"/>
      <w:adjustRightInd w:val="0"/>
      <w:spacing w:line="312" w:lineRule="atLeast"/>
      <w:jc w:val="both"/>
      <w:textAlignment w:val="baseline"/>
    </w:pPr>
    <w:rPr>
      <w:rFonts w:ascii="宋体" w:hAnsi="Times New Roman" w:eastAsia="宋体" w:cs="宋体"/>
      <w:kern w:val="0"/>
      <w:sz w:val="34"/>
      <w:szCs w:val="34"/>
      <w:lang w:val="en-US" w:eastAsia="zh-CN" w:bidi="ar-SA"/>
    </w:rPr>
  </w:style>
  <w:style w:type="paragraph" w:customStyle="1" w:styleId="74">
    <w:name w:val="样式"/>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75">
    <w:name w:val="表格"/>
    <w:basedOn w:val="1"/>
    <w:qFormat/>
    <w:uiPriority w:val="99"/>
    <w:pPr>
      <w:spacing w:line="400" w:lineRule="exact"/>
    </w:pPr>
    <w:rPr>
      <w:sz w:val="24"/>
      <w:szCs w:val="24"/>
    </w:rPr>
  </w:style>
  <w:style w:type="paragraph" w:customStyle="1" w:styleId="76">
    <w:name w:val="样式 首行缩进:  2 字符"/>
    <w:basedOn w:val="1"/>
    <w:uiPriority w:val="99"/>
    <w:pPr>
      <w:spacing w:line="400" w:lineRule="exact"/>
      <w:ind w:firstLine="200" w:firstLineChars="200"/>
    </w:pPr>
    <w:rPr>
      <w:sz w:val="24"/>
      <w:szCs w:val="24"/>
    </w:rPr>
  </w:style>
  <w:style w:type="character" w:customStyle="1" w:styleId="77">
    <w:name w:val="（符号）邀请函中一、"/>
    <w:basedOn w:val="42"/>
    <w:uiPriority w:val="99"/>
    <w:rPr>
      <w:rFonts w:ascii="黑体" w:hAnsi="黑体" w:eastAsia="黑体" w:cs="黑体"/>
      <w:b/>
      <w:bCs/>
      <w:sz w:val="24"/>
      <w:szCs w:val="24"/>
    </w:rPr>
  </w:style>
  <w:style w:type="character" w:customStyle="1" w:styleId="78">
    <w:name w:val="Normal Indent Char"/>
    <w:link w:val="12"/>
    <w:qFormat/>
    <w:locked/>
    <w:uiPriority w:val="99"/>
    <w:rPr>
      <w:rFonts w:ascii="Times New Roman" w:hAnsi="Times New Roman" w:eastAsia="宋体" w:cs="Times New Roman"/>
      <w:sz w:val="24"/>
      <w:szCs w:val="24"/>
    </w:rPr>
  </w:style>
  <w:style w:type="character" w:customStyle="1" w:styleId="79">
    <w:name w:val="Char Char9"/>
    <w:qFormat/>
    <w:uiPriority w:val="99"/>
    <w:rPr>
      <w:kern w:val="2"/>
      <w:sz w:val="21"/>
      <w:szCs w:val="21"/>
    </w:rPr>
  </w:style>
  <w:style w:type="character" w:customStyle="1" w:styleId="80">
    <w:name w:val="批注文字 Char"/>
    <w:uiPriority w:val="99"/>
    <w:rPr>
      <w:sz w:val="18"/>
      <w:szCs w:val="18"/>
    </w:rPr>
  </w:style>
  <w:style w:type="character" w:customStyle="1" w:styleId="81">
    <w:name w:val="纯文本 Char"/>
    <w:qFormat/>
    <w:uiPriority w:val="99"/>
    <w:rPr>
      <w:rFonts w:ascii="宋体" w:hAnsi="Tms Rmn" w:eastAsia="宋体" w:cs="宋体"/>
    </w:rPr>
  </w:style>
  <w:style w:type="paragraph" w:customStyle="1" w:styleId="82">
    <w:name w:val="GW-正文"/>
    <w:basedOn w:val="1"/>
    <w:link w:val="83"/>
    <w:qFormat/>
    <w:uiPriority w:val="99"/>
    <w:pPr>
      <w:spacing w:line="360" w:lineRule="auto"/>
      <w:ind w:firstLine="200" w:firstLineChars="200"/>
    </w:pPr>
    <w:rPr>
      <w:rFonts w:eastAsia="仿宋_GB2312"/>
      <w:kern w:val="0"/>
      <w:sz w:val="24"/>
      <w:szCs w:val="24"/>
    </w:rPr>
  </w:style>
  <w:style w:type="character" w:customStyle="1" w:styleId="83">
    <w:name w:val="GW-正文 Char"/>
    <w:link w:val="82"/>
    <w:qFormat/>
    <w:locked/>
    <w:uiPriority w:val="99"/>
    <w:rPr>
      <w:rFonts w:ascii="Times New Roman" w:hAnsi="Times New Roman" w:eastAsia="仿宋_GB2312" w:cs="Times New Roman"/>
      <w:sz w:val="24"/>
      <w:szCs w:val="24"/>
    </w:rPr>
  </w:style>
  <w:style w:type="paragraph" w:styleId="84">
    <w:name w:val="List Paragraph"/>
    <w:basedOn w:val="1"/>
    <w:link w:val="85"/>
    <w:qFormat/>
    <w:uiPriority w:val="99"/>
    <w:pPr>
      <w:ind w:firstLine="420" w:firstLineChars="200"/>
    </w:pPr>
    <w:rPr>
      <w:kern w:val="0"/>
      <w:sz w:val="24"/>
      <w:szCs w:val="24"/>
    </w:rPr>
  </w:style>
  <w:style w:type="character" w:customStyle="1" w:styleId="85">
    <w:name w:val="List Paragraph Char"/>
    <w:link w:val="84"/>
    <w:locked/>
    <w:uiPriority w:val="99"/>
    <w:rPr>
      <w:rFonts w:ascii="Times New Roman" w:hAnsi="Times New Roman" w:eastAsia="宋体" w:cs="Times New Roman"/>
      <w:sz w:val="24"/>
      <w:szCs w:val="24"/>
    </w:rPr>
  </w:style>
  <w:style w:type="paragraph" w:customStyle="1" w:styleId="86">
    <w:name w:val="Char Char Char Char Char Char Char Char Char Char Char Char Char Char1 Char Char Char Char"/>
    <w:basedOn w:val="1"/>
    <w:qFormat/>
    <w:uiPriority w:val="99"/>
  </w:style>
  <w:style w:type="paragraph" w:customStyle="1" w:styleId="87">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font31"/>
    <w:basedOn w:val="42"/>
    <w:qFormat/>
    <w:uiPriority w:val="99"/>
    <w:rPr>
      <w:rFonts w:ascii="宋体" w:hAnsi="宋体" w:eastAsia="宋体" w:cs="宋体"/>
      <w:color w:val="000000"/>
      <w:sz w:val="21"/>
      <w:szCs w:val="21"/>
      <w:u w:val="none"/>
    </w:rPr>
  </w:style>
  <w:style w:type="character" w:customStyle="1" w:styleId="89">
    <w:name w:val="正文缩进 Char1"/>
    <w:qFormat/>
    <w:locked/>
    <w:uiPriority w:val="99"/>
    <w:rPr>
      <w:rFonts w:eastAsia="宋体"/>
      <w:kern w:val="2"/>
      <w:sz w:val="24"/>
      <w:szCs w:val="24"/>
      <w:lang w:val="en-US" w:eastAsia="zh-CN"/>
    </w:rPr>
  </w:style>
  <w:style w:type="paragraph" w:customStyle="1" w:styleId="90">
    <w:name w:val="Plain Text1"/>
    <w:basedOn w:val="1"/>
    <w:qFormat/>
    <w:uiPriority w:val="99"/>
    <w:pPr>
      <w:adjustRightInd w:val="0"/>
      <w:jc w:val="left"/>
      <w:textAlignment w:val="baseline"/>
    </w:pPr>
    <w:rPr>
      <w:rFonts w:ascii="宋体" w:hAnsi="Courier New" w:cs="宋体"/>
      <w:sz w:val="24"/>
      <w:szCs w:val="24"/>
    </w:rPr>
  </w:style>
  <w:style w:type="character" w:customStyle="1" w:styleId="91">
    <w:name w:val="Char Char3"/>
    <w:uiPriority w:val="99"/>
    <w:rPr>
      <w:rFonts w:ascii="Arial" w:hAnsi="Arial" w:eastAsia="黑体" w:cs="Arial"/>
      <w:b/>
      <w:bCs/>
      <w:kern w:val="2"/>
      <w:sz w:val="32"/>
      <w:szCs w:val="32"/>
      <w:lang w:val="en-US" w:eastAsia="zh-CN"/>
    </w:rPr>
  </w:style>
  <w:style w:type="character" w:customStyle="1" w:styleId="92">
    <w:name w:val="Char Char Char"/>
    <w:link w:val="93"/>
    <w:locked/>
    <w:uiPriority w:val="99"/>
    <w:rPr>
      <w:rFonts w:ascii="Arial" w:hAnsi="Arial" w:eastAsia="黑体" w:cs="Arial"/>
      <w:b/>
      <w:bCs/>
      <w:kern w:val="2"/>
      <w:sz w:val="32"/>
      <w:szCs w:val="32"/>
    </w:rPr>
  </w:style>
  <w:style w:type="paragraph" w:customStyle="1" w:styleId="93">
    <w:name w:val="Char"/>
    <w:basedOn w:val="1"/>
    <w:link w:val="92"/>
    <w:uiPriority w:val="99"/>
    <w:rPr>
      <w:rFonts w:ascii="Arial" w:hAnsi="Arial" w:eastAsia="黑体" w:cs="Arial"/>
      <w:b/>
      <w:bCs/>
      <w:sz w:val="32"/>
      <w:szCs w:val="32"/>
    </w:rPr>
  </w:style>
  <w:style w:type="character" w:customStyle="1" w:styleId="94">
    <w:name w:val="无间距字符"/>
    <w:link w:val="95"/>
    <w:qFormat/>
    <w:locked/>
    <w:uiPriority w:val="99"/>
    <w:rPr>
      <w:rFonts w:ascii="Calibri" w:hAnsi="Calibri" w:cs="Calibri"/>
      <w:sz w:val="22"/>
      <w:szCs w:val="22"/>
      <w:lang w:val="en-US" w:eastAsia="zh-CN"/>
    </w:rPr>
  </w:style>
  <w:style w:type="paragraph" w:customStyle="1" w:styleId="95">
    <w:name w:val="无间距"/>
    <w:link w:val="94"/>
    <w:qFormat/>
    <w:uiPriority w:val="99"/>
    <w:rPr>
      <w:rFonts w:ascii="Calibri" w:hAnsi="Calibri" w:eastAsia="宋体" w:cs="Calibri"/>
      <w:kern w:val="0"/>
      <w:sz w:val="22"/>
      <w:szCs w:val="22"/>
      <w:lang w:val="en-US" w:eastAsia="zh-CN" w:bidi="ar-SA"/>
    </w:rPr>
  </w:style>
  <w:style w:type="character" w:customStyle="1" w:styleId="96">
    <w:name w:val="tdrownotice1"/>
    <w:qFormat/>
    <w:uiPriority w:val="99"/>
    <w:rPr>
      <w:sz w:val="22"/>
      <w:szCs w:val="22"/>
    </w:rPr>
  </w:style>
  <w:style w:type="character" w:customStyle="1" w:styleId="97">
    <w:name w:val="页眉 Char1"/>
    <w:basedOn w:val="42"/>
    <w:semiHidden/>
    <w:qFormat/>
    <w:uiPriority w:val="99"/>
    <w:rPr>
      <w:kern w:val="2"/>
      <w:sz w:val="18"/>
      <w:szCs w:val="18"/>
    </w:rPr>
  </w:style>
  <w:style w:type="character" w:customStyle="1" w:styleId="98">
    <w:name w:val="正文文本缩进 Char1"/>
    <w:basedOn w:val="42"/>
    <w:semiHidden/>
    <w:qFormat/>
    <w:uiPriority w:val="99"/>
    <w:rPr>
      <w:kern w:val="2"/>
      <w:sz w:val="21"/>
      <w:szCs w:val="21"/>
    </w:rPr>
  </w:style>
  <w:style w:type="character" w:customStyle="1" w:styleId="99">
    <w:name w:val="批注主题 Char1"/>
    <w:basedOn w:val="58"/>
    <w:qFormat/>
    <w:uiPriority w:val="99"/>
    <w:rPr>
      <w:b/>
      <w:bCs/>
      <w:kern w:val="2"/>
    </w:rPr>
  </w:style>
  <w:style w:type="character" w:customStyle="1" w:styleId="100">
    <w:name w:val="Title Char1"/>
    <w:basedOn w:val="42"/>
    <w:link w:val="37"/>
    <w:qFormat/>
    <w:locked/>
    <w:uiPriority w:val="99"/>
    <w:rPr>
      <w:rFonts w:ascii="Cambria" w:hAnsi="Cambria" w:cs="Cambria"/>
      <w:b/>
      <w:bCs/>
      <w:sz w:val="32"/>
      <w:szCs w:val="32"/>
    </w:rPr>
  </w:style>
  <w:style w:type="character" w:customStyle="1" w:styleId="101">
    <w:name w:val="标题 Char1"/>
    <w:basedOn w:val="42"/>
    <w:qFormat/>
    <w:uiPriority w:val="99"/>
    <w:rPr>
      <w:rFonts w:ascii="Cambria" w:hAnsi="Cambria" w:eastAsia="宋体" w:cs="Cambria"/>
      <w:b/>
      <w:bCs/>
      <w:kern w:val="2"/>
      <w:sz w:val="32"/>
      <w:szCs w:val="32"/>
    </w:rPr>
  </w:style>
  <w:style w:type="character" w:customStyle="1" w:styleId="102">
    <w:name w:val="页脚 Char1"/>
    <w:basedOn w:val="42"/>
    <w:semiHidden/>
    <w:qFormat/>
    <w:uiPriority w:val="99"/>
    <w:rPr>
      <w:kern w:val="2"/>
      <w:sz w:val="18"/>
      <w:szCs w:val="18"/>
    </w:rPr>
  </w:style>
  <w:style w:type="paragraph" w:customStyle="1" w:styleId="103">
    <w:name w:val="Char1"/>
    <w:basedOn w:val="1"/>
    <w:qFormat/>
    <w:uiPriority w:val="99"/>
  </w:style>
  <w:style w:type="paragraph" w:customStyle="1" w:styleId="104">
    <w:name w:val="样式 标题 2 + Times New Roman 四号 非加粗 段前: 5 磅 段后: 0 磅 行距: 固定值 20..."/>
    <w:basedOn w:val="4"/>
    <w:qFormat/>
    <w:uiPriority w:val="99"/>
    <w:pPr>
      <w:spacing w:before="100" w:after="0" w:line="400" w:lineRule="exact"/>
    </w:pPr>
    <w:rPr>
      <w:rFonts w:ascii="Times New Roman" w:hAnsi="Times New Roman" w:cs="Times New Roman"/>
      <w:b w:val="0"/>
      <w:bCs w:val="0"/>
      <w:sz w:val="28"/>
      <w:szCs w:val="28"/>
    </w:rPr>
  </w:style>
  <w:style w:type="paragraph" w:customStyle="1" w:styleId="105">
    <w:name w:val="样式 首行缩进:  2 字符1"/>
    <w:basedOn w:val="1"/>
    <w:qFormat/>
    <w:uiPriority w:val="99"/>
    <w:pPr>
      <w:spacing w:line="400" w:lineRule="exact"/>
      <w:ind w:firstLine="200" w:firstLineChars="200"/>
    </w:pPr>
    <w:rPr>
      <w:sz w:val="24"/>
      <w:szCs w:val="24"/>
    </w:rPr>
  </w:style>
  <w:style w:type="paragraph" w:customStyle="1" w:styleId="106">
    <w:name w:val="Char2"/>
    <w:basedOn w:val="1"/>
    <w:uiPriority w:val="99"/>
  </w:style>
  <w:style w:type="paragraph" w:customStyle="1" w:styleId="107">
    <w:name w:val="Char Char Char Char Char Char Char"/>
    <w:basedOn w:val="1"/>
    <w:qFormat/>
    <w:uiPriority w:val="99"/>
  </w:style>
  <w:style w:type="paragraph" w:customStyle="1" w:styleId="108">
    <w:name w:val="bf.1"/>
    <w:basedOn w:val="12"/>
    <w:qFormat/>
    <w:uiPriority w:val="99"/>
    <w:pPr>
      <w:autoSpaceDE w:val="0"/>
      <w:autoSpaceDN w:val="0"/>
      <w:adjustRightInd w:val="0"/>
      <w:spacing w:before="50" w:after="100" w:line="500" w:lineRule="exact"/>
      <w:ind w:firstLine="0" w:firstLineChars="0"/>
    </w:pPr>
    <w:rPr>
      <w:rFonts w:ascii="仿宋_GB2312" w:hAnsi="宋体" w:eastAsia="仿宋_GB2312" w:cs="仿宋_GB2312"/>
      <w:color w:val="000000"/>
    </w:rPr>
  </w:style>
  <w:style w:type="paragraph" w:customStyle="1" w:styleId="109">
    <w:name w:val="第一章"/>
    <w:basedOn w:val="1"/>
    <w:next w:val="1"/>
    <w:uiPriority w:val="99"/>
    <w:pPr>
      <w:tabs>
        <w:tab w:val="left" w:pos="0"/>
      </w:tabs>
      <w:spacing w:line="360" w:lineRule="auto"/>
      <w:ind w:hanging="500" w:hangingChars="500"/>
    </w:pPr>
    <w:rPr>
      <w:rFonts w:eastAsia="黑体"/>
      <w:sz w:val="44"/>
      <w:szCs w:val="44"/>
    </w:rPr>
  </w:style>
  <w:style w:type="paragraph" w:customStyle="1" w:styleId="110">
    <w:name w:val="blockquote"/>
    <w:basedOn w:val="1"/>
    <w:uiPriority w:val="99"/>
    <w:pPr>
      <w:widowControl/>
      <w:spacing w:before="100" w:beforeAutospacing="1" w:after="100" w:afterAutospacing="1"/>
    </w:pPr>
    <w:rPr>
      <w:rFonts w:ascii="宋体" w:hAnsi="宋体" w:cs="宋体"/>
      <w:kern w:val="0"/>
      <w:sz w:val="24"/>
      <w:szCs w:val="24"/>
    </w:rPr>
  </w:style>
  <w:style w:type="paragraph" w:customStyle="1" w:styleId="111">
    <w:name w:val="样式1"/>
    <w:basedOn w:val="3"/>
    <w:qFormat/>
    <w:uiPriority w:val="99"/>
    <w:pPr>
      <w:spacing w:line="576" w:lineRule="auto"/>
    </w:pPr>
  </w:style>
  <w:style w:type="paragraph" w:customStyle="1" w:styleId="112">
    <w:name w:val="Char Char1 Char"/>
    <w:basedOn w:val="1"/>
    <w:qFormat/>
    <w:uiPriority w:val="99"/>
  </w:style>
  <w:style w:type="paragraph" w:customStyle="1" w:styleId="113">
    <w:name w:val="Char Char Char Char"/>
    <w:basedOn w:val="1"/>
    <w:qFormat/>
    <w:uiPriority w:val="99"/>
  </w:style>
  <w:style w:type="paragraph" w:customStyle="1" w:styleId="114">
    <w:name w:val="样式3"/>
    <w:basedOn w:val="3"/>
    <w:qFormat/>
    <w:uiPriority w:val="99"/>
    <w:pPr>
      <w:spacing w:line="576" w:lineRule="auto"/>
    </w:pPr>
  </w:style>
  <w:style w:type="paragraph" w:customStyle="1" w:styleId="115">
    <w:name w:val="p0"/>
    <w:basedOn w:val="1"/>
    <w:qFormat/>
    <w:uiPriority w:val="99"/>
    <w:pPr>
      <w:widowControl/>
    </w:pPr>
    <w:rPr>
      <w:kern w:val="0"/>
    </w:rPr>
  </w:style>
  <w:style w:type="paragraph" w:customStyle="1" w:styleId="116">
    <w:name w:val="Char Char Char Char Char Char Char Char Char Char Char Char Char"/>
    <w:basedOn w:val="1"/>
    <w:qFormat/>
    <w:uiPriority w:val="99"/>
    <w:pPr>
      <w:widowControl/>
      <w:spacing w:after="160" w:line="240" w:lineRule="exact"/>
      <w:jc w:val="left"/>
    </w:pPr>
  </w:style>
  <w:style w:type="paragraph" w:customStyle="1" w:styleId="117">
    <w:name w:val="样式2"/>
    <w:basedOn w:val="1"/>
    <w:qFormat/>
    <w:uiPriority w:val="99"/>
    <w:pPr>
      <w:ind w:firstLine="420" w:firstLineChars="150"/>
    </w:pPr>
    <w:rPr>
      <w:sz w:val="24"/>
      <w:szCs w:val="24"/>
      <w:lang w:val="en-GB"/>
    </w:rPr>
  </w:style>
  <w:style w:type="paragraph" w:customStyle="1" w:styleId="118">
    <w:name w:val="Blockquote"/>
    <w:basedOn w:val="1"/>
    <w:qFormat/>
    <w:uiPriority w:val="99"/>
    <w:pPr>
      <w:autoSpaceDE w:val="0"/>
      <w:autoSpaceDN w:val="0"/>
      <w:adjustRightInd w:val="0"/>
      <w:spacing w:before="100" w:after="100"/>
      <w:ind w:left="360"/>
    </w:pPr>
    <w:rPr>
      <w:kern w:val="0"/>
      <w:sz w:val="24"/>
      <w:szCs w:val="24"/>
    </w:rPr>
  </w:style>
  <w:style w:type="paragraph" w:customStyle="1" w:styleId="119">
    <w:name w:val="Char1 Char Char Char"/>
    <w:basedOn w:val="1"/>
    <w:qFormat/>
    <w:uiPriority w:val="99"/>
  </w:style>
  <w:style w:type="character" w:customStyle="1" w:styleId="120">
    <w:name w:val="正文文本 Char1"/>
    <w:qFormat/>
    <w:uiPriority w:val="99"/>
    <w:rPr>
      <w:kern w:val="2"/>
      <w:sz w:val="22"/>
      <w:szCs w:val="22"/>
    </w:rPr>
  </w:style>
  <w:style w:type="character" w:customStyle="1" w:styleId="121">
    <w:name w:val="Intense Quote Char"/>
    <w:qFormat/>
    <w:locked/>
    <w:uiPriority w:val="99"/>
    <w:rPr>
      <w:b/>
      <w:bCs/>
      <w:i/>
      <w:iCs/>
      <w:color w:val="4F81BD"/>
      <w:kern w:val="2"/>
      <w:sz w:val="22"/>
      <w:szCs w:val="22"/>
    </w:rPr>
  </w:style>
  <w:style w:type="character" w:customStyle="1" w:styleId="122">
    <w:name w:val="Subtle Emphasis1"/>
    <w:basedOn w:val="42"/>
    <w:qFormat/>
    <w:uiPriority w:val="99"/>
    <w:rPr>
      <w:i/>
      <w:iCs/>
      <w:color w:val="808080"/>
    </w:rPr>
  </w:style>
  <w:style w:type="character" w:customStyle="1" w:styleId="123">
    <w:name w:val="标题4 Char Char"/>
    <w:link w:val="124"/>
    <w:qFormat/>
    <w:locked/>
    <w:uiPriority w:val="99"/>
    <w:rPr>
      <w:rFonts w:ascii="Arial" w:hAnsi="Arial" w:cs="Arial"/>
      <w:b/>
      <w:bCs/>
      <w:sz w:val="32"/>
      <w:szCs w:val="32"/>
    </w:rPr>
  </w:style>
  <w:style w:type="paragraph" w:customStyle="1" w:styleId="124">
    <w:name w:val="标题4"/>
    <w:basedOn w:val="4"/>
    <w:next w:val="18"/>
    <w:link w:val="123"/>
    <w:qFormat/>
    <w:uiPriority w:val="99"/>
    <w:pPr>
      <w:spacing w:line="413" w:lineRule="auto"/>
    </w:pPr>
    <w:rPr>
      <w:rFonts w:eastAsia="宋体"/>
      <w:kern w:val="0"/>
    </w:rPr>
  </w:style>
  <w:style w:type="character" w:customStyle="1" w:styleId="125">
    <w:name w:val="标题5 Char Char"/>
    <w:link w:val="126"/>
    <w:qFormat/>
    <w:locked/>
    <w:uiPriority w:val="99"/>
    <w:rPr>
      <w:rFonts w:ascii="Arial" w:hAnsi="Arial" w:cs="Arial"/>
      <w:b/>
      <w:bCs/>
      <w:sz w:val="32"/>
      <w:szCs w:val="32"/>
    </w:rPr>
  </w:style>
  <w:style w:type="paragraph" w:customStyle="1" w:styleId="126">
    <w:name w:val="标题5"/>
    <w:basedOn w:val="2"/>
    <w:link w:val="125"/>
    <w:qFormat/>
    <w:uiPriority w:val="99"/>
    <w:pPr>
      <w:spacing w:line="413" w:lineRule="auto"/>
    </w:pPr>
    <w:rPr>
      <w:rFonts w:ascii="Arial" w:hAnsi="Arial" w:cs="Arial"/>
      <w:kern w:val="0"/>
    </w:rPr>
  </w:style>
  <w:style w:type="character" w:customStyle="1" w:styleId="127">
    <w:name w:val="Intense Reference1"/>
    <w:basedOn w:val="42"/>
    <w:qFormat/>
    <w:uiPriority w:val="99"/>
    <w:rPr>
      <w:b/>
      <w:bCs/>
      <w:smallCaps/>
      <w:color w:val="auto"/>
      <w:spacing w:val="5"/>
      <w:u w:val="single"/>
    </w:rPr>
  </w:style>
  <w:style w:type="character" w:customStyle="1" w:styleId="128">
    <w:name w:val="Book Title1"/>
    <w:basedOn w:val="42"/>
    <w:qFormat/>
    <w:uiPriority w:val="99"/>
    <w:rPr>
      <w:b/>
      <w:bCs/>
      <w:smallCaps/>
      <w:spacing w:val="5"/>
    </w:rPr>
  </w:style>
  <w:style w:type="character" w:customStyle="1" w:styleId="129">
    <w:name w:val="批注框文本 Char1"/>
    <w:qFormat/>
    <w:uiPriority w:val="99"/>
    <w:rPr>
      <w:kern w:val="2"/>
      <w:sz w:val="18"/>
      <w:szCs w:val="18"/>
    </w:rPr>
  </w:style>
  <w:style w:type="character" w:customStyle="1" w:styleId="130">
    <w:name w:val="Quote Char"/>
    <w:qFormat/>
    <w:locked/>
    <w:uiPriority w:val="99"/>
    <w:rPr>
      <w:i/>
      <w:iCs/>
      <w:color w:val="000000"/>
      <w:kern w:val="2"/>
      <w:sz w:val="22"/>
      <w:szCs w:val="22"/>
    </w:rPr>
  </w:style>
  <w:style w:type="character" w:customStyle="1" w:styleId="131">
    <w:name w:val="日期 Char1"/>
    <w:qFormat/>
    <w:uiPriority w:val="99"/>
    <w:rPr>
      <w:kern w:val="2"/>
      <w:sz w:val="22"/>
      <w:szCs w:val="22"/>
    </w:rPr>
  </w:style>
  <w:style w:type="character" w:customStyle="1" w:styleId="132">
    <w:name w:val="Intense Emphasis1"/>
    <w:basedOn w:val="42"/>
    <w:qFormat/>
    <w:uiPriority w:val="99"/>
    <w:rPr>
      <w:b/>
      <w:bCs/>
      <w:i/>
      <w:iCs/>
      <w:color w:val="4F81BD"/>
    </w:rPr>
  </w:style>
  <w:style w:type="character" w:customStyle="1" w:styleId="133">
    <w:name w:val="textcontents"/>
    <w:qFormat/>
    <w:uiPriority w:val="99"/>
  </w:style>
  <w:style w:type="character" w:customStyle="1" w:styleId="134">
    <w:name w:val="Subtle Reference1"/>
    <w:basedOn w:val="42"/>
    <w:qFormat/>
    <w:uiPriority w:val="99"/>
    <w:rPr>
      <w:smallCaps/>
      <w:color w:val="auto"/>
      <w:u w:val="single"/>
    </w:rPr>
  </w:style>
  <w:style w:type="character" w:customStyle="1" w:styleId="135">
    <w:name w:val="批注文字 Char Char"/>
    <w:qFormat/>
    <w:uiPriority w:val="99"/>
    <w:rPr>
      <w:rFonts w:ascii="宋体" w:hAnsi="Times New Roman" w:eastAsia="宋体" w:cs="宋体"/>
      <w:sz w:val="20"/>
      <w:szCs w:val="20"/>
    </w:rPr>
  </w:style>
  <w:style w:type="character" w:customStyle="1" w:styleId="136">
    <w:name w:val="文档结构图 Char1"/>
    <w:qFormat/>
    <w:uiPriority w:val="99"/>
    <w:rPr>
      <w:rFonts w:ascii="宋体" w:cs="宋体"/>
      <w:kern w:val="2"/>
      <w:sz w:val="18"/>
      <w:szCs w:val="18"/>
    </w:rPr>
  </w:style>
  <w:style w:type="paragraph" w:customStyle="1" w:styleId="137">
    <w:name w:val="Revision1"/>
    <w:qFormat/>
    <w:uiPriority w:val="99"/>
    <w:rPr>
      <w:rFonts w:ascii="Times New Roman" w:hAnsi="Times New Roman" w:eastAsia="宋体" w:cs="Times New Roman"/>
      <w:kern w:val="2"/>
      <w:sz w:val="21"/>
      <w:szCs w:val="21"/>
      <w:lang w:val="en-US" w:eastAsia="zh-CN" w:bidi="ar-SA"/>
    </w:rPr>
  </w:style>
  <w:style w:type="character" w:customStyle="1" w:styleId="138">
    <w:name w:val="批注框文本 Char2"/>
    <w:semiHidden/>
    <w:qFormat/>
    <w:uiPriority w:val="99"/>
    <w:rPr>
      <w:kern w:val="2"/>
      <w:sz w:val="18"/>
      <w:szCs w:val="18"/>
    </w:rPr>
  </w:style>
  <w:style w:type="character" w:customStyle="1" w:styleId="139">
    <w:name w:val="批注主题 Char2"/>
    <w:semiHidden/>
    <w:qFormat/>
    <w:uiPriority w:val="99"/>
    <w:rPr>
      <w:b/>
      <w:bCs/>
      <w:kern w:val="2"/>
      <w:sz w:val="22"/>
      <w:szCs w:val="22"/>
    </w:rPr>
  </w:style>
  <w:style w:type="character" w:customStyle="1" w:styleId="140">
    <w:name w:val="文档结构图 Char2"/>
    <w:semiHidden/>
    <w:qFormat/>
    <w:uiPriority w:val="99"/>
    <w:rPr>
      <w:rFonts w:ascii="宋体" w:cs="宋体"/>
      <w:kern w:val="2"/>
      <w:sz w:val="18"/>
      <w:szCs w:val="18"/>
    </w:rPr>
  </w:style>
  <w:style w:type="character" w:customStyle="1" w:styleId="141">
    <w:name w:val="日期 Char2"/>
    <w:semiHidden/>
    <w:qFormat/>
    <w:uiPriority w:val="99"/>
    <w:rPr>
      <w:kern w:val="2"/>
      <w:sz w:val="22"/>
      <w:szCs w:val="22"/>
    </w:rPr>
  </w:style>
  <w:style w:type="character" w:customStyle="1" w:styleId="142">
    <w:name w:val="正文文本 Char2"/>
    <w:basedOn w:val="42"/>
    <w:semiHidden/>
    <w:qFormat/>
    <w:uiPriority w:val="99"/>
    <w:rPr>
      <w:kern w:val="2"/>
      <w:sz w:val="21"/>
      <w:szCs w:val="21"/>
    </w:rPr>
  </w:style>
  <w:style w:type="paragraph" w:customStyle="1" w:styleId="143">
    <w:name w:val="TOC Heading1"/>
    <w:basedOn w:val="3"/>
    <w:next w:val="1"/>
    <w:qFormat/>
    <w:uiPriority w:val="99"/>
    <w:pPr>
      <w:spacing w:line="576" w:lineRule="auto"/>
      <w:outlineLvl w:val="9"/>
    </w:pPr>
    <w:rPr>
      <w:rFonts w:ascii="Calibri" w:hAnsi="Calibri" w:cs="Calibri"/>
    </w:rPr>
  </w:style>
  <w:style w:type="character" w:customStyle="1" w:styleId="144">
    <w:name w:val="Subtitle Char1"/>
    <w:basedOn w:val="42"/>
    <w:link w:val="30"/>
    <w:qFormat/>
    <w:locked/>
    <w:uiPriority w:val="99"/>
    <w:rPr>
      <w:rFonts w:ascii="Cambria" w:hAnsi="Cambria" w:cs="Cambria"/>
      <w:b/>
      <w:bCs/>
      <w:kern w:val="28"/>
      <w:sz w:val="32"/>
      <w:szCs w:val="32"/>
    </w:rPr>
  </w:style>
  <w:style w:type="character" w:customStyle="1" w:styleId="145">
    <w:name w:val="副标题 Char1"/>
    <w:basedOn w:val="42"/>
    <w:qFormat/>
    <w:uiPriority w:val="99"/>
    <w:rPr>
      <w:rFonts w:ascii="Cambria" w:hAnsi="Cambria" w:eastAsia="宋体" w:cs="Cambria"/>
      <w:b/>
      <w:bCs/>
      <w:kern w:val="28"/>
      <w:sz w:val="32"/>
      <w:szCs w:val="32"/>
    </w:rPr>
  </w:style>
  <w:style w:type="paragraph" w:styleId="146">
    <w:name w:val="Intense Quote"/>
    <w:basedOn w:val="1"/>
    <w:next w:val="1"/>
    <w:link w:val="147"/>
    <w:qFormat/>
    <w:uiPriority w:val="99"/>
    <w:pPr>
      <w:pBdr>
        <w:bottom w:val="single" w:color="4F81BD" w:sz="4" w:space="4"/>
      </w:pBdr>
      <w:spacing w:before="200" w:after="280"/>
      <w:ind w:left="936" w:right="936"/>
    </w:pPr>
    <w:rPr>
      <w:rFonts w:ascii="Calibri" w:hAnsi="Calibri" w:cs="Calibri"/>
      <w:b/>
      <w:bCs/>
      <w:i/>
      <w:iCs/>
      <w:color w:val="4F81BD"/>
      <w:sz w:val="22"/>
      <w:szCs w:val="22"/>
    </w:rPr>
  </w:style>
  <w:style w:type="character" w:customStyle="1" w:styleId="147">
    <w:name w:val="Intense Quote Char1"/>
    <w:basedOn w:val="42"/>
    <w:link w:val="146"/>
    <w:qFormat/>
    <w:locked/>
    <w:uiPriority w:val="99"/>
    <w:rPr>
      <w:rFonts w:ascii="Times New Roman" w:hAnsi="Times New Roman" w:cs="Times New Roman"/>
      <w:b/>
      <w:bCs/>
      <w:i/>
      <w:iCs/>
      <w:color w:val="4F81BD"/>
      <w:sz w:val="21"/>
      <w:szCs w:val="21"/>
    </w:rPr>
  </w:style>
  <w:style w:type="character" w:customStyle="1" w:styleId="148">
    <w:name w:val="明显引用 Char1"/>
    <w:basedOn w:val="42"/>
    <w:qFormat/>
    <w:uiPriority w:val="99"/>
    <w:rPr>
      <w:rFonts w:ascii="Times New Roman" w:hAnsi="Times New Roman" w:eastAsia="宋体" w:cs="Times New Roman"/>
      <w:b/>
      <w:bCs/>
      <w:i/>
      <w:iCs/>
      <w:color w:val="4F81BD"/>
      <w:kern w:val="2"/>
      <w:sz w:val="24"/>
      <w:szCs w:val="24"/>
    </w:rPr>
  </w:style>
  <w:style w:type="paragraph" w:customStyle="1" w:styleId="149">
    <w:name w:val="样式 标题 3 + (中文) 黑体 小四 非加粗 段前: 7.8 磅 段后: 0 磅 行距: 固定值 20 磅"/>
    <w:basedOn w:val="2"/>
    <w:qFormat/>
    <w:uiPriority w:val="99"/>
    <w:pPr>
      <w:spacing w:before="0" w:after="0" w:line="400" w:lineRule="exact"/>
    </w:pPr>
    <w:rPr>
      <w:rFonts w:eastAsia="黑体"/>
      <w:b w:val="0"/>
      <w:bCs w:val="0"/>
      <w:sz w:val="24"/>
      <w:szCs w:val="24"/>
    </w:rPr>
  </w:style>
  <w:style w:type="paragraph" w:customStyle="1" w:styleId="15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styleId="151">
    <w:name w:val="No Spacing"/>
    <w:qFormat/>
    <w:uiPriority w:val="99"/>
    <w:pPr>
      <w:widowControl w:val="0"/>
      <w:jc w:val="both"/>
    </w:pPr>
    <w:rPr>
      <w:rFonts w:ascii="Calibri" w:hAnsi="Calibri" w:eastAsia="宋体" w:cs="Calibri"/>
      <w:kern w:val="2"/>
      <w:sz w:val="21"/>
      <w:szCs w:val="21"/>
      <w:lang w:val="en-US" w:eastAsia="zh-CN" w:bidi="ar-SA"/>
    </w:rPr>
  </w:style>
  <w:style w:type="paragraph" w:styleId="152">
    <w:name w:val="Quote"/>
    <w:basedOn w:val="1"/>
    <w:next w:val="1"/>
    <w:link w:val="153"/>
    <w:qFormat/>
    <w:uiPriority w:val="99"/>
    <w:rPr>
      <w:rFonts w:ascii="Calibri" w:hAnsi="Calibri" w:cs="Calibri"/>
      <w:i/>
      <w:iCs/>
      <w:color w:val="000000"/>
      <w:sz w:val="22"/>
      <w:szCs w:val="22"/>
    </w:rPr>
  </w:style>
  <w:style w:type="character" w:customStyle="1" w:styleId="153">
    <w:name w:val="Quote Char1"/>
    <w:basedOn w:val="42"/>
    <w:link w:val="152"/>
    <w:qFormat/>
    <w:locked/>
    <w:uiPriority w:val="99"/>
    <w:rPr>
      <w:rFonts w:ascii="Times New Roman" w:hAnsi="Times New Roman" w:cs="Times New Roman"/>
      <w:i/>
      <w:iCs/>
      <w:color w:val="000000"/>
      <w:sz w:val="21"/>
      <w:szCs w:val="21"/>
    </w:rPr>
  </w:style>
  <w:style w:type="character" w:customStyle="1" w:styleId="154">
    <w:name w:val="引用 Char1"/>
    <w:basedOn w:val="42"/>
    <w:qFormat/>
    <w:uiPriority w:val="99"/>
    <w:rPr>
      <w:rFonts w:ascii="Times New Roman" w:hAnsi="Times New Roman" w:eastAsia="宋体" w:cs="Times New Roman"/>
      <w:i/>
      <w:iCs/>
      <w:color w:val="000000"/>
      <w:kern w:val="2"/>
      <w:sz w:val="24"/>
      <w:szCs w:val="24"/>
    </w:rPr>
  </w:style>
  <w:style w:type="paragraph" w:customStyle="1" w:styleId="155">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56">
    <w:name w:val="CD正文"/>
    <w:basedOn w:val="1"/>
    <w:qFormat/>
    <w:uiPriority w:val="99"/>
    <w:pPr>
      <w:spacing w:line="360" w:lineRule="auto"/>
      <w:ind w:firstLine="493"/>
    </w:pPr>
    <w:rPr>
      <w:sz w:val="30"/>
      <w:szCs w:val="30"/>
    </w:rPr>
  </w:style>
  <w:style w:type="table" w:customStyle="1" w:styleId="15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78</Pages>
  <Words>35028</Words>
  <Characters>36852</Characters>
  <Lines>0</Lines>
  <Paragraphs>0</Paragraphs>
  <TotalTime>20</TotalTime>
  <ScaleCrop>false</ScaleCrop>
  <LinksUpToDate>false</LinksUpToDate>
  <CharactersWithSpaces>37667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2020-05-26T04:43:00Z</dcterms:created>
  <dc:creator>刘春阳</dc:creator>
  <cp:lastModifiedBy>zx</cp:lastModifiedBy>
  <cp:lastPrinted>2020-06-22T07:27:00Z</cp:lastPrinted>
  <dcterms:modified xsi:type="dcterms:W3CDTF">2023-09-15T09:15:00Z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85452DF8E68246F19D2EB30A833C4F0A_12</vt:lpwstr>
  </property>
</Properties>
</file>