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360" w:lineRule="auto"/>
        <w:jc w:val="right"/>
        <w:rPr>
          <w:rFonts w:hint="eastAsia" w:eastAsia="宋体" w:cs="宋体"/>
          <w:b/>
          <w:bCs/>
          <w:i w:val="0"/>
          <w:iCs w:val="0"/>
          <w:caps w:val="0"/>
          <w:color w:val="auto"/>
          <w:spacing w:val="0"/>
          <w:kern w:val="0"/>
          <w:sz w:val="30"/>
          <w:szCs w:val="22"/>
          <w:highlight w:val="none"/>
          <w:shd w:val="clear"/>
          <w:lang w:val="en-US" w:eastAsia="zh-CN"/>
        </w:rPr>
      </w:pPr>
      <w:r>
        <w:rPr>
          <w:rFonts w:hint="eastAsia"/>
          <w:b/>
          <w:bCs/>
          <w:color w:val="auto"/>
          <w:sz w:val="30"/>
          <w:highlight w:val="none"/>
        </w:rPr>
        <w:t>项目编号：</w:t>
      </w:r>
      <w:r>
        <w:rPr>
          <w:rFonts w:hint="eastAsia" w:cs="宋体"/>
          <w:b/>
          <w:bCs/>
          <w:i w:val="0"/>
          <w:iCs w:val="0"/>
          <w:caps w:val="0"/>
          <w:color w:val="auto"/>
          <w:spacing w:val="0"/>
          <w:kern w:val="0"/>
          <w:sz w:val="30"/>
          <w:szCs w:val="22"/>
          <w:highlight w:val="yellow"/>
          <w:shd w:val="clear"/>
          <w:lang w:val="en-US" w:eastAsia="zh-CN"/>
        </w:rPr>
        <w:t>SCZSZB【2023】062213-2</w:t>
      </w: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eastAsia="宋体"/>
          <w:color w:val="auto"/>
          <w:highlight w:val="none"/>
          <w:lang w:eastAsia="zh-CN"/>
        </w:rPr>
      </w:pPr>
      <w:r>
        <w:rPr>
          <w:rFonts w:hint="eastAsia"/>
          <w:b/>
          <w:color w:val="auto"/>
          <w:sz w:val="56"/>
          <w:szCs w:val="56"/>
          <w:highlight w:val="none"/>
          <w:lang w:eastAsia="zh-CN"/>
        </w:rPr>
        <w:t>富顺县中医医院普通挂网耗材采购项目</w:t>
      </w:r>
      <w:r>
        <w:rPr>
          <w:rFonts w:hint="eastAsia"/>
          <w:b/>
          <w:color w:val="auto"/>
          <w:sz w:val="56"/>
          <w:szCs w:val="56"/>
          <w:highlight w:val="yellow"/>
          <w:lang w:eastAsia="zh-CN"/>
        </w:rPr>
        <w:t>（第三次）</w:t>
      </w:r>
    </w:p>
    <w:p>
      <w:pPr>
        <w:spacing w:beforeLines="150" w:line="360" w:lineRule="auto"/>
        <w:jc w:val="center"/>
        <w:rPr>
          <w:b/>
          <w:color w:val="auto"/>
          <w:sz w:val="96"/>
          <w:szCs w:val="96"/>
          <w:highlight w:val="none"/>
        </w:rPr>
      </w:pPr>
      <w:r>
        <w:rPr>
          <w:rFonts w:hint="eastAsia"/>
          <w:b/>
          <w:color w:val="auto"/>
          <w:sz w:val="96"/>
          <w:szCs w:val="96"/>
          <w:highlight w:val="none"/>
        </w:rPr>
        <w:t>招</w:t>
      </w:r>
    </w:p>
    <w:p>
      <w:pPr>
        <w:spacing w:line="360" w:lineRule="auto"/>
        <w:jc w:val="center"/>
        <w:rPr>
          <w:b/>
          <w:color w:val="auto"/>
          <w:sz w:val="96"/>
          <w:szCs w:val="96"/>
          <w:highlight w:val="none"/>
        </w:rPr>
      </w:pPr>
      <w:r>
        <w:rPr>
          <w:rFonts w:hint="eastAsia"/>
          <w:b/>
          <w:color w:val="auto"/>
          <w:sz w:val="96"/>
          <w:szCs w:val="96"/>
          <w:highlight w:val="none"/>
        </w:rPr>
        <w:t>标</w:t>
      </w:r>
    </w:p>
    <w:p>
      <w:pPr>
        <w:spacing w:line="360" w:lineRule="auto"/>
        <w:jc w:val="center"/>
        <w:rPr>
          <w:b/>
          <w:color w:val="auto"/>
          <w:sz w:val="96"/>
          <w:szCs w:val="96"/>
          <w:highlight w:val="none"/>
        </w:rPr>
      </w:pPr>
      <w:r>
        <w:rPr>
          <w:rFonts w:hint="eastAsia"/>
          <w:b/>
          <w:color w:val="auto"/>
          <w:sz w:val="96"/>
          <w:szCs w:val="96"/>
          <w:highlight w:val="none"/>
        </w:rPr>
        <w:t>文</w:t>
      </w:r>
    </w:p>
    <w:p>
      <w:pPr>
        <w:spacing w:line="360" w:lineRule="auto"/>
        <w:jc w:val="center"/>
        <w:rPr>
          <w:rFonts w:hint="eastAsia"/>
          <w:b/>
          <w:color w:val="auto"/>
          <w:sz w:val="32"/>
          <w:szCs w:val="32"/>
          <w:highlight w:val="none"/>
        </w:rPr>
      </w:pPr>
      <w:r>
        <w:rPr>
          <w:rFonts w:hint="eastAsia"/>
          <w:b/>
          <w:color w:val="auto"/>
          <w:sz w:val="96"/>
          <w:szCs w:val="96"/>
          <w:highlight w:val="none"/>
        </w:rPr>
        <w:t>件</w:t>
      </w:r>
    </w:p>
    <w:p>
      <w:pPr>
        <w:spacing w:line="360" w:lineRule="auto"/>
        <w:jc w:val="center"/>
        <w:rPr>
          <w:b/>
          <w:color w:val="auto"/>
          <w:sz w:val="32"/>
          <w:szCs w:val="32"/>
          <w:highlight w:val="none"/>
        </w:rPr>
      </w:pPr>
      <w:r>
        <w:rPr>
          <w:rFonts w:hint="eastAsia"/>
          <w:b/>
          <w:color w:val="auto"/>
          <w:sz w:val="32"/>
          <w:szCs w:val="32"/>
          <w:highlight w:val="none"/>
        </w:rPr>
        <w:t>中国·四川（</w:t>
      </w:r>
      <w:r>
        <w:rPr>
          <w:rFonts w:hint="eastAsia"/>
          <w:b/>
          <w:color w:val="auto"/>
          <w:sz w:val="32"/>
          <w:szCs w:val="32"/>
          <w:highlight w:val="none"/>
          <w:lang w:val="en-US" w:eastAsia="zh-CN"/>
        </w:rPr>
        <w:t>富顺</w:t>
      </w:r>
      <w:r>
        <w:rPr>
          <w:rFonts w:hint="eastAsia"/>
          <w:b/>
          <w:color w:val="auto"/>
          <w:sz w:val="32"/>
          <w:szCs w:val="32"/>
          <w:highlight w:val="none"/>
        </w:rPr>
        <w:t>）</w:t>
      </w:r>
    </w:p>
    <w:p>
      <w:pPr>
        <w:jc w:val="center"/>
        <w:rPr>
          <w:rFonts w:hint="eastAsia"/>
          <w:b/>
          <w:color w:val="auto"/>
          <w:sz w:val="32"/>
          <w:szCs w:val="32"/>
          <w:highlight w:val="none"/>
          <w:lang w:val="en-US" w:eastAsia="zh-CN"/>
        </w:rPr>
      </w:pPr>
      <w:r>
        <w:rPr>
          <w:rFonts w:hint="eastAsia"/>
          <w:b/>
          <w:color w:val="auto"/>
          <w:sz w:val="32"/>
          <w:szCs w:val="32"/>
          <w:highlight w:val="none"/>
          <w:lang w:val="en-US" w:eastAsia="zh-CN"/>
        </w:rPr>
        <w:t>富顺县中医医院</w:t>
      </w:r>
    </w:p>
    <w:p>
      <w:pPr>
        <w:jc w:val="center"/>
        <w:rPr>
          <w:rFonts w:hint="eastAsia"/>
          <w:b/>
          <w:color w:val="auto"/>
          <w:sz w:val="32"/>
          <w:szCs w:val="32"/>
          <w:highlight w:val="none"/>
          <w:lang w:eastAsia="zh-CN"/>
        </w:rPr>
      </w:pPr>
      <w:r>
        <w:rPr>
          <w:rFonts w:hint="eastAsia"/>
          <w:b/>
          <w:color w:val="auto"/>
          <w:sz w:val="32"/>
          <w:szCs w:val="32"/>
          <w:highlight w:val="none"/>
        </w:rPr>
        <w:t>四川</w:t>
      </w:r>
      <w:r>
        <w:rPr>
          <w:rFonts w:hint="eastAsia"/>
          <w:b/>
          <w:color w:val="auto"/>
          <w:sz w:val="32"/>
          <w:szCs w:val="32"/>
          <w:highlight w:val="none"/>
          <w:lang w:val="en-US" w:eastAsia="zh-CN"/>
        </w:rPr>
        <w:t>哲胜</w:t>
      </w:r>
      <w:r>
        <w:rPr>
          <w:rFonts w:hint="eastAsia"/>
          <w:b/>
          <w:color w:val="auto"/>
          <w:sz w:val="32"/>
          <w:szCs w:val="32"/>
          <w:highlight w:val="none"/>
        </w:rPr>
        <w:t>招标代理有限公司</w:t>
      </w:r>
    </w:p>
    <w:p>
      <w:pPr>
        <w:spacing w:line="360" w:lineRule="auto"/>
        <w:jc w:val="center"/>
        <w:rPr>
          <w:b/>
          <w:bCs/>
          <w:color w:val="auto"/>
          <w:sz w:val="32"/>
          <w:szCs w:val="32"/>
          <w:highlight w:val="none"/>
        </w:rPr>
      </w:pPr>
      <w:r>
        <w:rPr>
          <w:rFonts w:hint="eastAsia"/>
          <w:b/>
          <w:bCs/>
          <w:color w:val="auto"/>
          <w:sz w:val="32"/>
          <w:szCs w:val="32"/>
          <w:highlight w:val="none"/>
          <w:lang w:val="en-US" w:eastAsia="zh-CN"/>
        </w:rPr>
        <w:t>2023年09月</w:t>
      </w:r>
    </w:p>
    <w:p>
      <w:pPr>
        <w:pStyle w:val="6"/>
        <w:rPr>
          <w:color w:val="auto"/>
          <w:highlight w:val="none"/>
        </w:rPr>
      </w:pPr>
    </w:p>
    <w:p>
      <w:pPr>
        <w:spacing w:line="456" w:lineRule="exact"/>
        <w:jc w:val="center"/>
        <w:rPr>
          <w:color w:val="auto"/>
          <w:sz w:val="36"/>
          <w:highlight w:val="none"/>
        </w:rPr>
        <w:sectPr>
          <w:headerReference r:id="rId5" w:type="default"/>
          <w:type w:val="nextColumn"/>
          <w:pgSz w:w="11906" w:h="16838"/>
          <w:pgMar w:top="1440" w:right="1080" w:bottom="1440" w:left="1080" w:header="709" w:footer="709" w:gutter="0"/>
          <w:pgBorders>
            <w:top w:val="none" w:sz="0" w:space="0"/>
            <w:left w:val="none" w:sz="0" w:space="0"/>
            <w:bottom w:val="none" w:sz="0" w:space="0"/>
            <w:right w:val="none" w:sz="0" w:space="0"/>
          </w:pgBorders>
          <w:cols w:space="720" w:num="1"/>
        </w:sectPr>
      </w:pPr>
    </w:p>
    <w:p>
      <w:pPr>
        <w:autoSpaceDE/>
        <w:autoSpaceDN/>
        <w:spacing w:beforeLines="100" w:afterLines="100" w:line="360" w:lineRule="auto"/>
        <w:jc w:val="center"/>
        <w:outlineLvl w:val="0"/>
        <w:rPr>
          <w:rFonts w:cs="Times New Roman"/>
          <w:b/>
          <w:color w:val="auto"/>
          <w:kern w:val="2"/>
          <w:sz w:val="36"/>
          <w:szCs w:val="36"/>
          <w:highlight w:val="none"/>
          <w:lang w:val="en-US"/>
        </w:rPr>
      </w:pPr>
      <w:bookmarkStart w:id="0" w:name="_Toc528076306"/>
      <w:bookmarkStart w:id="1" w:name="_Toc31007"/>
      <w:bookmarkStart w:id="2" w:name="_Toc528101990"/>
      <w:bookmarkStart w:id="3" w:name="_Toc528098578"/>
      <w:r>
        <w:rPr>
          <w:rFonts w:hint="eastAsia" w:cs="Times New Roman"/>
          <w:b/>
          <w:color w:val="auto"/>
          <w:kern w:val="2"/>
          <w:sz w:val="36"/>
          <w:szCs w:val="36"/>
          <w:highlight w:val="none"/>
          <w:lang w:val="en-US"/>
        </w:rPr>
        <w:t>目录</w:t>
      </w:r>
      <w:bookmarkEnd w:id="0"/>
      <w:bookmarkEnd w:id="1"/>
      <w:bookmarkEnd w:id="2"/>
      <w:bookmarkEnd w:id="3"/>
    </w:p>
    <w:p>
      <w:pPr>
        <w:pStyle w:val="21"/>
        <w:tabs>
          <w:tab w:val="right" w:leader="dot" w:pos="9746"/>
        </w:tabs>
        <w:spacing w:line="480" w:lineRule="auto"/>
        <w:rPr>
          <w:color w:val="auto"/>
          <w:highlight w:val="none"/>
        </w:rPr>
      </w:pPr>
      <w:r>
        <w:rPr>
          <w:color w:val="auto"/>
          <w:highlight w:val="none"/>
        </w:rPr>
        <w:fldChar w:fldCharType="begin"/>
      </w:r>
      <w:r>
        <w:rPr>
          <w:color w:val="auto"/>
          <w:highlight w:val="none"/>
        </w:rPr>
        <w:instrText xml:space="preserve"> TOC \o "1-1" \h \z \u </w:instrText>
      </w:r>
      <w:r>
        <w:rPr>
          <w:color w:val="auto"/>
          <w:highlight w:val="none"/>
        </w:rPr>
        <w:fldChar w:fldCharType="separate"/>
      </w:r>
      <w:r>
        <w:rPr>
          <w:color w:val="auto"/>
          <w:szCs w:val="28"/>
          <w:highlight w:val="none"/>
        </w:rPr>
        <w:fldChar w:fldCharType="begin"/>
      </w:r>
      <w:r>
        <w:rPr>
          <w:color w:val="auto"/>
          <w:szCs w:val="28"/>
          <w:highlight w:val="none"/>
        </w:rPr>
        <w:instrText xml:space="preserve"> HYPERLINK \l _Toc31960 </w:instrText>
      </w:r>
      <w:r>
        <w:rPr>
          <w:color w:val="auto"/>
          <w:szCs w:val="28"/>
          <w:highlight w:val="none"/>
        </w:rPr>
        <w:fldChar w:fldCharType="separate"/>
      </w:r>
      <w:r>
        <w:rPr>
          <w:rFonts w:hint="eastAsia"/>
          <w:color w:val="auto"/>
          <w:highlight w:val="none"/>
          <w:lang w:val="en-US"/>
        </w:rPr>
        <w:t xml:space="preserve">第一章  </w:t>
      </w:r>
      <w:r>
        <w:rPr>
          <w:rFonts w:hint="eastAsia"/>
          <w:color w:val="auto"/>
          <w:highlight w:val="none"/>
          <w:lang w:val="en-US" w:eastAsia="zh-CN"/>
        </w:rPr>
        <w:t>招标公告</w:t>
      </w:r>
      <w:r>
        <w:rPr>
          <w:color w:val="auto"/>
          <w:highlight w:val="none"/>
        </w:rPr>
        <w:tab/>
      </w:r>
      <w:r>
        <w:rPr>
          <w:color w:val="auto"/>
          <w:highlight w:val="none"/>
        </w:rPr>
        <w:fldChar w:fldCharType="begin"/>
      </w:r>
      <w:r>
        <w:rPr>
          <w:color w:val="auto"/>
          <w:highlight w:val="none"/>
        </w:rPr>
        <w:instrText xml:space="preserve"> PAGEREF _Toc31960 \h </w:instrText>
      </w:r>
      <w:r>
        <w:rPr>
          <w:color w:val="auto"/>
          <w:highlight w:val="none"/>
        </w:rPr>
        <w:fldChar w:fldCharType="separate"/>
      </w:r>
      <w:r>
        <w:rPr>
          <w:color w:val="auto"/>
          <w:highlight w:val="none"/>
        </w:rPr>
        <w:t>2</w:t>
      </w:r>
      <w:r>
        <w:rPr>
          <w:color w:val="auto"/>
          <w:highlight w:val="none"/>
        </w:rPr>
        <w:fldChar w:fldCharType="end"/>
      </w:r>
      <w:r>
        <w:rPr>
          <w:color w:val="auto"/>
          <w:szCs w:val="28"/>
          <w:highlight w:val="none"/>
        </w:rPr>
        <w:fldChar w:fldCharType="end"/>
      </w:r>
    </w:p>
    <w:p>
      <w:pPr>
        <w:pStyle w:val="21"/>
        <w:tabs>
          <w:tab w:val="right" w:leader="dot" w:pos="9746"/>
        </w:tabs>
        <w:spacing w:line="480" w:lineRule="auto"/>
        <w:rPr>
          <w:color w:val="auto"/>
          <w:highlight w:val="none"/>
        </w:rPr>
      </w:pPr>
      <w:r>
        <w:rPr>
          <w:color w:val="auto"/>
          <w:szCs w:val="28"/>
          <w:highlight w:val="none"/>
        </w:rPr>
        <w:fldChar w:fldCharType="begin"/>
      </w:r>
      <w:r>
        <w:rPr>
          <w:color w:val="auto"/>
          <w:szCs w:val="28"/>
          <w:highlight w:val="none"/>
        </w:rPr>
        <w:instrText xml:space="preserve"> HYPERLINK \l _Toc4911 </w:instrText>
      </w:r>
      <w:r>
        <w:rPr>
          <w:color w:val="auto"/>
          <w:szCs w:val="28"/>
          <w:highlight w:val="none"/>
        </w:rPr>
        <w:fldChar w:fldCharType="separate"/>
      </w:r>
      <w:r>
        <w:rPr>
          <w:rFonts w:hint="eastAsia"/>
          <w:color w:val="auto"/>
          <w:highlight w:val="none"/>
          <w:lang w:val="en-US"/>
        </w:rPr>
        <w:t>第二章  投标人须知</w:t>
      </w:r>
      <w:r>
        <w:rPr>
          <w:color w:val="auto"/>
          <w:highlight w:val="none"/>
        </w:rPr>
        <w:tab/>
      </w:r>
      <w:r>
        <w:rPr>
          <w:color w:val="auto"/>
          <w:highlight w:val="none"/>
        </w:rPr>
        <w:fldChar w:fldCharType="begin"/>
      </w:r>
      <w:r>
        <w:rPr>
          <w:color w:val="auto"/>
          <w:highlight w:val="none"/>
        </w:rPr>
        <w:instrText xml:space="preserve"> PAGEREF _Toc4911 \h </w:instrText>
      </w:r>
      <w:r>
        <w:rPr>
          <w:color w:val="auto"/>
          <w:highlight w:val="none"/>
        </w:rPr>
        <w:fldChar w:fldCharType="separate"/>
      </w:r>
      <w:r>
        <w:rPr>
          <w:color w:val="auto"/>
          <w:highlight w:val="none"/>
        </w:rPr>
        <w:t>4</w:t>
      </w:r>
      <w:r>
        <w:rPr>
          <w:color w:val="auto"/>
          <w:highlight w:val="none"/>
        </w:rPr>
        <w:fldChar w:fldCharType="end"/>
      </w:r>
      <w:r>
        <w:rPr>
          <w:color w:val="auto"/>
          <w:szCs w:val="28"/>
          <w:highlight w:val="none"/>
        </w:rPr>
        <w:fldChar w:fldCharType="end"/>
      </w:r>
    </w:p>
    <w:p>
      <w:pPr>
        <w:pStyle w:val="21"/>
        <w:tabs>
          <w:tab w:val="right" w:leader="dot" w:pos="9746"/>
        </w:tabs>
        <w:spacing w:line="480" w:lineRule="auto"/>
        <w:rPr>
          <w:color w:val="auto"/>
          <w:highlight w:val="none"/>
        </w:rPr>
      </w:pPr>
      <w:r>
        <w:rPr>
          <w:color w:val="auto"/>
          <w:szCs w:val="28"/>
          <w:highlight w:val="none"/>
        </w:rPr>
        <w:fldChar w:fldCharType="begin"/>
      </w:r>
      <w:r>
        <w:rPr>
          <w:color w:val="auto"/>
          <w:szCs w:val="28"/>
          <w:highlight w:val="none"/>
        </w:rPr>
        <w:instrText xml:space="preserve"> HYPERLINK \l _Toc2195 </w:instrText>
      </w:r>
      <w:r>
        <w:rPr>
          <w:color w:val="auto"/>
          <w:szCs w:val="28"/>
          <w:highlight w:val="none"/>
        </w:rPr>
        <w:fldChar w:fldCharType="separate"/>
      </w:r>
      <w:r>
        <w:rPr>
          <w:rFonts w:hint="eastAsia"/>
          <w:color w:val="auto"/>
          <w:highlight w:val="none"/>
          <w:lang w:val="en-US"/>
        </w:rPr>
        <w:t>第三章  投标文件格式</w:t>
      </w:r>
      <w:r>
        <w:rPr>
          <w:color w:val="auto"/>
          <w:highlight w:val="none"/>
        </w:rPr>
        <w:tab/>
      </w:r>
      <w:r>
        <w:rPr>
          <w:color w:val="auto"/>
          <w:highlight w:val="none"/>
        </w:rPr>
        <w:fldChar w:fldCharType="begin"/>
      </w:r>
      <w:r>
        <w:rPr>
          <w:color w:val="auto"/>
          <w:highlight w:val="none"/>
        </w:rPr>
        <w:instrText xml:space="preserve"> PAGEREF _Toc2195 \h </w:instrText>
      </w:r>
      <w:r>
        <w:rPr>
          <w:color w:val="auto"/>
          <w:highlight w:val="none"/>
        </w:rPr>
        <w:fldChar w:fldCharType="separate"/>
      </w:r>
      <w:r>
        <w:rPr>
          <w:color w:val="auto"/>
          <w:highlight w:val="none"/>
        </w:rPr>
        <w:t>23</w:t>
      </w:r>
      <w:r>
        <w:rPr>
          <w:color w:val="auto"/>
          <w:highlight w:val="none"/>
        </w:rPr>
        <w:fldChar w:fldCharType="end"/>
      </w:r>
      <w:r>
        <w:rPr>
          <w:color w:val="auto"/>
          <w:szCs w:val="28"/>
          <w:highlight w:val="none"/>
        </w:rPr>
        <w:fldChar w:fldCharType="end"/>
      </w:r>
    </w:p>
    <w:p>
      <w:pPr>
        <w:pStyle w:val="21"/>
        <w:tabs>
          <w:tab w:val="right" w:leader="dot" w:pos="9746"/>
        </w:tabs>
        <w:spacing w:line="480" w:lineRule="auto"/>
        <w:rPr>
          <w:color w:val="auto"/>
          <w:highlight w:val="none"/>
        </w:rPr>
      </w:pPr>
      <w:r>
        <w:rPr>
          <w:color w:val="auto"/>
          <w:szCs w:val="28"/>
          <w:highlight w:val="none"/>
        </w:rPr>
        <w:fldChar w:fldCharType="begin"/>
      </w:r>
      <w:r>
        <w:rPr>
          <w:color w:val="auto"/>
          <w:szCs w:val="28"/>
          <w:highlight w:val="none"/>
        </w:rPr>
        <w:instrText xml:space="preserve"> HYPERLINK \l _Toc26719 </w:instrText>
      </w:r>
      <w:r>
        <w:rPr>
          <w:color w:val="auto"/>
          <w:szCs w:val="28"/>
          <w:highlight w:val="none"/>
        </w:rPr>
        <w:fldChar w:fldCharType="separate"/>
      </w:r>
      <w:r>
        <w:rPr>
          <w:rFonts w:hint="eastAsia"/>
          <w:color w:val="auto"/>
          <w:highlight w:val="none"/>
          <w:lang w:val="en-US"/>
        </w:rPr>
        <w:t>第四章  投标人和投标产品的资格、资质性及其他类似效力要求</w:t>
      </w:r>
      <w:r>
        <w:rPr>
          <w:color w:val="auto"/>
          <w:highlight w:val="none"/>
        </w:rPr>
        <w:tab/>
      </w:r>
      <w:r>
        <w:rPr>
          <w:color w:val="auto"/>
          <w:highlight w:val="none"/>
        </w:rPr>
        <w:fldChar w:fldCharType="begin"/>
      </w:r>
      <w:r>
        <w:rPr>
          <w:color w:val="auto"/>
          <w:highlight w:val="none"/>
        </w:rPr>
        <w:instrText xml:space="preserve"> PAGEREF _Toc26719 \h </w:instrText>
      </w:r>
      <w:r>
        <w:rPr>
          <w:color w:val="auto"/>
          <w:highlight w:val="none"/>
        </w:rPr>
        <w:fldChar w:fldCharType="separate"/>
      </w:r>
      <w:r>
        <w:rPr>
          <w:color w:val="auto"/>
          <w:highlight w:val="none"/>
        </w:rPr>
        <w:t>41</w:t>
      </w:r>
      <w:r>
        <w:rPr>
          <w:color w:val="auto"/>
          <w:highlight w:val="none"/>
        </w:rPr>
        <w:fldChar w:fldCharType="end"/>
      </w:r>
      <w:r>
        <w:rPr>
          <w:color w:val="auto"/>
          <w:szCs w:val="28"/>
          <w:highlight w:val="none"/>
        </w:rPr>
        <w:fldChar w:fldCharType="end"/>
      </w:r>
    </w:p>
    <w:p>
      <w:pPr>
        <w:pStyle w:val="21"/>
        <w:tabs>
          <w:tab w:val="right" w:leader="dot" w:pos="9746"/>
        </w:tabs>
        <w:spacing w:line="480" w:lineRule="auto"/>
        <w:rPr>
          <w:color w:val="auto"/>
          <w:highlight w:val="none"/>
        </w:rPr>
      </w:pPr>
      <w:r>
        <w:rPr>
          <w:color w:val="auto"/>
          <w:szCs w:val="28"/>
          <w:highlight w:val="none"/>
        </w:rPr>
        <w:fldChar w:fldCharType="begin"/>
      </w:r>
      <w:r>
        <w:rPr>
          <w:color w:val="auto"/>
          <w:szCs w:val="28"/>
          <w:highlight w:val="none"/>
        </w:rPr>
        <w:instrText xml:space="preserve"> HYPERLINK \l _Toc3464 </w:instrText>
      </w:r>
      <w:r>
        <w:rPr>
          <w:color w:val="auto"/>
          <w:szCs w:val="28"/>
          <w:highlight w:val="none"/>
        </w:rPr>
        <w:fldChar w:fldCharType="separate"/>
      </w:r>
      <w:r>
        <w:rPr>
          <w:rFonts w:hint="eastAsia"/>
          <w:color w:val="auto"/>
          <w:highlight w:val="none"/>
          <w:lang w:val="en-US"/>
        </w:rPr>
        <w:t>第五章  投标人应当提供的资格、资质性及其他类似效力要求的相关证明材料</w:t>
      </w:r>
      <w:r>
        <w:rPr>
          <w:color w:val="auto"/>
          <w:highlight w:val="none"/>
        </w:rPr>
        <w:tab/>
      </w:r>
      <w:r>
        <w:rPr>
          <w:color w:val="auto"/>
          <w:highlight w:val="none"/>
        </w:rPr>
        <w:fldChar w:fldCharType="begin"/>
      </w:r>
      <w:r>
        <w:rPr>
          <w:color w:val="auto"/>
          <w:highlight w:val="none"/>
        </w:rPr>
        <w:instrText xml:space="preserve"> PAGEREF _Toc3464 \h </w:instrText>
      </w:r>
      <w:r>
        <w:rPr>
          <w:color w:val="auto"/>
          <w:highlight w:val="none"/>
        </w:rPr>
        <w:fldChar w:fldCharType="separate"/>
      </w:r>
      <w:r>
        <w:rPr>
          <w:color w:val="auto"/>
          <w:highlight w:val="none"/>
        </w:rPr>
        <w:t>42</w:t>
      </w:r>
      <w:r>
        <w:rPr>
          <w:color w:val="auto"/>
          <w:highlight w:val="none"/>
        </w:rPr>
        <w:fldChar w:fldCharType="end"/>
      </w:r>
      <w:r>
        <w:rPr>
          <w:color w:val="auto"/>
          <w:szCs w:val="28"/>
          <w:highlight w:val="none"/>
        </w:rPr>
        <w:fldChar w:fldCharType="end"/>
      </w:r>
    </w:p>
    <w:p>
      <w:pPr>
        <w:pStyle w:val="21"/>
        <w:tabs>
          <w:tab w:val="right" w:leader="dot" w:pos="9746"/>
        </w:tabs>
        <w:spacing w:line="480" w:lineRule="auto"/>
        <w:rPr>
          <w:color w:val="auto"/>
          <w:highlight w:val="none"/>
        </w:rPr>
      </w:pPr>
      <w:r>
        <w:rPr>
          <w:color w:val="auto"/>
          <w:szCs w:val="28"/>
          <w:highlight w:val="none"/>
        </w:rPr>
        <w:fldChar w:fldCharType="begin"/>
      </w:r>
      <w:r>
        <w:rPr>
          <w:color w:val="auto"/>
          <w:szCs w:val="28"/>
          <w:highlight w:val="none"/>
        </w:rPr>
        <w:instrText xml:space="preserve"> HYPERLINK \l _Toc790 </w:instrText>
      </w:r>
      <w:r>
        <w:rPr>
          <w:color w:val="auto"/>
          <w:szCs w:val="28"/>
          <w:highlight w:val="none"/>
        </w:rPr>
        <w:fldChar w:fldCharType="separate"/>
      </w:r>
      <w:r>
        <w:rPr>
          <w:rFonts w:hint="eastAsia"/>
          <w:color w:val="auto"/>
          <w:highlight w:val="none"/>
          <w:lang w:val="en-US"/>
        </w:rPr>
        <w:t xml:space="preserve">第六章  </w:t>
      </w:r>
      <w:r>
        <w:rPr>
          <w:rFonts w:hint="eastAsia"/>
          <w:color w:val="auto"/>
          <w:highlight w:val="none"/>
          <w:lang w:val="en-US" w:eastAsia="zh-CN"/>
        </w:rPr>
        <w:t>项目技术服务、商务及其他要求</w:t>
      </w:r>
      <w:r>
        <w:rPr>
          <w:color w:val="auto"/>
          <w:highlight w:val="none"/>
        </w:rPr>
        <w:tab/>
      </w:r>
      <w:r>
        <w:rPr>
          <w:color w:val="auto"/>
          <w:highlight w:val="none"/>
        </w:rPr>
        <w:fldChar w:fldCharType="begin"/>
      </w:r>
      <w:r>
        <w:rPr>
          <w:color w:val="auto"/>
          <w:highlight w:val="none"/>
        </w:rPr>
        <w:instrText xml:space="preserve"> PAGEREF _Toc790 \h </w:instrText>
      </w:r>
      <w:r>
        <w:rPr>
          <w:color w:val="auto"/>
          <w:highlight w:val="none"/>
        </w:rPr>
        <w:fldChar w:fldCharType="separate"/>
      </w:r>
      <w:r>
        <w:rPr>
          <w:color w:val="auto"/>
          <w:highlight w:val="none"/>
        </w:rPr>
        <w:t>45</w:t>
      </w:r>
      <w:r>
        <w:rPr>
          <w:color w:val="auto"/>
          <w:highlight w:val="none"/>
        </w:rPr>
        <w:fldChar w:fldCharType="end"/>
      </w:r>
      <w:r>
        <w:rPr>
          <w:color w:val="auto"/>
          <w:szCs w:val="28"/>
          <w:highlight w:val="none"/>
        </w:rPr>
        <w:fldChar w:fldCharType="end"/>
      </w:r>
    </w:p>
    <w:p>
      <w:pPr>
        <w:pStyle w:val="21"/>
        <w:tabs>
          <w:tab w:val="right" w:leader="dot" w:pos="9746"/>
        </w:tabs>
        <w:spacing w:line="480" w:lineRule="auto"/>
        <w:rPr>
          <w:color w:val="auto"/>
          <w:highlight w:val="none"/>
        </w:rPr>
      </w:pPr>
      <w:r>
        <w:rPr>
          <w:color w:val="auto"/>
          <w:szCs w:val="28"/>
          <w:highlight w:val="none"/>
        </w:rPr>
        <w:fldChar w:fldCharType="begin"/>
      </w:r>
      <w:r>
        <w:rPr>
          <w:color w:val="auto"/>
          <w:szCs w:val="28"/>
          <w:highlight w:val="none"/>
        </w:rPr>
        <w:instrText xml:space="preserve"> HYPERLINK \l _Toc6974 </w:instrText>
      </w:r>
      <w:r>
        <w:rPr>
          <w:color w:val="auto"/>
          <w:szCs w:val="28"/>
          <w:highlight w:val="none"/>
        </w:rPr>
        <w:fldChar w:fldCharType="separate"/>
      </w:r>
      <w:r>
        <w:rPr>
          <w:rFonts w:hint="eastAsia"/>
          <w:color w:val="auto"/>
          <w:highlight w:val="none"/>
          <w:lang w:val="en-US"/>
        </w:rPr>
        <w:t>第七章  评标办法</w:t>
      </w:r>
      <w:r>
        <w:rPr>
          <w:color w:val="auto"/>
          <w:highlight w:val="none"/>
        </w:rPr>
        <w:tab/>
      </w:r>
      <w:r>
        <w:rPr>
          <w:color w:val="auto"/>
          <w:highlight w:val="none"/>
        </w:rPr>
        <w:fldChar w:fldCharType="begin"/>
      </w:r>
      <w:r>
        <w:rPr>
          <w:color w:val="auto"/>
          <w:highlight w:val="none"/>
        </w:rPr>
        <w:instrText xml:space="preserve"> PAGEREF _Toc6974 \h </w:instrText>
      </w:r>
      <w:r>
        <w:rPr>
          <w:color w:val="auto"/>
          <w:highlight w:val="none"/>
        </w:rPr>
        <w:fldChar w:fldCharType="separate"/>
      </w:r>
      <w:r>
        <w:rPr>
          <w:color w:val="auto"/>
          <w:highlight w:val="none"/>
        </w:rPr>
        <w:t>65</w:t>
      </w:r>
      <w:r>
        <w:rPr>
          <w:color w:val="auto"/>
          <w:highlight w:val="none"/>
        </w:rPr>
        <w:fldChar w:fldCharType="end"/>
      </w:r>
      <w:r>
        <w:rPr>
          <w:color w:val="auto"/>
          <w:szCs w:val="28"/>
          <w:highlight w:val="none"/>
        </w:rPr>
        <w:fldChar w:fldCharType="end"/>
      </w:r>
    </w:p>
    <w:p>
      <w:pPr>
        <w:pStyle w:val="21"/>
        <w:tabs>
          <w:tab w:val="right" w:leader="dot" w:pos="9746"/>
        </w:tabs>
        <w:spacing w:line="480" w:lineRule="auto"/>
        <w:rPr>
          <w:color w:val="auto"/>
          <w:highlight w:val="none"/>
        </w:rPr>
      </w:pPr>
      <w:r>
        <w:rPr>
          <w:color w:val="auto"/>
          <w:szCs w:val="28"/>
          <w:highlight w:val="none"/>
        </w:rPr>
        <w:fldChar w:fldCharType="begin"/>
      </w:r>
      <w:r>
        <w:rPr>
          <w:color w:val="auto"/>
          <w:szCs w:val="28"/>
          <w:highlight w:val="none"/>
        </w:rPr>
        <w:instrText xml:space="preserve"> HYPERLINK \l _Toc12409 </w:instrText>
      </w:r>
      <w:r>
        <w:rPr>
          <w:color w:val="auto"/>
          <w:szCs w:val="28"/>
          <w:highlight w:val="none"/>
        </w:rPr>
        <w:fldChar w:fldCharType="separate"/>
      </w:r>
      <w:r>
        <w:rPr>
          <w:rFonts w:hint="eastAsia"/>
          <w:color w:val="auto"/>
          <w:highlight w:val="none"/>
          <w:lang w:val="en-US"/>
        </w:rPr>
        <w:t>第八章  采购合同（草案）</w:t>
      </w:r>
      <w:r>
        <w:rPr>
          <w:color w:val="auto"/>
          <w:highlight w:val="none"/>
        </w:rPr>
        <w:tab/>
      </w:r>
      <w:r>
        <w:rPr>
          <w:color w:val="auto"/>
          <w:highlight w:val="none"/>
        </w:rPr>
        <w:fldChar w:fldCharType="begin"/>
      </w:r>
      <w:r>
        <w:rPr>
          <w:color w:val="auto"/>
          <w:highlight w:val="none"/>
        </w:rPr>
        <w:instrText xml:space="preserve"> PAGEREF _Toc12409 \h </w:instrText>
      </w:r>
      <w:r>
        <w:rPr>
          <w:color w:val="auto"/>
          <w:highlight w:val="none"/>
        </w:rPr>
        <w:fldChar w:fldCharType="separate"/>
      </w:r>
      <w:r>
        <w:rPr>
          <w:color w:val="auto"/>
          <w:highlight w:val="none"/>
        </w:rPr>
        <w:t>75</w:t>
      </w:r>
      <w:r>
        <w:rPr>
          <w:color w:val="auto"/>
          <w:highlight w:val="none"/>
        </w:rPr>
        <w:fldChar w:fldCharType="end"/>
      </w:r>
      <w:r>
        <w:rPr>
          <w:color w:val="auto"/>
          <w:szCs w:val="28"/>
          <w:highlight w:val="none"/>
        </w:rPr>
        <w:fldChar w:fldCharType="end"/>
      </w:r>
    </w:p>
    <w:p>
      <w:pPr>
        <w:pStyle w:val="2"/>
        <w:spacing w:line="480" w:lineRule="auto"/>
        <w:ind w:firstLine="480" w:firstLineChars="200"/>
        <w:jc w:val="both"/>
        <w:rPr>
          <w:color w:val="auto"/>
          <w:highlight w:val="none"/>
        </w:rPr>
      </w:pPr>
      <w:r>
        <w:rPr>
          <w:color w:val="auto"/>
          <w:szCs w:val="28"/>
          <w:highlight w:val="none"/>
        </w:rPr>
        <w:fldChar w:fldCharType="end"/>
      </w:r>
    </w:p>
    <w:p>
      <w:pPr>
        <w:pStyle w:val="2"/>
        <w:spacing w:line="360" w:lineRule="auto"/>
        <w:ind w:firstLine="480" w:firstLineChars="200"/>
        <w:jc w:val="both"/>
        <w:rPr>
          <w:color w:val="auto"/>
          <w:highlight w:val="none"/>
        </w:rPr>
      </w:pPr>
    </w:p>
    <w:p>
      <w:pPr>
        <w:pStyle w:val="2"/>
        <w:spacing w:line="360" w:lineRule="auto"/>
        <w:ind w:firstLine="480" w:firstLineChars="200"/>
        <w:jc w:val="both"/>
        <w:rPr>
          <w:color w:val="auto"/>
          <w:highlight w:val="none"/>
        </w:rPr>
      </w:pPr>
    </w:p>
    <w:p>
      <w:pPr>
        <w:pStyle w:val="2"/>
        <w:spacing w:line="360" w:lineRule="auto"/>
        <w:ind w:firstLine="480" w:firstLineChars="200"/>
        <w:jc w:val="both"/>
        <w:rPr>
          <w:color w:val="auto"/>
          <w:highlight w:val="none"/>
        </w:rPr>
      </w:pPr>
    </w:p>
    <w:p>
      <w:pPr>
        <w:rPr>
          <w:color w:val="auto"/>
          <w:highlight w:val="none"/>
        </w:rPr>
        <w:sectPr>
          <w:headerReference r:id="rId6" w:type="default"/>
          <w:footerReference r:id="rId7" w:type="default"/>
          <w:type w:val="nextColumn"/>
          <w:pgSz w:w="11906" w:h="16838"/>
          <w:pgMar w:top="1440" w:right="1080" w:bottom="1440" w:left="1080" w:header="709" w:footer="709" w:gutter="0"/>
          <w:pgBorders>
            <w:top w:val="none" w:sz="0" w:space="0"/>
            <w:left w:val="none" w:sz="0" w:space="0"/>
            <w:bottom w:val="none" w:sz="0" w:space="0"/>
            <w:right w:val="none" w:sz="0" w:space="0"/>
          </w:pgBorders>
          <w:pgNumType w:fmt="decimal" w:start="1"/>
          <w:cols w:space="720" w:num="1"/>
        </w:sectPr>
      </w:pPr>
    </w:p>
    <w:p>
      <w:pPr>
        <w:pStyle w:val="4"/>
        <w:bidi w:val="0"/>
        <w:rPr>
          <w:rFonts w:hint="eastAsia" w:eastAsia="宋体"/>
          <w:color w:val="auto"/>
          <w:highlight w:val="none"/>
          <w:lang w:val="en-US" w:eastAsia="zh-CN"/>
        </w:rPr>
      </w:pPr>
      <w:bookmarkStart w:id="4" w:name="_bookmark0"/>
      <w:bookmarkEnd w:id="4"/>
      <w:bookmarkStart w:id="5" w:name="_Toc528098579"/>
      <w:bookmarkStart w:id="6" w:name="_Toc31960"/>
      <w:r>
        <w:rPr>
          <w:rFonts w:hint="eastAsia"/>
          <w:color w:val="auto"/>
          <w:highlight w:val="none"/>
          <w:lang w:val="en-US"/>
        </w:rPr>
        <w:t xml:space="preserve">第一章  </w:t>
      </w:r>
      <w:bookmarkEnd w:id="5"/>
      <w:bookmarkEnd w:id="6"/>
      <w:r>
        <w:rPr>
          <w:rFonts w:hint="eastAsia"/>
          <w:color w:val="auto"/>
          <w:highlight w:val="none"/>
          <w:lang w:val="en-US" w:eastAsia="zh-CN"/>
        </w:rPr>
        <w:t>招标公告</w:t>
      </w:r>
    </w:p>
    <w:p>
      <w:pPr>
        <w:autoSpaceDE/>
        <w:autoSpaceDN/>
        <w:spacing w:line="360" w:lineRule="auto"/>
        <w:ind w:firstLine="482" w:firstLineChars="200"/>
        <w:jc w:val="both"/>
        <w:rPr>
          <w:b/>
          <w:color w:val="auto"/>
          <w:sz w:val="24"/>
          <w:szCs w:val="24"/>
          <w:highlight w:val="none"/>
        </w:rPr>
      </w:pPr>
      <w:r>
        <w:rPr>
          <w:rFonts w:hint="eastAsia" w:cs="Times New Roman"/>
          <w:b/>
          <w:bCs/>
          <w:color w:val="auto"/>
          <w:kern w:val="2"/>
          <w:sz w:val="24"/>
          <w:szCs w:val="24"/>
          <w:highlight w:val="none"/>
          <w:u w:val="single"/>
          <w:lang w:val="en-US" w:eastAsia="zh-CN"/>
        </w:rPr>
        <w:t>四川哲胜招标代理有限公司</w:t>
      </w:r>
      <w:r>
        <w:rPr>
          <w:rFonts w:hint="eastAsia" w:cs="Times New Roman"/>
          <w:color w:val="auto"/>
          <w:kern w:val="2"/>
          <w:sz w:val="24"/>
          <w:szCs w:val="24"/>
          <w:highlight w:val="none"/>
          <w:lang w:val="en-US"/>
        </w:rPr>
        <w:t>（采购代理机构）受</w:t>
      </w:r>
      <w:r>
        <w:rPr>
          <w:rFonts w:hint="eastAsia" w:cs="Times New Roman"/>
          <w:b/>
          <w:bCs/>
          <w:color w:val="auto"/>
          <w:kern w:val="2"/>
          <w:sz w:val="24"/>
          <w:szCs w:val="24"/>
          <w:highlight w:val="none"/>
          <w:u w:val="single"/>
          <w:lang w:val="en-US" w:eastAsia="zh-CN"/>
        </w:rPr>
        <w:t>富顺县中医医院</w:t>
      </w:r>
      <w:r>
        <w:rPr>
          <w:rFonts w:hint="eastAsia" w:cs="Times New Roman"/>
          <w:color w:val="auto"/>
          <w:kern w:val="2"/>
          <w:sz w:val="24"/>
          <w:szCs w:val="24"/>
          <w:highlight w:val="none"/>
          <w:lang w:val="en-US"/>
        </w:rPr>
        <w:t>（采购人）委托，拟对</w:t>
      </w:r>
      <w:r>
        <w:rPr>
          <w:rFonts w:hint="eastAsia" w:cs="Times New Roman"/>
          <w:b/>
          <w:bCs/>
          <w:color w:val="auto"/>
          <w:kern w:val="2"/>
          <w:sz w:val="24"/>
          <w:szCs w:val="24"/>
          <w:highlight w:val="none"/>
          <w:u w:val="single"/>
          <w:lang w:val="en-US" w:eastAsia="zh-CN"/>
        </w:rPr>
        <w:t>富顺县中医医院普通挂网耗材采购项目（第三次）</w:t>
      </w:r>
      <w:r>
        <w:rPr>
          <w:rFonts w:hint="eastAsia" w:cs="Times New Roman"/>
          <w:color w:val="auto"/>
          <w:kern w:val="2"/>
          <w:sz w:val="24"/>
          <w:szCs w:val="24"/>
          <w:highlight w:val="none"/>
          <w:lang w:val="en-US"/>
        </w:rPr>
        <w:t>进行国内</w:t>
      </w:r>
      <w:r>
        <w:rPr>
          <w:rFonts w:hint="eastAsia" w:cs="Times New Roman"/>
          <w:b/>
          <w:bCs/>
          <w:color w:val="auto"/>
          <w:kern w:val="2"/>
          <w:sz w:val="24"/>
          <w:szCs w:val="24"/>
          <w:highlight w:val="none"/>
          <w:u w:val="single"/>
          <w:lang w:val="en-US"/>
        </w:rPr>
        <w:t>公开招标</w:t>
      </w:r>
      <w:r>
        <w:rPr>
          <w:rFonts w:hint="eastAsia" w:cs="Times New Roman"/>
          <w:color w:val="auto"/>
          <w:kern w:val="2"/>
          <w:sz w:val="24"/>
          <w:szCs w:val="24"/>
          <w:highlight w:val="none"/>
          <w:lang w:val="en-US"/>
        </w:rPr>
        <w:t>，兹邀请符合本次招标要求的供应商参加投标。</w:t>
      </w:r>
    </w:p>
    <w:p>
      <w:pPr>
        <w:autoSpaceDE/>
        <w:autoSpaceDN/>
        <w:spacing w:line="360" w:lineRule="auto"/>
        <w:jc w:val="both"/>
        <w:rPr>
          <w:rFonts w:cs="Times New Roman"/>
          <w:b/>
          <w:color w:val="auto"/>
          <w:kern w:val="2"/>
          <w:sz w:val="24"/>
          <w:szCs w:val="24"/>
          <w:highlight w:val="none"/>
          <w:u w:val="single"/>
          <w:lang w:val="en-US"/>
        </w:rPr>
      </w:pPr>
      <w:r>
        <w:rPr>
          <w:rFonts w:hint="eastAsia" w:cs="Times New Roman"/>
          <w:b/>
          <w:color w:val="auto"/>
          <w:kern w:val="2"/>
          <w:sz w:val="24"/>
          <w:szCs w:val="24"/>
          <w:highlight w:val="none"/>
          <w:lang w:val="en-US"/>
        </w:rPr>
        <w:t>一、</w:t>
      </w:r>
      <w:r>
        <w:rPr>
          <w:rFonts w:hint="eastAsia" w:cs="Times New Roman"/>
          <w:b/>
          <w:color w:val="auto"/>
          <w:kern w:val="2"/>
          <w:sz w:val="24"/>
          <w:szCs w:val="24"/>
          <w:highlight w:val="none"/>
          <w:lang w:val="en-US" w:eastAsia="zh-CN"/>
        </w:rPr>
        <w:t>项目</w:t>
      </w:r>
      <w:r>
        <w:rPr>
          <w:rFonts w:hint="eastAsia" w:cs="Times New Roman"/>
          <w:b/>
          <w:color w:val="auto"/>
          <w:kern w:val="2"/>
          <w:sz w:val="24"/>
          <w:szCs w:val="24"/>
          <w:highlight w:val="none"/>
          <w:lang w:val="en-US"/>
        </w:rPr>
        <w:t>编号：</w:t>
      </w:r>
      <w:r>
        <w:rPr>
          <w:rFonts w:hint="eastAsia" w:cs="宋体"/>
          <w:color w:val="auto"/>
          <w:sz w:val="24"/>
          <w:szCs w:val="24"/>
          <w:highlight w:val="none"/>
          <w:u w:val="single"/>
          <w:lang w:val="en-US" w:eastAsia="zh-CN"/>
        </w:rPr>
        <w:t>SCZSZB【2023】062213-2</w:t>
      </w:r>
      <w:r>
        <w:rPr>
          <w:rFonts w:hint="eastAsia" w:cs="Times New Roman"/>
          <w:color w:val="auto"/>
          <w:kern w:val="2"/>
          <w:sz w:val="24"/>
          <w:szCs w:val="24"/>
          <w:highlight w:val="none"/>
          <w:lang w:val="en-US"/>
        </w:rPr>
        <w:t>。</w:t>
      </w:r>
    </w:p>
    <w:p>
      <w:pPr>
        <w:autoSpaceDE/>
        <w:autoSpaceDN/>
        <w:spacing w:line="360" w:lineRule="auto"/>
        <w:jc w:val="both"/>
        <w:rPr>
          <w:rFonts w:hint="default" w:eastAsia="宋体"/>
          <w:color w:val="auto"/>
          <w:sz w:val="24"/>
          <w:szCs w:val="24"/>
          <w:highlight w:val="none"/>
          <w:lang w:val="en-US" w:eastAsia="zh-CN"/>
        </w:rPr>
      </w:pPr>
      <w:r>
        <w:rPr>
          <w:rFonts w:hint="eastAsia" w:cs="Times New Roman"/>
          <w:b/>
          <w:color w:val="auto"/>
          <w:kern w:val="2"/>
          <w:sz w:val="24"/>
          <w:szCs w:val="24"/>
          <w:highlight w:val="none"/>
          <w:lang w:val="en-US"/>
        </w:rPr>
        <w:t>二、招标项目：</w:t>
      </w:r>
      <w:r>
        <w:rPr>
          <w:rFonts w:hint="eastAsia" w:cs="Times New Roman"/>
          <w:b w:val="0"/>
          <w:bCs/>
          <w:color w:val="auto"/>
          <w:kern w:val="2"/>
          <w:sz w:val="24"/>
          <w:szCs w:val="24"/>
          <w:highlight w:val="none"/>
          <w:u w:val="single"/>
          <w:lang w:val="en-US" w:eastAsia="zh-CN"/>
        </w:rPr>
        <w:t>富顺县中医医院普通挂网耗材采购项目（第三次）</w:t>
      </w:r>
      <w:r>
        <w:rPr>
          <w:rFonts w:hint="eastAsia"/>
          <w:color w:val="auto"/>
          <w:sz w:val="24"/>
          <w:szCs w:val="24"/>
          <w:highlight w:val="none"/>
          <w:u w:val="none"/>
          <w:lang w:eastAsia="zh-CN"/>
        </w:rPr>
        <w:t>。</w:t>
      </w:r>
    </w:p>
    <w:p>
      <w:pPr>
        <w:autoSpaceDE/>
        <w:autoSpaceDN/>
        <w:spacing w:line="360" w:lineRule="auto"/>
        <w:jc w:val="both"/>
        <w:rPr>
          <w:color w:val="auto"/>
          <w:sz w:val="24"/>
          <w:szCs w:val="24"/>
          <w:highlight w:val="none"/>
          <w:u w:val="single"/>
        </w:rPr>
      </w:pPr>
      <w:r>
        <w:rPr>
          <w:rFonts w:hint="eastAsia" w:cs="Times New Roman"/>
          <w:b/>
          <w:color w:val="auto"/>
          <w:kern w:val="2"/>
          <w:sz w:val="24"/>
          <w:szCs w:val="24"/>
          <w:highlight w:val="none"/>
          <w:lang w:val="en-US"/>
        </w:rPr>
        <w:t>三、资金来源：</w:t>
      </w:r>
      <w:r>
        <w:rPr>
          <w:rFonts w:hint="eastAsia" w:cs="Times New Roman"/>
          <w:bCs/>
          <w:color w:val="auto"/>
          <w:kern w:val="2"/>
          <w:sz w:val="24"/>
          <w:szCs w:val="24"/>
          <w:highlight w:val="none"/>
          <w:u w:val="single"/>
          <w:lang w:val="en-US" w:eastAsia="zh-CN"/>
        </w:rPr>
        <w:t>自筹资金</w:t>
      </w:r>
      <w:r>
        <w:rPr>
          <w:rFonts w:hint="eastAsia" w:cs="Times New Roman"/>
          <w:bCs/>
          <w:color w:val="auto"/>
          <w:kern w:val="2"/>
          <w:sz w:val="24"/>
          <w:szCs w:val="24"/>
          <w:highlight w:val="none"/>
          <w:u w:val="single"/>
          <w:lang w:val="en-US"/>
        </w:rPr>
        <w:t>,已落实</w:t>
      </w:r>
      <w:r>
        <w:rPr>
          <w:rFonts w:hint="eastAsia" w:cs="Times New Roman"/>
          <w:bCs/>
          <w:color w:val="auto"/>
          <w:kern w:val="2"/>
          <w:sz w:val="24"/>
          <w:szCs w:val="24"/>
          <w:highlight w:val="none"/>
          <w:lang w:val="en-US"/>
        </w:rPr>
        <w:t>。</w:t>
      </w:r>
    </w:p>
    <w:p>
      <w:pPr>
        <w:autoSpaceDE/>
        <w:autoSpaceDN/>
        <w:spacing w:line="360" w:lineRule="auto"/>
        <w:jc w:val="both"/>
        <w:rPr>
          <w:rFonts w:cs="Times New Roman"/>
          <w:b/>
          <w:color w:val="auto"/>
          <w:kern w:val="2"/>
          <w:sz w:val="24"/>
          <w:szCs w:val="24"/>
          <w:highlight w:val="none"/>
          <w:lang w:val="en-US"/>
        </w:rPr>
      </w:pPr>
      <w:r>
        <w:rPr>
          <w:rFonts w:hint="eastAsia" w:cs="Times New Roman"/>
          <w:b/>
          <w:color w:val="auto"/>
          <w:kern w:val="2"/>
          <w:sz w:val="24"/>
          <w:szCs w:val="24"/>
          <w:highlight w:val="none"/>
          <w:lang w:val="en-US"/>
        </w:rPr>
        <w:t>四、招标项目简介：</w:t>
      </w:r>
    </w:p>
    <w:p>
      <w:pPr>
        <w:widowControl w:val="0"/>
        <w:autoSpaceDE w:val="0"/>
        <w:autoSpaceDN w:val="0"/>
        <w:spacing w:line="360" w:lineRule="auto"/>
        <w:ind w:firstLine="480" w:firstLineChars="200"/>
        <w:jc w:val="both"/>
        <w:rPr>
          <w:rFonts w:hint="eastAsia" w:ascii="宋体" w:hAnsi="宋体" w:eastAsia="宋体" w:cs="宋体"/>
          <w:color w:val="auto"/>
          <w:sz w:val="24"/>
          <w:szCs w:val="24"/>
          <w:highlight w:val="none"/>
          <w:lang w:val="en-US" w:eastAsia="zh-CN" w:bidi="ar-SA"/>
        </w:rPr>
      </w:pPr>
      <w:r>
        <w:rPr>
          <w:rFonts w:hint="eastAsia"/>
          <w:color w:val="auto"/>
          <w:sz w:val="24"/>
          <w:szCs w:val="24"/>
          <w:highlight w:val="none"/>
          <w:lang w:val="en-US" w:eastAsia="zh-CN"/>
        </w:rPr>
        <w:t>本项目共7个包，本次采购为</w:t>
      </w:r>
      <w:r>
        <w:rPr>
          <w:rFonts w:hint="eastAsia" w:cs="宋体"/>
          <w:color w:val="auto"/>
          <w:highlight w:val="none"/>
          <w:lang w:val="en-US" w:eastAsia="zh-CN"/>
        </w:rPr>
        <w:t>富顺县中医医院普通挂网耗材采购项目（第三次）</w:t>
      </w:r>
      <w:r>
        <w:rPr>
          <w:rFonts w:hint="eastAsia"/>
          <w:color w:val="auto"/>
          <w:sz w:val="24"/>
          <w:szCs w:val="24"/>
          <w:highlight w:val="none"/>
          <w:lang w:val="en-US" w:eastAsia="zh-CN"/>
        </w:rPr>
        <w:t>。拟采购包号为</w:t>
      </w:r>
      <w:r>
        <w:rPr>
          <w:rFonts w:hint="eastAsia" w:ascii="宋体" w:hAnsi="宋体" w:eastAsia="宋体" w:cs="宋体"/>
          <w:color w:val="auto"/>
          <w:sz w:val="24"/>
          <w:szCs w:val="24"/>
          <w:highlight w:val="none"/>
          <w:lang w:val="en-US" w:eastAsia="zh-CN" w:bidi="ar-SA"/>
        </w:rPr>
        <w:t>02包：普通耗材导管类；03包：普通耗材类；04包：普通耗材纱布类；07包：普通耗材类。</w:t>
      </w:r>
    </w:p>
    <w:p>
      <w:pPr>
        <w:pStyle w:val="2"/>
        <w:spacing w:line="360" w:lineRule="auto"/>
        <w:ind w:firstLine="480" w:firstLineChars="200"/>
        <w:jc w:val="both"/>
        <w:rPr>
          <w:rFonts w:hint="eastAsia"/>
          <w:color w:val="auto"/>
          <w:sz w:val="24"/>
          <w:szCs w:val="24"/>
          <w:highlight w:val="none"/>
        </w:rPr>
      </w:pPr>
      <w:r>
        <w:rPr>
          <w:rFonts w:hint="eastAsia"/>
          <w:color w:val="auto"/>
          <w:sz w:val="24"/>
          <w:szCs w:val="24"/>
          <w:highlight w:val="none"/>
        </w:rPr>
        <w:t>（详见</w:t>
      </w:r>
      <w:r>
        <w:rPr>
          <w:rFonts w:hint="eastAsia"/>
          <w:color w:val="auto"/>
          <w:sz w:val="24"/>
          <w:szCs w:val="24"/>
          <w:highlight w:val="none"/>
          <w:lang w:eastAsia="zh-CN"/>
        </w:rPr>
        <w:t>招标</w:t>
      </w:r>
      <w:r>
        <w:rPr>
          <w:rFonts w:hint="eastAsia"/>
          <w:color w:val="auto"/>
          <w:sz w:val="24"/>
          <w:szCs w:val="24"/>
          <w:highlight w:val="none"/>
        </w:rPr>
        <w:t>文件第</w:t>
      </w:r>
      <w:r>
        <w:rPr>
          <w:rFonts w:hint="eastAsia"/>
          <w:color w:val="auto"/>
          <w:sz w:val="24"/>
          <w:szCs w:val="24"/>
          <w:highlight w:val="none"/>
          <w:lang w:eastAsia="zh-CN"/>
        </w:rPr>
        <w:t>六</w:t>
      </w:r>
      <w:r>
        <w:rPr>
          <w:rFonts w:hint="eastAsia"/>
          <w:color w:val="auto"/>
          <w:sz w:val="24"/>
          <w:szCs w:val="24"/>
          <w:highlight w:val="none"/>
        </w:rPr>
        <w:t>章）。</w:t>
      </w:r>
    </w:p>
    <w:p>
      <w:pPr>
        <w:numPr>
          <w:ilvl w:val="0"/>
          <w:numId w:val="1"/>
        </w:numPr>
        <w:autoSpaceDE/>
        <w:autoSpaceDN/>
        <w:spacing w:line="360" w:lineRule="auto"/>
        <w:jc w:val="both"/>
        <w:rPr>
          <w:rFonts w:hint="eastAsia" w:cs="Times New Roman"/>
          <w:b/>
          <w:color w:val="auto"/>
          <w:kern w:val="2"/>
          <w:sz w:val="24"/>
          <w:szCs w:val="24"/>
          <w:highlight w:val="none"/>
          <w:lang w:val="en-US"/>
        </w:rPr>
      </w:pPr>
      <w:r>
        <w:rPr>
          <w:rFonts w:hint="eastAsia" w:cs="Times New Roman"/>
          <w:b/>
          <w:color w:val="auto"/>
          <w:kern w:val="2"/>
          <w:sz w:val="24"/>
          <w:szCs w:val="24"/>
          <w:highlight w:val="none"/>
          <w:lang w:val="en-US"/>
        </w:rPr>
        <w:t>供应商参加本次采购活动应具备下列条件：</w:t>
      </w:r>
    </w:p>
    <w:p>
      <w:pPr>
        <w:pStyle w:val="8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（一）满足《中华人民共和国政府采购法》第二十二条规定；</w:t>
      </w:r>
    </w:p>
    <w:p>
      <w:pPr>
        <w:pStyle w:val="8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1、具有独立承担民事责任的能力；</w:t>
      </w:r>
    </w:p>
    <w:p>
      <w:pPr>
        <w:pStyle w:val="8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2、具有良好的商业信誉和健全的财务会计制度；</w:t>
      </w:r>
    </w:p>
    <w:p>
      <w:pPr>
        <w:pStyle w:val="8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3、具有履行合同所必须的设备和专业技术能力；</w:t>
      </w:r>
    </w:p>
    <w:p>
      <w:pPr>
        <w:pStyle w:val="8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4、具有依法缴纳税收和社会保障资金的良好记录；</w:t>
      </w:r>
    </w:p>
    <w:p>
      <w:pPr>
        <w:pStyle w:val="8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5、参加本次采购活动前三年内，在经营活动中没有重大违法记录；</w:t>
      </w:r>
    </w:p>
    <w:p>
      <w:pPr>
        <w:pStyle w:val="8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6、法律、行政法规规定的其他条件；</w:t>
      </w:r>
    </w:p>
    <w:p>
      <w:pPr>
        <w:pStyle w:val="8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rPr>
        <w:t>）本项目的特定资格要求：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投标产品为医疗器械时，</w:t>
      </w: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须符合《医疗器械监督管理条例》要求并具有经营该产品的生产/经营许可/经营备案证明材料，投标产品须符合《医疗器械注册管理办法》要求并具有产品的注册/备案证明材料</w:t>
      </w:r>
      <w:r>
        <w:rPr>
          <w:rFonts w:hint="eastAsia" w:cs="宋体"/>
          <w:color w:val="auto"/>
          <w:sz w:val="24"/>
          <w:szCs w:val="24"/>
          <w:highlight w:val="none"/>
          <w:lang w:val="en-US" w:eastAsia="zh-CN"/>
        </w:rPr>
        <w:t>。投标产品为进口产品时：投标人非投标产品制造商的需具有产品制造商对投标产品的授权，或提供具有授权权限的代理商对投标产品的授权（且需提供该代理商具有有效授权权限的相关证明文件，证明文件需能显示产品制造商对投标产品授权链条的完整性）</w:t>
      </w:r>
      <w:r>
        <w:rPr>
          <w:rFonts w:hint="eastAsia" w:ascii="宋体" w:hAnsi="宋体" w:eastAsia="宋体" w:cs="宋体"/>
          <w:color w:val="auto"/>
          <w:sz w:val="24"/>
          <w:szCs w:val="24"/>
          <w:highlight w:val="none"/>
          <w:lang w:val="en-US" w:eastAsia="zh-CN"/>
        </w:rPr>
        <w:t>。</w:t>
      </w:r>
    </w:p>
    <w:p>
      <w:pPr>
        <w:pStyle w:val="2"/>
        <w:ind w:firstLine="480" w:firstLineChars="200"/>
        <w:rPr>
          <w:rFonts w:hint="eastAsia"/>
          <w:color w:val="auto"/>
          <w:lang w:val="en-US" w:eastAsia="zh-CN"/>
        </w:rPr>
      </w:pPr>
      <w:r>
        <w:rPr>
          <w:rFonts w:hint="eastAsia" w:cs="宋体"/>
          <w:color w:val="auto"/>
          <w:sz w:val="24"/>
          <w:szCs w:val="24"/>
          <w:highlight w:val="none"/>
          <w:lang w:val="en-US" w:eastAsia="zh-CN"/>
        </w:rPr>
        <w:t>2、投标人</w:t>
      </w:r>
      <w:r>
        <w:rPr>
          <w:rFonts w:hint="eastAsia"/>
          <w:color w:val="auto"/>
          <w:highlight w:val="none"/>
        </w:rPr>
        <w:t>及其现任法定代表人、主要负责人近三年不具有行贿犯罪记录</w:t>
      </w:r>
      <w:r>
        <w:rPr>
          <w:rFonts w:hint="eastAsia"/>
          <w:color w:val="auto"/>
          <w:highlight w:val="none"/>
          <w:lang w:eastAsia="zh-CN"/>
        </w:rPr>
        <w:t>。</w:t>
      </w:r>
    </w:p>
    <w:p>
      <w:pPr>
        <w:autoSpaceDE/>
        <w:autoSpaceDN/>
        <w:spacing w:line="360" w:lineRule="auto"/>
        <w:jc w:val="both"/>
        <w:rPr>
          <w:rFonts w:cs="Times New Roman"/>
          <w:b/>
          <w:color w:val="auto"/>
          <w:kern w:val="2"/>
          <w:sz w:val="24"/>
          <w:szCs w:val="24"/>
          <w:highlight w:val="none"/>
          <w:lang w:val="en-US"/>
        </w:rPr>
      </w:pPr>
      <w:r>
        <w:rPr>
          <w:rFonts w:hint="eastAsia" w:cs="Times New Roman"/>
          <w:b/>
          <w:color w:val="auto"/>
          <w:kern w:val="2"/>
          <w:sz w:val="24"/>
          <w:szCs w:val="24"/>
          <w:highlight w:val="none"/>
          <w:lang w:val="en-US"/>
        </w:rPr>
        <w:t>六、招标文件获取时间、地点：</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highlight w:val="none"/>
          <w:lang w:val="zh-CN"/>
        </w:rPr>
      </w:pPr>
      <w:r>
        <w:rPr>
          <w:rFonts w:hint="eastAsia"/>
          <w:color w:val="auto"/>
          <w:sz w:val="24"/>
          <w:szCs w:val="24"/>
          <w:highlight w:val="none"/>
        </w:rPr>
        <w:t>凡有意参加投标者</w:t>
      </w:r>
      <w:r>
        <w:rPr>
          <w:rFonts w:hint="eastAsia"/>
          <w:color w:val="auto"/>
          <w:sz w:val="24"/>
          <w:szCs w:val="24"/>
          <w:highlight w:val="none"/>
          <w:lang w:val="en-US"/>
        </w:rPr>
        <w:t>，</w:t>
      </w:r>
      <w:r>
        <w:rPr>
          <w:rFonts w:hint="eastAsia"/>
          <w:color w:val="auto"/>
          <w:sz w:val="24"/>
          <w:szCs w:val="24"/>
          <w:highlight w:val="none"/>
        </w:rPr>
        <w:t>请于</w:t>
      </w:r>
      <w:r>
        <w:rPr>
          <w:rFonts w:hint="eastAsia"/>
          <w:b/>
          <w:bCs w:val="0"/>
          <w:color w:val="auto"/>
          <w:sz w:val="24"/>
          <w:szCs w:val="24"/>
          <w:highlight w:val="yellow"/>
          <w:u w:val="single"/>
          <w:lang w:val="en-US" w:eastAsia="zh-CN"/>
        </w:rPr>
        <w:t>2023</w:t>
      </w:r>
      <w:r>
        <w:rPr>
          <w:rFonts w:hint="eastAsia"/>
          <w:b/>
          <w:bCs w:val="0"/>
          <w:color w:val="auto"/>
          <w:sz w:val="24"/>
          <w:szCs w:val="24"/>
          <w:highlight w:val="yellow"/>
        </w:rPr>
        <w:t>年</w:t>
      </w:r>
      <w:r>
        <w:rPr>
          <w:rFonts w:hint="eastAsia"/>
          <w:b/>
          <w:bCs w:val="0"/>
          <w:color w:val="auto"/>
          <w:sz w:val="24"/>
          <w:szCs w:val="24"/>
          <w:highlight w:val="yellow"/>
          <w:u w:val="single"/>
          <w:lang w:val="en-US" w:eastAsia="zh-CN"/>
        </w:rPr>
        <w:t xml:space="preserve"> 09 </w:t>
      </w:r>
      <w:r>
        <w:rPr>
          <w:rFonts w:hint="eastAsia"/>
          <w:b/>
          <w:bCs w:val="0"/>
          <w:color w:val="auto"/>
          <w:sz w:val="24"/>
          <w:szCs w:val="24"/>
          <w:highlight w:val="yellow"/>
        </w:rPr>
        <w:t>月</w:t>
      </w:r>
      <w:r>
        <w:rPr>
          <w:rFonts w:hint="eastAsia"/>
          <w:b/>
          <w:bCs w:val="0"/>
          <w:color w:val="auto"/>
          <w:sz w:val="24"/>
          <w:szCs w:val="24"/>
          <w:highlight w:val="yellow"/>
          <w:u w:val="single"/>
          <w:lang w:val="en-US" w:eastAsia="zh-CN"/>
        </w:rPr>
        <w:t xml:space="preserve"> 19 </w:t>
      </w:r>
      <w:r>
        <w:rPr>
          <w:rFonts w:hint="eastAsia"/>
          <w:b/>
          <w:bCs w:val="0"/>
          <w:color w:val="auto"/>
          <w:sz w:val="24"/>
          <w:szCs w:val="24"/>
          <w:highlight w:val="yellow"/>
        </w:rPr>
        <w:t>日至</w:t>
      </w:r>
      <w:r>
        <w:rPr>
          <w:rFonts w:hint="eastAsia"/>
          <w:b/>
          <w:bCs w:val="0"/>
          <w:color w:val="auto"/>
          <w:sz w:val="24"/>
          <w:szCs w:val="24"/>
          <w:highlight w:val="yellow"/>
          <w:u w:val="single"/>
          <w:lang w:val="en-US" w:eastAsia="zh-CN"/>
        </w:rPr>
        <w:t>2023</w:t>
      </w:r>
      <w:r>
        <w:rPr>
          <w:rFonts w:hint="eastAsia"/>
          <w:b/>
          <w:bCs w:val="0"/>
          <w:color w:val="auto"/>
          <w:sz w:val="24"/>
          <w:szCs w:val="24"/>
          <w:highlight w:val="yellow"/>
        </w:rPr>
        <w:t>年</w:t>
      </w:r>
      <w:r>
        <w:rPr>
          <w:rFonts w:hint="eastAsia"/>
          <w:b/>
          <w:bCs w:val="0"/>
          <w:color w:val="auto"/>
          <w:sz w:val="24"/>
          <w:szCs w:val="24"/>
          <w:highlight w:val="yellow"/>
          <w:u w:val="single"/>
          <w:lang w:val="en-US" w:eastAsia="zh-CN"/>
        </w:rPr>
        <w:t xml:space="preserve"> 09 </w:t>
      </w:r>
      <w:r>
        <w:rPr>
          <w:rFonts w:hint="eastAsia"/>
          <w:b/>
          <w:bCs w:val="0"/>
          <w:color w:val="auto"/>
          <w:sz w:val="24"/>
          <w:szCs w:val="24"/>
          <w:highlight w:val="yellow"/>
        </w:rPr>
        <w:t>月</w:t>
      </w:r>
      <w:r>
        <w:rPr>
          <w:rFonts w:hint="eastAsia"/>
          <w:b/>
          <w:bCs w:val="0"/>
          <w:color w:val="auto"/>
          <w:sz w:val="24"/>
          <w:szCs w:val="24"/>
          <w:highlight w:val="yellow"/>
          <w:u w:val="single"/>
          <w:lang w:val="en-US" w:eastAsia="zh-CN"/>
        </w:rPr>
        <w:t xml:space="preserve">25 </w:t>
      </w:r>
      <w:r>
        <w:rPr>
          <w:rFonts w:hint="eastAsia"/>
          <w:b/>
          <w:bCs w:val="0"/>
          <w:color w:val="auto"/>
          <w:sz w:val="24"/>
          <w:szCs w:val="24"/>
          <w:highlight w:val="yellow"/>
        </w:rPr>
        <w:t>日</w:t>
      </w:r>
      <w:r>
        <w:rPr>
          <w:rFonts w:hint="eastAsia"/>
          <w:b/>
          <w:bCs w:val="0"/>
          <w:color w:val="auto"/>
          <w:sz w:val="24"/>
          <w:szCs w:val="24"/>
          <w:highlight w:val="none"/>
          <w:lang w:val="en-US" w:eastAsia="zh-CN"/>
        </w:rPr>
        <w:t>上午8:30-17:30（北京时间）</w:t>
      </w:r>
      <w:r>
        <w:rPr>
          <w:rFonts w:hint="eastAsia" w:ascii="宋体" w:hAnsi="宋体" w:cs="宋体"/>
          <w:bCs/>
          <w:color w:val="auto"/>
          <w:sz w:val="24"/>
          <w:highlight w:val="none"/>
          <w:lang w:val="en-US" w:eastAsia="zh-CN"/>
        </w:rPr>
        <w:t>将报名资料扫描件上传至</w:t>
      </w:r>
      <w:r>
        <w:rPr>
          <w:rFonts w:hint="eastAsia" w:ascii="宋体" w:hAnsi="宋体" w:eastAsia="宋体" w:cs="宋体"/>
          <w:bCs/>
          <w:color w:val="auto"/>
          <w:sz w:val="24"/>
          <w:highlight w:val="none"/>
          <w:lang w:val="en-US"/>
        </w:rPr>
        <w:t>399521439</w:t>
      </w:r>
      <w:r>
        <w:rPr>
          <w:rFonts w:hint="eastAsia" w:ascii="宋体" w:hAnsi="宋体" w:eastAsia="宋体" w:cs="宋体"/>
          <w:bCs/>
          <w:color w:val="auto"/>
          <w:sz w:val="24"/>
          <w:highlight w:val="none"/>
          <w:lang w:val="zh-CN"/>
        </w:rPr>
        <w:t>@qq.com邮箱进行报名。</w:t>
      </w:r>
    </w:p>
    <w:p>
      <w:pPr>
        <w:spacing w:line="360" w:lineRule="auto"/>
        <w:ind w:firstLine="480" w:firstLineChars="200"/>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本项目</w:t>
      </w:r>
      <w:r>
        <w:rPr>
          <w:rFonts w:hint="eastAsia" w:ascii="宋体" w:hAnsi="宋体" w:eastAsia="宋体" w:cs="宋体"/>
          <w:bCs/>
          <w:color w:val="auto"/>
          <w:sz w:val="24"/>
          <w:highlight w:val="none"/>
          <w:lang w:val="en-US" w:eastAsia="zh-CN"/>
        </w:rPr>
        <w:t>招标</w:t>
      </w:r>
      <w:r>
        <w:rPr>
          <w:rFonts w:hint="eastAsia" w:ascii="宋体" w:hAnsi="宋体" w:eastAsia="宋体" w:cs="宋体"/>
          <w:bCs/>
          <w:color w:val="auto"/>
          <w:sz w:val="24"/>
          <w:highlight w:val="none"/>
          <w:lang w:val="zh-CN"/>
        </w:rPr>
        <w:t>文件</w:t>
      </w:r>
      <w:r>
        <w:rPr>
          <w:rFonts w:hint="eastAsia" w:ascii="宋体" w:hAnsi="宋体" w:cs="宋体"/>
          <w:bCs/>
          <w:color w:val="auto"/>
          <w:sz w:val="24"/>
          <w:highlight w:val="none"/>
          <w:lang w:val="en-US" w:eastAsia="zh-CN"/>
        </w:rPr>
        <w:t>无偿</w:t>
      </w:r>
      <w:r>
        <w:rPr>
          <w:rFonts w:hint="eastAsia" w:ascii="宋体" w:hAnsi="宋体" w:eastAsia="宋体" w:cs="宋体"/>
          <w:bCs/>
          <w:color w:val="auto"/>
          <w:sz w:val="24"/>
          <w:highlight w:val="none"/>
          <w:lang w:val="zh-CN"/>
        </w:rPr>
        <w:t>获取（</w:t>
      </w:r>
      <w:r>
        <w:rPr>
          <w:rFonts w:hint="eastAsia" w:ascii="宋体" w:hAnsi="宋体" w:eastAsia="宋体" w:cs="宋体"/>
          <w:bCs/>
          <w:color w:val="auto"/>
          <w:sz w:val="24"/>
          <w:highlight w:val="none"/>
          <w:lang w:val="en-US" w:eastAsia="zh-CN"/>
        </w:rPr>
        <w:t>投标</w:t>
      </w:r>
      <w:r>
        <w:rPr>
          <w:rFonts w:hint="eastAsia" w:ascii="宋体" w:hAnsi="宋体" w:eastAsia="宋体" w:cs="宋体"/>
          <w:bCs/>
          <w:color w:val="auto"/>
          <w:sz w:val="24"/>
          <w:highlight w:val="none"/>
          <w:lang w:val="zh-CN"/>
        </w:rPr>
        <w:t>资格不能转让）。</w:t>
      </w:r>
    </w:p>
    <w:p>
      <w:pPr>
        <w:spacing w:line="360" w:lineRule="auto"/>
        <w:ind w:firstLine="480" w:firstLineChars="200"/>
        <w:rPr>
          <w:rFonts w:hint="eastAsia" w:ascii="宋体" w:hAnsi="宋体" w:eastAsia="宋体" w:cs="宋体"/>
          <w:bCs/>
          <w:color w:val="auto"/>
          <w:sz w:val="24"/>
          <w:highlight w:val="none"/>
          <w:lang w:val="zh-CN"/>
        </w:rPr>
      </w:pPr>
      <w:r>
        <w:rPr>
          <w:rFonts w:hint="eastAsia" w:ascii="宋体" w:hAnsi="宋体" w:cs="宋体"/>
          <w:bCs/>
          <w:color w:val="auto"/>
          <w:sz w:val="24"/>
          <w:highlight w:val="none"/>
          <w:lang w:val="en-US" w:eastAsia="zh-CN"/>
        </w:rPr>
        <w:t>获取</w:t>
      </w:r>
      <w:r>
        <w:rPr>
          <w:rFonts w:hint="eastAsia" w:ascii="宋体" w:hAnsi="宋体" w:eastAsia="宋体" w:cs="宋体"/>
          <w:bCs/>
          <w:color w:val="auto"/>
          <w:sz w:val="24"/>
          <w:highlight w:val="none"/>
          <w:lang w:val="en-US" w:eastAsia="zh-CN"/>
        </w:rPr>
        <w:t>招标</w:t>
      </w:r>
      <w:r>
        <w:rPr>
          <w:rFonts w:hint="eastAsia" w:ascii="宋体" w:hAnsi="宋体" w:eastAsia="宋体" w:cs="宋体"/>
          <w:bCs/>
          <w:color w:val="auto"/>
          <w:sz w:val="24"/>
          <w:highlight w:val="none"/>
          <w:lang w:val="zh-CN"/>
        </w:rPr>
        <w:t>文件时，经办人员须</w:t>
      </w:r>
      <w:r>
        <w:rPr>
          <w:rFonts w:hint="eastAsia" w:ascii="宋体" w:hAnsi="宋体" w:eastAsia="宋体" w:cs="宋体"/>
          <w:bCs/>
          <w:color w:val="auto"/>
          <w:sz w:val="24"/>
          <w:highlight w:val="none"/>
          <w:lang w:val="en-US" w:eastAsia="zh-CN"/>
        </w:rPr>
        <w:t>提供</w:t>
      </w:r>
      <w:r>
        <w:rPr>
          <w:rFonts w:hint="eastAsia" w:ascii="宋体" w:hAnsi="宋体" w:cs="宋体"/>
          <w:bCs/>
          <w:color w:val="auto"/>
          <w:sz w:val="24"/>
          <w:highlight w:val="none"/>
          <w:lang w:val="en-US" w:eastAsia="zh-CN"/>
        </w:rPr>
        <w:t>扫描件</w:t>
      </w:r>
      <w:r>
        <w:rPr>
          <w:rFonts w:hint="eastAsia" w:ascii="宋体" w:hAnsi="宋体" w:eastAsia="宋体" w:cs="宋体"/>
          <w:bCs/>
          <w:color w:val="auto"/>
          <w:sz w:val="24"/>
          <w:highlight w:val="none"/>
          <w:lang w:val="zh-CN"/>
        </w:rPr>
        <w:t>：单位开具的介绍信（含有单位名称、介绍信用途、经办人姓名、</w:t>
      </w:r>
      <w:r>
        <w:rPr>
          <w:rFonts w:hint="eastAsia" w:ascii="宋体" w:hAnsi="宋体" w:eastAsia="宋体" w:cs="宋体"/>
          <w:bCs/>
          <w:color w:val="auto"/>
          <w:sz w:val="24"/>
          <w:highlight w:val="none"/>
          <w:lang w:val="en-US" w:eastAsia="zh-CN"/>
        </w:rPr>
        <w:t>联系电话、邮箱等信息</w:t>
      </w:r>
      <w:r>
        <w:rPr>
          <w:rFonts w:hint="eastAsia" w:ascii="宋体" w:hAnsi="宋体" w:eastAsia="宋体" w:cs="宋体"/>
          <w:bCs/>
          <w:color w:val="auto"/>
          <w:sz w:val="24"/>
          <w:highlight w:val="none"/>
          <w:lang w:val="zh-CN"/>
        </w:rPr>
        <w:t>）、单位营业执照副本复印件、经办人身份证复印件，并对其加盖公司公章。</w:t>
      </w:r>
    </w:p>
    <w:p>
      <w:pPr>
        <w:pStyle w:val="2"/>
        <w:spacing w:line="360" w:lineRule="auto"/>
        <w:ind w:firstLine="480" w:firstLineChars="200"/>
        <w:jc w:val="both"/>
        <w:rPr>
          <w:color w:val="auto"/>
          <w:sz w:val="24"/>
          <w:szCs w:val="24"/>
          <w:highlight w:val="none"/>
        </w:rPr>
      </w:pPr>
      <w:r>
        <w:rPr>
          <w:rFonts w:hint="eastAsia"/>
          <w:color w:val="auto"/>
          <w:highlight w:val="none"/>
        </w:rPr>
        <w:t>供应商获取采购文件时须如实认真填写项目信息及供应商信息；若因供应商提供的错误信息，对其参与采购事宜造成影响的，由供应商自行承担所有责任。</w:t>
      </w:r>
    </w:p>
    <w:p>
      <w:pPr>
        <w:autoSpaceDE/>
        <w:autoSpaceDN/>
        <w:spacing w:line="360" w:lineRule="auto"/>
        <w:jc w:val="both"/>
        <w:rPr>
          <w:color w:val="auto"/>
          <w:sz w:val="24"/>
          <w:szCs w:val="24"/>
          <w:highlight w:val="none"/>
        </w:rPr>
      </w:pPr>
      <w:r>
        <w:rPr>
          <w:rFonts w:hint="eastAsia" w:cs="Times New Roman"/>
          <w:b/>
          <w:color w:val="auto"/>
          <w:kern w:val="2"/>
          <w:sz w:val="24"/>
          <w:szCs w:val="24"/>
          <w:highlight w:val="none"/>
          <w:lang w:val="en-US"/>
        </w:rPr>
        <w:t>七、投标截止时间和开标时间：</w:t>
      </w:r>
      <w:r>
        <w:rPr>
          <w:rFonts w:hint="eastAsia"/>
          <w:b/>
          <w:color w:val="auto"/>
          <w:sz w:val="24"/>
          <w:szCs w:val="24"/>
          <w:highlight w:val="yellow"/>
          <w:u w:val="single"/>
          <w:lang w:val="en-US" w:eastAsia="zh-CN"/>
        </w:rPr>
        <w:t>2023</w:t>
      </w:r>
      <w:r>
        <w:rPr>
          <w:rFonts w:hint="eastAsia"/>
          <w:b/>
          <w:color w:val="auto"/>
          <w:sz w:val="24"/>
          <w:szCs w:val="24"/>
          <w:highlight w:val="yellow"/>
        </w:rPr>
        <w:t>年</w:t>
      </w:r>
      <w:r>
        <w:rPr>
          <w:rFonts w:hint="eastAsia"/>
          <w:b/>
          <w:color w:val="auto"/>
          <w:sz w:val="24"/>
          <w:szCs w:val="24"/>
          <w:highlight w:val="yellow"/>
          <w:u w:val="single"/>
          <w:lang w:val="en-US" w:eastAsia="zh-CN"/>
        </w:rPr>
        <w:t xml:space="preserve"> 10 </w:t>
      </w:r>
      <w:r>
        <w:rPr>
          <w:rFonts w:hint="eastAsia"/>
          <w:b/>
          <w:color w:val="auto"/>
          <w:sz w:val="24"/>
          <w:szCs w:val="24"/>
          <w:highlight w:val="yellow"/>
        </w:rPr>
        <w:t>月</w:t>
      </w:r>
      <w:r>
        <w:rPr>
          <w:rFonts w:hint="eastAsia"/>
          <w:b/>
          <w:color w:val="auto"/>
          <w:sz w:val="24"/>
          <w:szCs w:val="24"/>
          <w:highlight w:val="yellow"/>
          <w:u w:val="single"/>
          <w:lang w:val="en-US" w:eastAsia="zh-CN"/>
        </w:rPr>
        <w:t xml:space="preserve">09 </w:t>
      </w:r>
      <w:r>
        <w:rPr>
          <w:rFonts w:hint="eastAsia"/>
          <w:b/>
          <w:color w:val="auto"/>
          <w:sz w:val="24"/>
          <w:szCs w:val="24"/>
          <w:highlight w:val="yellow"/>
        </w:rPr>
        <w:t>日</w:t>
      </w:r>
      <w:r>
        <w:rPr>
          <w:rFonts w:hint="eastAsia"/>
          <w:b/>
          <w:color w:val="auto"/>
          <w:sz w:val="24"/>
          <w:szCs w:val="24"/>
          <w:highlight w:val="yellow"/>
          <w:u w:val="single"/>
          <w:lang w:val="en-US" w:eastAsia="zh-CN"/>
        </w:rPr>
        <w:t xml:space="preserve"> 10 </w:t>
      </w:r>
      <w:r>
        <w:rPr>
          <w:rFonts w:hint="eastAsia"/>
          <w:b/>
          <w:color w:val="auto"/>
          <w:sz w:val="24"/>
          <w:szCs w:val="24"/>
          <w:highlight w:val="yellow"/>
        </w:rPr>
        <w:t>时</w:t>
      </w:r>
      <w:r>
        <w:rPr>
          <w:rFonts w:hint="eastAsia"/>
          <w:b/>
          <w:color w:val="auto"/>
          <w:sz w:val="24"/>
          <w:szCs w:val="24"/>
          <w:highlight w:val="yellow"/>
          <w:u w:val="single"/>
          <w:lang w:val="en-US" w:eastAsia="zh-CN"/>
        </w:rPr>
        <w:t xml:space="preserve"> 00 </w:t>
      </w:r>
      <w:r>
        <w:rPr>
          <w:rFonts w:hint="eastAsia"/>
          <w:b/>
          <w:color w:val="auto"/>
          <w:sz w:val="24"/>
          <w:szCs w:val="24"/>
          <w:highlight w:val="yellow"/>
        </w:rPr>
        <w:t>分</w:t>
      </w:r>
      <w:r>
        <w:rPr>
          <w:rFonts w:hint="eastAsia"/>
          <w:color w:val="auto"/>
          <w:sz w:val="24"/>
          <w:szCs w:val="24"/>
          <w:highlight w:val="none"/>
        </w:rPr>
        <w:t>（</w:t>
      </w:r>
      <w:r>
        <w:rPr>
          <w:rFonts w:hint="eastAsia" w:ascii="宋体" w:hAnsi="宋体" w:eastAsia="宋体" w:cs="宋体"/>
          <w:color w:val="auto"/>
          <w:sz w:val="24"/>
          <w:szCs w:val="24"/>
          <w:highlight w:val="none"/>
          <w:lang w:val="zh-CN" w:eastAsia="zh-CN" w:bidi="ar-SA"/>
        </w:rPr>
        <w:t>北京时间），投标文件必须在投标截止时间前送达开标地点，逾期送达的投标文件恕不接收，本次招标不接受邮寄的投标文件。</w:t>
      </w:r>
    </w:p>
    <w:p>
      <w:pPr>
        <w:autoSpaceDE/>
        <w:autoSpaceDN/>
        <w:spacing w:line="360" w:lineRule="auto"/>
        <w:jc w:val="both"/>
        <w:rPr>
          <w:rFonts w:hint="default" w:eastAsia="宋体" w:cs="Times New Roman"/>
          <w:b/>
          <w:color w:val="auto"/>
          <w:kern w:val="2"/>
          <w:sz w:val="24"/>
          <w:szCs w:val="24"/>
          <w:highlight w:val="none"/>
          <w:lang w:val="en-US" w:eastAsia="zh-CN"/>
        </w:rPr>
      </w:pPr>
      <w:r>
        <w:rPr>
          <w:rFonts w:hint="eastAsia" w:cs="Times New Roman"/>
          <w:b/>
          <w:color w:val="auto"/>
          <w:kern w:val="2"/>
          <w:sz w:val="24"/>
          <w:szCs w:val="24"/>
          <w:highlight w:val="none"/>
          <w:lang w:val="en-US"/>
        </w:rPr>
        <w:t>八、开标地点：</w:t>
      </w:r>
      <w:r>
        <w:rPr>
          <w:rFonts w:hint="eastAsia" w:cs="Times New Roman"/>
          <w:b w:val="0"/>
          <w:bCs/>
          <w:color w:val="auto"/>
          <w:kern w:val="2"/>
          <w:sz w:val="24"/>
          <w:szCs w:val="24"/>
          <w:highlight w:val="none"/>
          <w:u w:val="single"/>
          <w:lang w:val="en-US" w:eastAsia="zh-CN"/>
        </w:rPr>
        <w:t>四川哲胜招标代理有限公司开标室（</w:t>
      </w:r>
      <w:r>
        <w:rPr>
          <w:rFonts w:hint="eastAsia"/>
          <w:color w:val="auto"/>
          <w:sz w:val="24"/>
          <w:highlight w:val="none"/>
          <w:u w:val="single"/>
          <w:lang w:eastAsia="zh-CN"/>
        </w:rPr>
        <w:t>富顺县富州大道与二环路交汇处颐和城市广场西侧四楼</w:t>
      </w:r>
      <w:r>
        <w:rPr>
          <w:rFonts w:hint="eastAsia" w:cs="Times New Roman"/>
          <w:b w:val="0"/>
          <w:bCs/>
          <w:color w:val="auto"/>
          <w:kern w:val="2"/>
          <w:sz w:val="24"/>
          <w:szCs w:val="24"/>
          <w:highlight w:val="none"/>
          <w:u w:val="single"/>
          <w:lang w:val="en-US" w:eastAsia="zh-CN"/>
        </w:rPr>
        <w:t>）</w:t>
      </w:r>
      <w:r>
        <w:rPr>
          <w:rFonts w:hint="eastAsia" w:cs="Times New Roman"/>
          <w:b w:val="0"/>
          <w:bCs/>
          <w:color w:val="auto"/>
          <w:kern w:val="2"/>
          <w:sz w:val="24"/>
          <w:szCs w:val="24"/>
          <w:highlight w:val="none"/>
          <w:u w:val="none"/>
          <w:lang w:val="en-US" w:eastAsia="zh-CN"/>
        </w:rPr>
        <w:t>。</w:t>
      </w:r>
    </w:p>
    <w:p>
      <w:pPr>
        <w:autoSpaceDE/>
        <w:autoSpaceDN/>
        <w:spacing w:line="360" w:lineRule="auto"/>
        <w:jc w:val="both"/>
        <w:rPr>
          <w:color w:val="auto"/>
          <w:sz w:val="24"/>
          <w:szCs w:val="24"/>
          <w:highlight w:val="none"/>
          <w:lang w:val="en-US"/>
        </w:rPr>
      </w:pPr>
      <w:r>
        <w:rPr>
          <w:rFonts w:hint="eastAsia" w:cs="Times New Roman"/>
          <w:b/>
          <w:color w:val="auto"/>
          <w:kern w:val="2"/>
          <w:sz w:val="24"/>
          <w:szCs w:val="24"/>
          <w:highlight w:val="none"/>
          <w:lang w:val="en-US"/>
        </w:rPr>
        <w:t>九、发布形式：</w:t>
      </w:r>
      <w:r>
        <w:rPr>
          <w:rFonts w:hint="eastAsia" w:ascii="宋体" w:hAnsi="宋体" w:eastAsia="宋体" w:cs="宋体"/>
          <w:color w:val="auto"/>
          <w:sz w:val="24"/>
          <w:szCs w:val="24"/>
          <w:highlight w:val="none"/>
          <w:lang w:val="zh-CN" w:eastAsia="zh-CN" w:bidi="ar-SA"/>
        </w:rPr>
        <w:t>在</w:t>
      </w:r>
      <w:r>
        <w:rPr>
          <w:rFonts w:hint="eastAsia" w:cs="宋体"/>
          <w:color w:val="auto"/>
          <w:sz w:val="24"/>
          <w:szCs w:val="24"/>
          <w:highlight w:val="none"/>
          <w:lang w:val="zh-CN" w:eastAsia="zh-CN" w:bidi="ar-SA"/>
        </w:rPr>
        <w:t>中国政府采购网（http://www.ccgp.gov.cn/）</w:t>
      </w:r>
      <w:r>
        <w:rPr>
          <w:rFonts w:hint="eastAsia" w:ascii="宋体" w:hAnsi="宋体" w:eastAsia="宋体" w:cs="宋体"/>
          <w:color w:val="auto"/>
          <w:sz w:val="24"/>
          <w:szCs w:val="24"/>
          <w:highlight w:val="none"/>
          <w:lang w:val="zh-CN" w:eastAsia="zh-CN" w:bidi="ar-SA"/>
        </w:rPr>
        <w:t>上以公告形式发布。</w:t>
      </w:r>
    </w:p>
    <w:p>
      <w:pPr>
        <w:autoSpaceDE/>
        <w:autoSpaceDN/>
        <w:spacing w:line="360" w:lineRule="auto"/>
        <w:jc w:val="both"/>
        <w:rPr>
          <w:rFonts w:cs="Times New Roman"/>
          <w:b/>
          <w:color w:val="auto"/>
          <w:kern w:val="2"/>
          <w:sz w:val="24"/>
          <w:szCs w:val="24"/>
          <w:highlight w:val="none"/>
          <w:lang w:val="en-US"/>
        </w:rPr>
      </w:pPr>
      <w:r>
        <w:rPr>
          <w:rFonts w:hint="eastAsia" w:cs="Times New Roman"/>
          <w:b/>
          <w:color w:val="auto"/>
          <w:kern w:val="2"/>
          <w:sz w:val="24"/>
          <w:szCs w:val="24"/>
          <w:highlight w:val="none"/>
          <w:lang w:val="en-US" w:eastAsia="zh-CN"/>
        </w:rPr>
        <w:t>十、</w:t>
      </w:r>
      <w:r>
        <w:rPr>
          <w:rFonts w:hint="eastAsia" w:cs="Times New Roman"/>
          <w:b/>
          <w:color w:val="auto"/>
          <w:kern w:val="2"/>
          <w:sz w:val="24"/>
          <w:szCs w:val="24"/>
          <w:highlight w:val="none"/>
          <w:lang w:val="en-US"/>
        </w:rPr>
        <w:t>联系方式：</w:t>
      </w:r>
    </w:p>
    <w:p>
      <w:pPr>
        <w:pStyle w:val="2"/>
        <w:spacing w:line="360" w:lineRule="auto"/>
        <w:ind w:firstLine="480" w:firstLineChars="200"/>
        <w:jc w:val="both"/>
        <w:rPr>
          <w:rFonts w:hint="eastAsia" w:eastAsia="宋体"/>
          <w:color w:val="auto"/>
          <w:sz w:val="24"/>
          <w:szCs w:val="24"/>
          <w:highlight w:val="none"/>
          <w:lang w:eastAsia="zh-CN"/>
        </w:rPr>
      </w:pPr>
      <w:r>
        <w:rPr>
          <w:rFonts w:hint="eastAsia"/>
          <w:color w:val="auto"/>
          <w:sz w:val="24"/>
          <w:szCs w:val="24"/>
          <w:highlight w:val="none"/>
        </w:rPr>
        <w:t>采购人：</w:t>
      </w:r>
      <w:r>
        <w:rPr>
          <w:rFonts w:hint="eastAsia"/>
          <w:color w:val="auto"/>
          <w:sz w:val="24"/>
          <w:szCs w:val="24"/>
          <w:highlight w:val="none"/>
          <w:u w:val="single"/>
          <w:lang w:val="en-US" w:eastAsia="zh-CN"/>
        </w:rPr>
        <w:t>富顺县中医医院</w:t>
      </w:r>
    </w:p>
    <w:p>
      <w:pPr>
        <w:pStyle w:val="2"/>
        <w:spacing w:line="360" w:lineRule="auto"/>
        <w:ind w:firstLine="480" w:firstLineChars="200"/>
        <w:jc w:val="both"/>
        <w:rPr>
          <w:rFonts w:hint="eastAsia"/>
          <w:color w:val="auto"/>
          <w:sz w:val="24"/>
          <w:szCs w:val="24"/>
          <w:highlight w:val="none"/>
          <w:u w:val="single"/>
        </w:rPr>
      </w:pPr>
      <w:r>
        <w:rPr>
          <w:rFonts w:hint="eastAsia"/>
          <w:color w:val="auto"/>
          <w:sz w:val="24"/>
          <w:szCs w:val="24"/>
          <w:highlight w:val="none"/>
        </w:rPr>
        <w:t>地</w:t>
      </w:r>
      <w:r>
        <w:rPr>
          <w:rFonts w:hint="eastAsia"/>
          <w:color w:val="auto"/>
          <w:sz w:val="24"/>
          <w:szCs w:val="24"/>
          <w:highlight w:val="none"/>
          <w:lang w:val="en-US" w:eastAsia="zh-CN"/>
        </w:rPr>
        <w:t xml:space="preserve">  </w:t>
      </w:r>
      <w:r>
        <w:rPr>
          <w:rFonts w:hint="eastAsia"/>
          <w:color w:val="auto"/>
          <w:sz w:val="24"/>
          <w:szCs w:val="24"/>
          <w:highlight w:val="none"/>
        </w:rPr>
        <w:t>址：</w:t>
      </w:r>
      <w:r>
        <w:rPr>
          <w:rFonts w:hint="eastAsia"/>
          <w:color w:val="auto"/>
          <w:sz w:val="24"/>
          <w:szCs w:val="24"/>
          <w:highlight w:val="none"/>
          <w:u w:val="single"/>
          <w:lang w:eastAsia="zh-CN"/>
        </w:rPr>
        <w:t>富顺县东湖街道东湖大道1801号（富顺县中医医院同心院区）</w:t>
      </w:r>
    </w:p>
    <w:p>
      <w:pPr>
        <w:pStyle w:val="2"/>
        <w:spacing w:line="360" w:lineRule="auto"/>
        <w:ind w:firstLine="480" w:firstLineChars="200"/>
        <w:jc w:val="both"/>
        <w:rPr>
          <w:rFonts w:hint="default" w:ascii="宋体" w:hAnsi="宋体" w:eastAsia="宋体" w:cs="Times New Roman"/>
          <w:b w:val="0"/>
          <w:bCs/>
          <w:color w:val="auto"/>
          <w:highlight w:val="none"/>
          <w:u w:val="single"/>
          <w:lang w:val="en-US" w:eastAsia="zh-CN"/>
        </w:rPr>
      </w:pPr>
      <w:r>
        <w:rPr>
          <w:rFonts w:hint="eastAsia"/>
          <w:color w:val="auto"/>
          <w:highlight w:val="none"/>
        </w:rPr>
        <w:t>联 系 人：</w:t>
      </w:r>
      <w:r>
        <w:rPr>
          <w:rFonts w:hint="eastAsia" w:cs="Times New Roman"/>
          <w:b w:val="0"/>
          <w:bCs/>
          <w:color w:val="auto"/>
          <w:highlight w:val="none"/>
          <w:u w:val="single"/>
          <w:lang w:val="en-US" w:eastAsia="zh-CN"/>
        </w:rPr>
        <w:t>高老师</w:t>
      </w:r>
    </w:p>
    <w:p>
      <w:pPr>
        <w:pStyle w:val="2"/>
        <w:spacing w:line="360" w:lineRule="auto"/>
        <w:ind w:firstLine="480" w:firstLineChars="200"/>
        <w:jc w:val="both"/>
        <w:rPr>
          <w:rFonts w:hint="default" w:ascii="宋体" w:hAnsi="宋体" w:eastAsia="宋体" w:cs="Times New Roman"/>
          <w:b w:val="0"/>
          <w:bCs/>
          <w:color w:val="auto"/>
          <w:highlight w:val="none"/>
          <w:u w:val="single"/>
          <w:lang w:val="en-US" w:eastAsia="zh-CN"/>
        </w:rPr>
      </w:pPr>
      <w:r>
        <w:rPr>
          <w:rFonts w:hint="eastAsia"/>
          <w:color w:val="auto"/>
          <w:highlight w:val="none"/>
        </w:rPr>
        <w:t>联系电话：</w:t>
      </w:r>
      <w:r>
        <w:rPr>
          <w:rFonts w:hint="eastAsia" w:cs="Times New Roman"/>
          <w:b w:val="0"/>
          <w:bCs/>
          <w:color w:val="auto"/>
          <w:highlight w:val="none"/>
          <w:u w:val="single"/>
          <w:lang w:val="en-US" w:eastAsia="zh-CN"/>
        </w:rPr>
        <w:t>0813-5197655</w:t>
      </w:r>
      <w:bookmarkStart w:id="99" w:name="_GoBack"/>
      <w:bookmarkEnd w:id="99"/>
    </w:p>
    <w:p>
      <w:pPr>
        <w:pStyle w:val="2"/>
        <w:spacing w:line="360" w:lineRule="auto"/>
        <w:ind w:firstLine="480" w:firstLineChars="200"/>
        <w:jc w:val="both"/>
        <w:rPr>
          <w:rFonts w:hint="eastAsia"/>
          <w:color w:val="auto"/>
          <w:sz w:val="24"/>
          <w:szCs w:val="24"/>
          <w:highlight w:val="none"/>
        </w:rPr>
      </w:pPr>
    </w:p>
    <w:p>
      <w:pPr>
        <w:pStyle w:val="2"/>
        <w:spacing w:line="360" w:lineRule="auto"/>
        <w:ind w:firstLine="480" w:firstLineChars="200"/>
        <w:jc w:val="both"/>
        <w:rPr>
          <w:rFonts w:hint="eastAsia" w:eastAsia="宋体"/>
          <w:color w:val="auto"/>
          <w:sz w:val="24"/>
          <w:szCs w:val="24"/>
          <w:highlight w:val="none"/>
          <w:u w:val="single"/>
          <w:lang w:eastAsia="zh-CN"/>
        </w:rPr>
      </w:pPr>
      <w:r>
        <w:rPr>
          <w:rFonts w:hint="eastAsia"/>
          <w:color w:val="auto"/>
          <w:sz w:val="24"/>
          <w:szCs w:val="24"/>
          <w:highlight w:val="none"/>
        </w:rPr>
        <w:t>采购代理机构：</w:t>
      </w:r>
      <w:r>
        <w:rPr>
          <w:rFonts w:hint="eastAsia" w:cs="宋体"/>
          <w:color w:val="auto"/>
          <w:sz w:val="24"/>
          <w:szCs w:val="24"/>
          <w:highlight w:val="none"/>
          <w:u w:val="single"/>
          <w:lang w:eastAsia="zh-CN"/>
        </w:rPr>
        <w:t>四川哲胜招标代理有限公司</w:t>
      </w:r>
    </w:p>
    <w:p>
      <w:pPr>
        <w:pStyle w:val="2"/>
        <w:spacing w:line="360" w:lineRule="auto"/>
        <w:ind w:firstLine="480" w:firstLineChars="200"/>
        <w:jc w:val="both"/>
        <w:rPr>
          <w:color w:val="auto"/>
          <w:sz w:val="24"/>
          <w:szCs w:val="24"/>
          <w:highlight w:val="none"/>
          <w:u w:val="single"/>
        </w:rPr>
      </w:pPr>
      <w:r>
        <w:rPr>
          <w:rFonts w:hint="eastAsia"/>
          <w:color w:val="auto"/>
          <w:sz w:val="24"/>
          <w:szCs w:val="24"/>
          <w:highlight w:val="none"/>
        </w:rPr>
        <w:t>地</w:t>
      </w:r>
      <w:r>
        <w:rPr>
          <w:rFonts w:hint="eastAsia"/>
          <w:color w:val="auto"/>
          <w:sz w:val="24"/>
          <w:szCs w:val="24"/>
          <w:highlight w:val="none"/>
          <w:lang w:val="en-US" w:eastAsia="zh-CN"/>
        </w:rPr>
        <w:t xml:space="preserve">  </w:t>
      </w:r>
      <w:r>
        <w:rPr>
          <w:rFonts w:hint="eastAsia"/>
          <w:color w:val="auto"/>
          <w:sz w:val="24"/>
          <w:szCs w:val="24"/>
          <w:highlight w:val="none"/>
        </w:rPr>
        <w:t>址：</w:t>
      </w:r>
      <w:r>
        <w:rPr>
          <w:rFonts w:hint="eastAsia"/>
          <w:color w:val="auto"/>
          <w:sz w:val="24"/>
          <w:szCs w:val="24"/>
          <w:highlight w:val="none"/>
          <w:u w:val="single"/>
          <w:lang w:eastAsia="zh-CN"/>
        </w:rPr>
        <w:t>富顺县富州大道与二环路交汇处颐和城市广场西侧四楼</w:t>
      </w:r>
    </w:p>
    <w:p>
      <w:pPr>
        <w:pStyle w:val="2"/>
        <w:spacing w:line="360" w:lineRule="auto"/>
        <w:ind w:firstLine="480" w:firstLineChars="200"/>
        <w:jc w:val="both"/>
        <w:rPr>
          <w:color w:val="auto"/>
          <w:sz w:val="24"/>
          <w:szCs w:val="24"/>
          <w:highlight w:val="none"/>
        </w:rPr>
      </w:pPr>
      <w:r>
        <w:rPr>
          <w:rFonts w:hint="eastAsia"/>
          <w:color w:val="auto"/>
          <w:sz w:val="24"/>
          <w:szCs w:val="24"/>
          <w:highlight w:val="none"/>
        </w:rPr>
        <w:t>联系人：</w:t>
      </w:r>
      <w:r>
        <w:rPr>
          <w:rFonts w:hint="eastAsia"/>
          <w:color w:val="auto"/>
          <w:sz w:val="24"/>
          <w:szCs w:val="24"/>
          <w:highlight w:val="none"/>
          <w:u w:val="single"/>
          <w:lang w:eastAsia="zh-CN"/>
        </w:rPr>
        <w:t>罗女士</w:t>
      </w:r>
    </w:p>
    <w:p>
      <w:pPr>
        <w:pStyle w:val="2"/>
        <w:spacing w:line="360" w:lineRule="auto"/>
        <w:ind w:firstLine="480" w:firstLineChars="200"/>
        <w:jc w:val="both"/>
        <w:rPr>
          <w:rFonts w:hint="default"/>
          <w:color w:val="auto"/>
          <w:sz w:val="24"/>
          <w:szCs w:val="24"/>
          <w:highlight w:val="none"/>
          <w:u w:val="single"/>
          <w:lang w:val="en-US" w:eastAsia="zh-CN"/>
        </w:rPr>
      </w:pPr>
      <w:r>
        <w:rPr>
          <w:rFonts w:hint="eastAsia"/>
          <w:color w:val="auto"/>
          <w:sz w:val="24"/>
          <w:szCs w:val="24"/>
          <w:highlight w:val="none"/>
        </w:rPr>
        <w:t>联系电话：</w:t>
      </w:r>
      <w:r>
        <w:rPr>
          <w:rFonts w:hint="eastAsia"/>
          <w:color w:val="auto"/>
          <w:sz w:val="24"/>
          <w:szCs w:val="24"/>
          <w:highlight w:val="none"/>
          <w:u w:val="single"/>
          <w:lang w:val="en-US" w:eastAsia="zh-CN"/>
        </w:rPr>
        <w:t>0830-6665625</w:t>
      </w:r>
    </w:p>
    <w:p>
      <w:pPr>
        <w:rPr>
          <w:rFonts w:hint="default"/>
          <w:color w:val="auto"/>
          <w:highlight w:val="none"/>
          <w:lang w:val="en-US" w:eastAsia="zh-CN"/>
        </w:rPr>
      </w:pPr>
    </w:p>
    <w:p>
      <w:pPr>
        <w:pStyle w:val="2"/>
        <w:wordWrap w:val="0"/>
        <w:spacing w:line="360" w:lineRule="auto"/>
        <w:jc w:val="right"/>
        <w:rPr>
          <w:color w:val="auto"/>
          <w:highlight w:val="none"/>
        </w:rPr>
      </w:pPr>
    </w:p>
    <w:p>
      <w:pPr>
        <w:widowControl/>
        <w:autoSpaceDE/>
        <w:autoSpaceDN/>
        <w:rPr>
          <w:rFonts w:cs="Times New Roman"/>
          <w:b/>
          <w:color w:val="auto"/>
          <w:kern w:val="2"/>
          <w:sz w:val="36"/>
          <w:szCs w:val="36"/>
          <w:highlight w:val="none"/>
          <w:lang w:val="en-US"/>
        </w:rPr>
      </w:pPr>
      <w:bookmarkStart w:id="7" w:name="_bookmark1"/>
      <w:bookmarkEnd w:id="7"/>
      <w:r>
        <w:rPr>
          <w:rFonts w:cs="Times New Roman"/>
          <w:b/>
          <w:color w:val="auto"/>
          <w:kern w:val="2"/>
          <w:sz w:val="36"/>
          <w:szCs w:val="36"/>
          <w:highlight w:val="none"/>
          <w:lang w:val="en-US"/>
        </w:rPr>
        <w:br w:type="page"/>
      </w:r>
    </w:p>
    <w:p>
      <w:pPr>
        <w:pStyle w:val="4"/>
        <w:bidi w:val="0"/>
        <w:rPr>
          <w:color w:val="auto"/>
          <w:highlight w:val="none"/>
          <w:lang w:val="en-US"/>
        </w:rPr>
      </w:pPr>
      <w:bookmarkStart w:id="8" w:name="_Toc528098580"/>
      <w:bookmarkStart w:id="9" w:name="_Toc4911"/>
      <w:r>
        <w:rPr>
          <w:rFonts w:hint="eastAsia"/>
          <w:color w:val="auto"/>
          <w:highlight w:val="none"/>
          <w:lang w:val="en-US"/>
        </w:rPr>
        <w:t>第二章  投标人须知</w:t>
      </w:r>
      <w:bookmarkEnd w:id="8"/>
      <w:bookmarkEnd w:id="9"/>
    </w:p>
    <w:p>
      <w:pPr>
        <w:pStyle w:val="5"/>
        <w:bidi w:val="0"/>
        <w:rPr>
          <w:color w:val="auto"/>
          <w:highlight w:val="none"/>
          <w:lang w:val="en-US"/>
        </w:rPr>
      </w:pPr>
      <w:r>
        <w:rPr>
          <w:rFonts w:hint="eastAsia"/>
          <w:color w:val="auto"/>
          <w:highlight w:val="none"/>
          <w:lang w:val="en-US"/>
        </w:rPr>
        <w:t>一、投标人须知附表</w:t>
      </w:r>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22"/>
        <w:gridCol w:w="1821"/>
        <w:gridCol w:w="65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2" w:type="dxa"/>
            <w:tcBorders>
              <w:tl2br w:val="nil"/>
              <w:tr2bl w:val="nil"/>
            </w:tcBorders>
            <w:vAlign w:val="center"/>
          </w:tcPr>
          <w:p>
            <w:pPr>
              <w:numPr>
                <w:ilvl w:val="0"/>
                <w:numId w:val="0"/>
              </w:numPr>
              <w:tabs>
                <w:tab w:val="left" w:pos="0"/>
              </w:tabs>
              <w:ind w:leftChars="0"/>
              <w:jc w:val="both"/>
              <w:rPr>
                <w:rFonts w:ascii="宋体" w:hAnsi="宋体" w:eastAsia="宋体" w:cs="宋体"/>
                <w:b/>
                <w:bCs/>
                <w:color w:val="auto"/>
                <w:highlight w:val="none"/>
                <w:vertAlign w:val="baseline"/>
              </w:rPr>
            </w:pPr>
            <w:r>
              <w:rPr>
                <w:rFonts w:hint="eastAsia" w:ascii="宋体" w:hAnsi="宋体" w:eastAsia="宋体" w:cs="宋体"/>
                <w:b/>
                <w:bCs/>
                <w:color w:val="auto"/>
                <w:highlight w:val="none"/>
                <w:vertAlign w:val="baseline"/>
              </w:rPr>
              <w:t>序号</w:t>
            </w:r>
          </w:p>
        </w:tc>
        <w:tc>
          <w:tcPr>
            <w:tcW w:w="1821" w:type="dxa"/>
            <w:tcBorders>
              <w:tl2br w:val="nil"/>
              <w:tr2bl w:val="nil"/>
            </w:tcBorders>
            <w:vAlign w:val="center"/>
          </w:tcPr>
          <w:p>
            <w:pPr>
              <w:jc w:val="center"/>
              <w:rPr>
                <w:rFonts w:ascii="宋体" w:hAnsi="宋体" w:eastAsia="宋体" w:cs="宋体"/>
                <w:b/>
                <w:bCs/>
                <w:color w:val="auto"/>
                <w:highlight w:val="none"/>
                <w:vertAlign w:val="baseline"/>
              </w:rPr>
            </w:pPr>
            <w:r>
              <w:rPr>
                <w:rFonts w:hint="eastAsia" w:ascii="宋体" w:hAnsi="宋体" w:eastAsia="宋体" w:cs="宋体"/>
                <w:b/>
                <w:bCs/>
                <w:color w:val="auto"/>
                <w:highlight w:val="none"/>
                <w:vertAlign w:val="baseline"/>
              </w:rPr>
              <w:t>条款名称</w:t>
            </w:r>
          </w:p>
        </w:tc>
        <w:tc>
          <w:tcPr>
            <w:tcW w:w="6537" w:type="dxa"/>
            <w:tcBorders>
              <w:tl2br w:val="nil"/>
              <w:tr2bl w:val="nil"/>
            </w:tcBorders>
            <w:vAlign w:val="center"/>
          </w:tcPr>
          <w:p>
            <w:pPr>
              <w:jc w:val="center"/>
              <w:rPr>
                <w:rFonts w:ascii="宋体" w:hAnsi="宋体" w:eastAsia="宋体" w:cs="宋体"/>
                <w:b/>
                <w:bCs/>
                <w:color w:val="auto"/>
                <w:highlight w:val="none"/>
                <w:vertAlign w:val="baseline"/>
              </w:rPr>
            </w:pPr>
            <w:r>
              <w:rPr>
                <w:rFonts w:hint="eastAsia" w:ascii="宋体" w:hAnsi="宋体" w:eastAsia="宋体" w:cs="宋体"/>
                <w:b/>
                <w:bCs/>
                <w:color w:val="auto"/>
                <w:highlight w:val="none"/>
                <w:vertAlign w:val="baseline"/>
              </w:rPr>
              <w:t>说明和要求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2" w:type="dxa"/>
            <w:tcBorders>
              <w:tl2br w:val="nil"/>
              <w:tr2bl w:val="nil"/>
            </w:tcBorders>
            <w:vAlign w:val="center"/>
          </w:tcPr>
          <w:p>
            <w:pPr>
              <w:numPr>
                <w:ilvl w:val="0"/>
                <w:numId w:val="2"/>
              </w:numPr>
              <w:ind w:left="0" w:leftChars="0" w:firstLine="0" w:firstLineChars="0"/>
              <w:jc w:val="center"/>
              <w:rPr>
                <w:rFonts w:ascii="宋体" w:hAnsi="宋体" w:eastAsia="宋体" w:cs="宋体"/>
                <w:color w:val="auto"/>
                <w:highlight w:val="none"/>
                <w:vertAlign w:val="baseline"/>
              </w:rPr>
            </w:pPr>
          </w:p>
        </w:tc>
        <w:tc>
          <w:tcPr>
            <w:tcW w:w="1821" w:type="dxa"/>
            <w:tcBorders>
              <w:tl2br w:val="nil"/>
              <w:tr2bl w:val="nil"/>
            </w:tcBorders>
            <w:vAlign w:val="center"/>
          </w:tcPr>
          <w:p>
            <w:pPr>
              <w:jc w:val="center"/>
              <w:rPr>
                <w:rFonts w:ascii="宋体" w:hAnsi="宋体" w:eastAsia="宋体" w:cs="宋体"/>
                <w:color w:val="auto"/>
                <w:highlight w:val="none"/>
                <w:vertAlign w:val="baseline"/>
              </w:rPr>
            </w:pPr>
            <w:r>
              <w:rPr>
                <w:rFonts w:hint="eastAsia" w:ascii="宋体" w:hAnsi="宋体" w:eastAsia="宋体" w:cs="宋体"/>
                <w:color w:val="auto"/>
                <w:highlight w:val="none"/>
                <w:vertAlign w:val="baseline"/>
              </w:rPr>
              <w:t>采购预算</w:t>
            </w:r>
          </w:p>
          <w:p>
            <w:pPr>
              <w:jc w:val="center"/>
              <w:rPr>
                <w:rFonts w:ascii="宋体" w:hAnsi="宋体" w:eastAsia="宋体" w:cs="宋体"/>
                <w:color w:val="auto"/>
                <w:highlight w:val="none"/>
                <w:vertAlign w:val="baseline"/>
              </w:rPr>
            </w:pPr>
            <w:r>
              <w:rPr>
                <w:rFonts w:hint="eastAsia" w:ascii="宋体" w:hAnsi="宋体" w:eastAsia="宋体" w:cs="宋体"/>
                <w:color w:val="auto"/>
                <w:highlight w:val="none"/>
                <w:vertAlign w:val="baseline"/>
              </w:rPr>
              <w:t>（实质性要求）</w:t>
            </w:r>
          </w:p>
        </w:tc>
        <w:tc>
          <w:tcPr>
            <w:tcW w:w="6537" w:type="dxa"/>
            <w:tcBorders>
              <w:tl2br w:val="nil"/>
              <w:tr2bl w:val="nil"/>
            </w:tcBorders>
            <w:vAlign w:val="center"/>
          </w:tcPr>
          <w:p>
            <w:pPr>
              <w:ind w:firstLine="240" w:firstLineChars="100"/>
              <w:jc w:val="both"/>
              <w:rPr>
                <w:rFonts w:hint="eastAsia" w:cs="宋体"/>
                <w:color w:val="auto"/>
                <w:sz w:val="24"/>
                <w:szCs w:val="32"/>
                <w:highlight w:val="none"/>
                <w:lang w:val="en-US" w:eastAsia="zh-CN"/>
              </w:rPr>
            </w:pPr>
            <w:r>
              <w:rPr>
                <w:rFonts w:hint="eastAsia" w:ascii="宋体" w:hAnsi="宋体" w:eastAsia="宋体" w:cs="宋体"/>
                <w:color w:val="auto"/>
                <w:highlight w:val="none"/>
                <w:vertAlign w:val="baseline"/>
                <w:lang w:val="zh-CN"/>
              </w:rPr>
              <w:t>采购预算：</w:t>
            </w:r>
            <w:r>
              <w:rPr>
                <w:rFonts w:hint="eastAsia" w:cs="宋体"/>
                <w:color w:val="auto"/>
                <w:sz w:val="24"/>
                <w:szCs w:val="32"/>
                <w:highlight w:val="none"/>
                <w:lang w:val="en-US" w:eastAsia="zh-CN"/>
              </w:rPr>
              <w:t>2073266.32</w:t>
            </w:r>
            <w:r>
              <w:rPr>
                <w:rFonts w:hint="eastAsia" w:ascii="宋体" w:hAnsi="宋体" w:eastAsia="宋体" w:cs="宋体"/>
                <w:color w:val="auto"/>
                <w:sz w:val="24"/>
                <w:szCs w:val="32"/>
                <w:highlight w:val="none"/>
                <w:lang w:val="en-US" w:eastAsia="zh-CN"/>
              </w:rPr>
              <w:t>元（大写：</w:t>
            </w:r>
            <w:r>
              <w:rPr>
                <w:rFonts w:hint="eastAsia" w:cs="宋体"/>
                <w:color w:val="auto"/>
                <w:sz w:val="24"/>
                <w:szCs w:val="32"/>
                <w:highlight w:val="none"/>
                <w:lang w:val="en-US" w:eastAsia="zh-CN"/>
              </w:rPr>
              <w:t>贰佰零柒万叁仟贰佰陆拾陆元叁角贰分</w:t>
            </w:r>
            <w:r>
              <w:rPr>
                <w:rFonts w:hint="eastAsia" w:ascii="宋体" w:hAnsi="宋体" w:eastAsia="宋体" w:cs="宋体"/>
                <w:color w:val="auto"/>
                <w:sz w:val="24"/>
                <w:szCs w:val="32"/>
                <w:highlight w:val="none"/>
                <w:lang w:val="en-US" w:eastAsia="zh-CN"/>
              </w:rPr>
              <w:t>）；</w:t>
            </w:r>
            <w:r>
              <w:rPr>
                <w:rFonts w:hint="eastAsia" w:cs="宋体"/>
                <w:color w:val="auto"/>
                <w:highlight w:val="none"/>
                <w:vertAlign w:val="baseline"/>
                <w:lang w:val="en-US" w:eastAsia="zh-CN"/>
              </w:rPr>
              <w:t>本次采购预算包含</w:t>
            </w:r>
            <w:r>
              <w:rPr>
                <w:rFonts w:hint="eastAsia" w:ascii="宋体" w:hAnsi="宋体" w:eastAsia="宋体" w:cs="宋体"/>
                <w:color w:val="auto"/>
                <w:sz w:val="24"/>
                <w:szCs w:val="32"/>
                <w:highlight w:val="none"/>
                <w:lang w:val="en-US" w:eastAsia="zh-CN"/>
              </w:rPr>
              <w:t>02包</w:t>
            </w:r>
            <w:r>
              <w:rPr>
                <w:rFonts w:hint="eastAsia" w:cs="宋体"/>
                <w:color w:val="auto"/>
                <w:sz w:val="24"/>
                <w:szCs w:val="32"/>
                <w:highlight w:val="none"/>
                <w:lang w:val="en-US" w:eastAsia="zh-CN"/>
              </w:rPr>
              <w:t>、</w:t>
            </w:r>
            <w:r>
              <w:rPr>
                <w:rFonts w:hint="eastAsia" w:ascii="宋体" w:hAnsi="宋体" w:eastAsia="宋体" w:cs="宋体"/>
                <w:color w:val="auto"/>
                <w:sz w:val="24"/>
                <w:szCs w:val="32"/>
                <w:highlight w:val="none"/>
                <w:lang w:val="en-US" w:eastAsia="zh-CN"/>
              </w:rPr>
              <w:t>03包</w:t>
            </w:r>
            <w:r>
              <w:rPr>
                <w:rFonts w:hint="eastAsia" w:cs="宋体"/>
                <w:color w:val="auto"/>
                <w:sz w:val="24"/>
                <w:szCs w:val="32"/>
                <w:highlight w:val="none"/>
                <w:lang w:val="en-US" w:eastAsia="zh-CN"/>
              </w:rPr>
              <w:t>、</w:t>
            </w:r>
            <w:r>
              <w:rPr>
                <w:rFonts w:hint="eastAsia" w:ascii="宋体" w:hAnsi="宋体" w:eastAsia="宋体" w:cs="宋体"/>
                <w:color w:val="auto"/>
                <w:sz w:val="24"/>
                <w:szCs w:val="32"/>
                <w:highlight w:val="none"/>
                <w:lang w:val="en-US" w:eastAsia="zh-CN"/>
              </w:rPr>
              <w:t>04包</w:t>
            </w:r>
            <w:r>
              <w:rPr>
                <w:rFonts w:hint="eastAsia" w:cs="宋体"/>
                <w:color w:val="auto"/>
                <w:sz w:val="24"/>
                <w:szCs w:val="32"/>
                <w:highlight w:val="none"/>
                <w:lang w:val="en-US" w:eastAsia="zh-CN"/>
              </w:rPr>
              <w:t>、</w:t>
            </w:r>
            <w:r>
              <w:rPr>
                <w:rFonts w:hint="eastAsia" w:ascii="宋体" w:hAnsi="宋体" w:eastAsia="宋体" w:cs="宋体"/>
                <w:color w:val="auto"/>
                <w:sz w:val="24"/>
                <w:szCs w:val="32"/>
                <w:highlight w:val="none"/>
                <w:lang w:val="en-US" w:eastAsia="zh-CN"/>
              </w:rPr>
              <w:t>07包</w:t>
            </w:r>
            <w:r>
              <w:rPr>
                <w:rFonts w:hint="eastAsia" w:cs="宋体"/>
                <w:color w:val="auto"/>
                <w:sz w:val="24"/>
                <w:szCs w:val="32"/>
                <w:highlight w:val="none"/>
                <w:lang w:val="en-US" w:eastAsia="zh-CN"/>
              </w:rPr>
              <w:t>。</w:t>
            </w:r>
          </w:p>
          <w:p>
            <w:pPr>
              <w:jc w:val="both"/>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其中02包采购预算：761102.92元；</w:t>
            </w:r>
          </w:p>
          <w:p>
            <w:pPr>
              <w:ind w:firstLine="480" w:firstLineChars="200"/>
              <w:jc w:val="both"/>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03包采购预算：200171.40元；</w:t>
            </w:r>
          </w:p>
          <w:p>
            <w:pPr>
              <w:ind w:firstLine="480" w:firstLineChars="200"/>
              <w:jc w:val="both"/>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04包采购预算：499092.00元；</w:t>
            </w:r>
          </w:p>
          <w:p>
            <w:pPr>
              <w:ind w:firstLine="480" w:firstLineChars="200"/>
              <w:jc w:val="both"/>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07包采购预算：612900.00元。</w:t>
            </w:r>
          </w:p>
          <w:p>
            <w:pPr>
              <w:jc w:val="both"/>
              <w:rPr>
                <w:rFonts w:ascii="宋体" w:hAnsi="宋体" w:eastAsia="宋体" w:cs="宋体"/>
                <w:color w:val="auto"/>
                <w:highlight w:val="none"/>
                <w:vertAlign w:val="baseline"/>
              </w:rPr>
            </w:pPr>
            <w:r>
              <w:rPr>
                <w:rFonts w:hint="eastAsia" w:ascii="宋体" w:hAnsi="宋体" w:eastAsia="宋体" w:cs="宋体"/>
                <w:color w:val="auto"/>
                <w:highlight w:val="none"/>
                <w:vertAlign w:val="baseline"/>
                <w:lang w:val="zh-CN"/>
              </w:rPr>
              <w:t>超过采购预算的报价无效。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2" w:type="dxa"/>
            <w:tcBorders>
              <w:tl2br w:val="nil"/>
              <w:tr2bl w:val="nil"/>
            </w:tcBorders>
            <w:vAlign w:val="center"/>
          </w:tcPr>
          <w:p>
            <w:pPr>
              <w:numPr>
                <w:ilvl w:val="0"/>
                <w:numId w:val="2"/>
              </w:numPr>
              <w:ind w:left="0" w:leftChars="0" w:firstLine="0" w:firstLineChars="0"/>
              <w:jc w:val="center"/>
              <w:rPr>
                <w:rFonts w:ascii="宋体" w:hAnsi="宋体" w:eastAsia="宋体" w:cs="宋体"/>
                <w:color w:val="auto"/>
                <w:highlight w:val="none"/>
                <w:vertAlign w:val="baseline"/>
              </w:rPr>
            </w:pPr>
          </w:p>
        </w:tc>
        <w:tc>
          <w:tcPr>
            <w:tcW w:w="1821" w:type="dxa"/>
            <w:tcBorders>
              <w:tl2br w:val="nil"/>
              <w:tr2bl w:val="nil"/>
            </w:tcBorders>
            <w:vAlign w:val="center"/>
          </w:tcPr>
          <w:p>
            <w:pPr>
              <w:jc w:val="center"/>
              <w:rPr>
                <w:rFonts w:ascii="宋体" w:hAnsi="宋体" w:eastAsia="宋体" w:cs="宋体"/>
                <w:color w:val="auto"/>
                <w:highlight w:val="none"/>
                <w:vertAlign w:val="baseline"/>
              </w:rPr>
            </w:pPr>
            <w:r>
              <w:rPr>
                <w:rFonts w:hint="eastAsia" w:ascii="宋体" w:hAnsi="宋体" w:eastAsia="宋体" w:cs="宋体"/>
                <w:color w:val="auto"/>
                <w:highlight w:val="none"/>
                <w:vertAlign w:val="baseline"/>
              </w:rPr>
              <w:t>最高限价</w:t>
            </w:r>
          </w:p>
          <w:p>
            <w:pPr>
              <w:jc w:val="center"/>
              <w:rPr>
                <w:rFonts w:ascii="宋体" w:hAnsi="宋体" w:eastAsia="宋体" w:cs="宋体"/>
                <w:color w:val="auto"/>
                <w:highlight w:val="none"/>
                <w:vertAlign w:val="baseline"/>
              </w:rPr>
            </w:pPr>
            <w:r>
              <w:rPr>
                <w:rFonts w:hint="eastAsia" w:ascii="宋体" w:hAnsi="宋体" w:eastAsia="宋体" w:cs="宋体"/>
                <w:color w:val="auto"/>
                <w:highlight w:val="none"/>
                <w:vertAlign w:val="baseline"/>
              </w:rPr>
              <w:t>（实质性要求）</w:t>
            </w:r>
          </w:p>
        </w:tc>
        <w:tc>
          <w:tcPr>
            <w:tcW w:w="6537" w:type="dxa"/>
            <w:tcBorders>
              <w:tl2br w:val="nil"/>
              <w:tr2bl w:val="nil"/>
            </w:tcBorders>
            <w:vAlign w:val="center"/>
          </w:tcPr>
          <w:p>
            <w:pPr>
              <w:ind w:firstLine="240" w:firstLineChars="100"/>
              <w:jc w:val="both"/>
              <w:rPr>
                <w:rFonts w:hint="eastAsia" w:cs="宋体"/>
                <w:color w:val="auto"/>
                <w:sz w:val="24"/>
                <w:szCs w:val="32"/>
                <w:highlight w:val="none"/>
                <w:lang w:val="en-US" w:eastAsia="zh-CN"/>
              </w:rPr>
            </w:pPr>
            <w:r>
              <w:rPr>
                <w:rFonts w:hint="eastAsia" w:ascii="宋体" w:hAnsi="宋体" w:eastAsia="宋体" w:cs="宋体"/>
                <w:color w:val="auto"/>
                <w:highlight w:val="none"/>
                <w:vertAlign w:val="baseline"/>
                <w:lang w:val="zh-CN"/>
              </w:rPr>
              <w:t>最高限价：</w:t>
            </w:r>
            <w:r>
              <w:rPr>
                <w:rFonts w:hint="eastAsia" w:cs="宋体"/>
                <w:color w:val="auto"/>
                <w:sz w:val="24"/>
                <w:szCs w:val="32"/>
                <w:highlight w:val="none"/>
                <w:lang w:val="en-US" w:eastAsia="zh-CN"/>
              </w:rPr>
              <w:t>2073266.32</w:t>
            </w:r>
            <w:r>
              <w:rPr>
                <w:rFonts w:hint="eastAsia" w:ascii="宋体" w:hAnsi="宋体" w:eastAsia="宋体" w:cs="宋体"/>
                <w:color w:val="auto"/>
                <w:sz w:val="24"/>
                <w:szCs w:val="32"/>
                <w:highlight w:val="none"/>
                <w:lang w:val="en-US" w:eastAsia="zh-CN"/>
              </w:rPr>
              <w:t>元（大写：</w:t>
            </w:r>
            <w:r>
              <w:rPr>
                <w:rFonts w:hint="eastAsia" w:cs="宋体"/>
                <w:color w:val="auto"/>
                <w:sz w:val="24"/>
                <w:szCs w:val="32"/>
                <w:highlight w:val="none"/>
                <w:lang w:val="en-US" w:eastAsia="zh-CN"/>
              </w:rPr>
              <w:t>贰佰零柒万叁仟贰佰陆拾陆元叁角贰分</w:t>
            </w:r>
            <w:r>
              <w:rPr>
                <w:rFonts w:hint="eastAsia" w:ascii="宋体" w:hAnsi="宋体" w:eastAsia="宋体" w:cs="宋体"/>
                <w:color w:val="auto"/>
                <w:sz w:val="24"/>
                <w:szCs w:val="32"/>
                <w:highlight w:val="none"/>
                <w:lang w:val="en-US" w:eastAsia="zh-CN"/>
              </w:rPr>
              <w:t>）</w:t>
            </w:r>
            <w:r>
              <w:rPr>
                <w:rFonts w:hint="eastAsia" w:ascii="宋体" w:hAnsi="宋体" w:eastAsia="宋体" w:cs="宋体"/>
                <w:color w:val="auto"/>
                <w:highlight w:val="none"/>
                <w:vertAlign w:val="baseline"/>
                <w:lang w:eastAsia="zh-CN"/>
              </w:rPr>
              <w:t>；</w:t>
            </w:r>
            <w:r>
              <w:rPr>
                <w:rFonts w:hint="eastAsia" w:cs="宋体"/>
                <w:color w:val="auto"/>
                <w:highlight w:val="none"/>
                <w:vertAlign w:val="baseline"/>
                <w:lang w:val="en-US" w:eastAsia="zh-CN"/>
              </w:rPr>
              <w:t>本次最高限价包含</w:t>
            </w:r>
            <w:r>
              <w:rPr>
                <w:rFonts w:hint="eastAsia" w:ascii="宋体" w:hAnsi="宋体" w:eastAsia="宋体" w:cs="宋体"/>
                <w:color w:val="auto"/>
                <w:sz w:val="24"/>
                <w:szCs w:val="32"/>
                <w:highlight w:val="none"/>
                <w:lang w:val="en-US" w:eastAsia="zh-CN"/>
              </w:rPr>
              <w:t>02包</w:t>
            </w:r>
            <w:r>
              <w:rPr>
                <w:rFonts w:hint="eastAsia" w:cs="宋体"/>
                <w:color w:val="auto"/>
                <w:sz w:val="24"/>
                <w:szCs w:val="32"/>
                <w:highlight w:val="none"/>
                <w:lang w:val="en-US" w:eastAsia="zh-CN"/>
              </w:rPr>
              <w:t>、</w:t>
            </w:r>
            <w:r>
              <w:rPr>
                <w:rFonts w:hint="eastAsia" w:ascii="宋体" w:hAnsi="宋体" w:eastAsia="宋体" w:cs="宋体"/>
                <w:color w:val="auto"/>
                <w:sz w:val="24"/>
                <w:szCs w:val="32"/>
                <w:highlight w:val="none"/>
                <w:lang w:val="en-US" w:eastAsia="zh-CN"/>
              </w:rPr>
              <w:t>03包</w:t>
            </w:r>
            <w:r>
              <w:rPr>
                <w:rFonts w:hint="eastAsia" w:cs="宋体"/>
                <w:color w:val="auto"/>
                <w:sz w:val="24"/>
                <w:szCs w:val="32"/>
                <w:highlight w:val="none"/>
                <w:lang w:val="en-US" w:eastAsia="zh-CN"/>
              </w:rPr>
              <w:t>、</w:t>
            </w:r>
            <w:r>
              <w:rPr>
                <w:rFonts w:hint="eastAsia" w:ascii="宋体" w:hAnsi="宋体" w:eastAsia="宋体" w:cs="宋体"/>
                <w:color w:val="auto"/>
                <w:sz w:val="24"/>
                <w:szCs w:val="32"/>
                <w:highlight w:val="none"/>
                <w:lang w:val="en-US" w:eastAsia="zh-CN"/>
              </w:rPr>
              <w:t>04包</w:t>
            </w:r>
            <w:r>
              <w:rPr>
                <w:rFonts w:hint="eastAsia" w:cs="宋体"/>
                <w:color w:val="auto"/>
                <w:sz w:val="24"/>
                <w:szCs w:val="32"/>
                <w:highlight w:val="none"/>
                <w:lang w:val="en-US" w:eastAsia="zh-CN"/>
              </w:rPr>
              <w:t>、</w:t>
            </w:r>
            <w:r>
              <w:rPr>
                <w:rFonts w:hint="eastAsia" w:ascii="宋体" w:hAnsi="宋体" w:eastAsia="宋体" w:cs="宋体"/>
                <w:color w:val="auto"/>
                <w:sz w:val="24"/>
                <w:szCs w:val="32"/>
                <w:highlight w:val="none"/>
                <w:lang w:val="en-US" w:eastAsia="zh-CN"/>
              </w:rPr>
              <w:t>07包</w:t>
            </w:r>
            <w:r>
              <w:rPr>
                <w:rFonts w:hint="eastAsia" w:cs="宋体"/>
                <w:color w:val="auto"/>
                <w:sz w:val="24"/>
                <w:szCs w:val="32"/>
                <w:highlight w:val="none"/>
                <w:lang w:val="en-US" w:eastAsia="zh-CN"/>
              </w:rPr>
              <w:t>。</w:t>
            </w:r>
          </w:p>
          <w:p>
            <w:pPr>
              <w:jc w:val="both"/>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其中02包</w:t>
            </w:r>
            <w:r>
              <w:rPr>
                <w:rFonts w:hint="eastAsia" w:ascii="宋体" w:hAnsi="宋体" w:eastAsia="宋体" w:cs="宋体"/>
                <w:color w:val="auto"/>
                <w:highlight w:val="none"/>
                <w:vertAlign w:val="baseline"/>
                <w:lang w:val="zh-CN"/>
              </w:rPr>
              <w:t>最高限价</w:t>
            </w:r>
            <w:r>
              <w:rPr>
                <w:rFonts w:hint="eastAsia" w:ascii="宋体" w:hAnsi="宋体" w:eastAsia="宋体" w:cs="宋体"/>
                <w:color w:val="auto"/>
                <w:sz w:val="24"/>
                <w:szCs w:val="32"/>
                <w:highlight w:val="none"/>
                <w:lang w:val="en-US" w:eastAsia="zh-CN"/>
              </w:rPr>
              <w:t>：761102.92元；</w:t>
            </w:r>
          </w:p>
          <w:p>
            <w:pPr>
              <w:ind w:firstLine="480" w:firstLineChars="200"/>
              <w:jc w:val="both"/>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03包</w:t>
            </w:r>
            <w:r>
              <w:rPr>
                <w:rFonts w:hint="eastAsia" w:ascii="宋体" w:hAnsi="宋体" w:eastAsia="宋体" w:cs="宋体"/>
                <w:color w:val="auto"/>
                <w:highlight w:val="none"/>
                <w:vertAlign w:val="baseline"/>
                <w:lang w:val="zh-CN"/>
              </w:rPr>
              <w:t>最高限价</w:t>
            </w:r>
            <w:r>
              <w:rPr>
                <w:rFonts w:hint="eastAsia" w:ascii="宋体" w:hAnsi="宋体" w:eastAsia="宋体" w:cs="宋体"/>
                <w:color w:val="auto"/>
                <w:sz w:val="24"/>
                <w:szCs w:val="32"/>
                <w:highlight w:val="none"/>
                <w:lang w:val="en-US" w:eastAsia="zh-CN"/>
              </w:rPr>
              <w:t>：200171.40元；</w:t>
            </w:r>
          </w:p>
          <w:p>
            <w:pPr>
              <w:ind w:firstLine="480" w:firstLineChars="200"/>
              <w:jc w:val="both"/>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04包</w:t>
            </w:r>
            <w:r>
              <w:rPr>
                <w:rFonts w:hint="eastAsia" w:ascii="宋体" w:hAnsi="宋体" w:eastAsia="宋体" w:cs="宋体"/>
                <w:color w:val="auto"/>
                <w:highlight w:val="none"/>
                <w:vertAlign w:val="baseline"/>
                <w:lang w:val="zh-CN"/>
              </w:rPr>
              <w:t>最高限价</w:t>
            </w:r>
            <w:r>
              <w:rPr>
                <w:rFonts w:hint="eastAsia" w:ascii="宋体" w:hAnsi="宋体" w:eastAsia="宋体" w:cs="宋体"/>
                <w:color w:val="auto"/>
                <w:sz w:val="24"/>
                <w:szCs w:val="32"/>
                <w:highlight w:val="none"/>
                <w:lang w:val="en-US" w:eastAsia="zh-CN"/>
              </w:rPr>
              <w:t>：499092.00元；</w:t>
            </w:r>
          </w:p>
          <w:p>
            <w:pPr>
              <w:ind w:firstLine="480" w:firstLineChars="200"/>
              <w:jc w:val="both"/>
              <w:rPr>
                <w:rFonts w:hint="eastAsia" w:ascii="宋体" w:hAnsi="宋体" w:eastAsia="宋体" w:cs="宋体"/>
                <w:color w:val="auto"/>
                <w:highlight w:val="none"/>
                <w:vertAlign w:val="baseline"/>
                <w:lang w:eastAsia="zh-CN"/>
              </w:rPr>
            </w:pPr>
            <w:r>
              <w:rPr>
                <w:rFonts w:hint="eastAsia" w:ascii="宋体" w:hAnsi="宋体" w:eastAsia="宋体" w:cs="宋体"/>
                <w:color w:val="auto"/>
                <w:sz w:val="24"/>
                <w:szCs w:val="32"/>
                <w:highlight w:val="none"/>
                <w:lang w:val="en-US" w:eastAsia="zh-CN"/>
              </w:rPr>
              <w:t>07包</w:t>
            </w:r>
            <w:r>
              <w:rPr>
                <w:rFonts w:hint="eastAsia" w:ascii="宋体" w:hAnsi="宋体" w:eastAsia="宋体" w:cs="宋体"/>
                <w:color w:val="auto"/>
                <w:highlight w:val="none"/>
                <w:vertAlign w:val="baseline"/>
                <w:lang w:val="zh-CN"/>
              </w:rPr>
              <w:t>最高限价</w:t>
            </w:r>
            <w:r>
              <w:rPr>
                <w:rFonts w:hint="eastAsia" w:ascii="宋体" w:hAnsi="宋体" w:eastAsia="宋体" w:cs="宋体"/>
                <w:color w:val="auto"/>
                <w:sz w:val="24"/>
                <w:szCs w:val="32"/>
                <w:highlight w:val="none"/>
                <w:lang w:val="en-US" w:eastAsia="zh-CN"/>
              </w:rPr>
              <w:t>：612900.00元。</w:t>
            </w:r>
          </w:p>
          <w:p>
            <w:pPr>
              <w:jc w:val="both"/>
              <w:rPr>
                <w:rFonts w:ascii="宋体" w:hAnsi="宋体" w:eastAsia="宋体" w:cs="宋体"/>
                <w:color w:val="auto"/>
                <w:highlight w:val="none"/>
                <w:vertAlign w:val="baseline"/>
              </w:rPr>
            </w:pPr>
            <w:r>
              <w:rPr>
                <w:rFonts w:hint="eastAsia" w:ascii="宋体" w:hAnsi="宋体" w:eastAsia="宋体" w:cs="宋体"/>
                <w:color w:val="auto"/>
                <w:highlight w:val="none"/>
                <w:vertAlign w:val="baseline"/>
                <w:lang w:val="zh-CN"/>
              </w:rPr>
              <w:t>超过最高限价的报价无效。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2" w:type="dxa"/>
            <w:tcBorders>
              <w:tl2br w:val="nil"/>
              <w:tr2bl w:val="nil"/>
            </w:tcBorders>
            <w:vAlign w:val="center"/>
          </w:tcPr>
          <w:p>
            <w:pPr>
              <w:numPr>
                <w:ilvl w:val="0"/>
                <w:numId w:val="2"/>
              </w:numPr>
              <w:ind w:left="0" w:leftChars="0" w:firstLine="0" w:firstLineChars="0"/>
              <w:jc w:val="center"/>
              <w:rPr>
                <w:rFonts w:ascii="宋体" w:hAnsi="宋体" w:eastAsia="宋体" w:cs="宋体"/>
                <w:color w:val="auto"/>
                <w:highlight w:val="none"/>
                <w:vertAlign w:val="baseline"/>
              </w:rPr>
            </w:pPr>
          </w:p>
        </w:tc>
        <w:tc>
          <w:tcPr>
            <w:tcW w:w="1821" w:type="dxa"/>
            <w:tcBorders>
              <w:tl2br w:val="nil"/>
              <w:tr2bl w:val="nil"/>
            </w:tcBorders>
            <w:vAlign w:val="center"/>
          </w:tcPr>
          <w:p>
            <w:pPr>
              <w:jc w:val="center"/>
              <w:rPr>
                <w:rFonts w:ascii="宋体" w:hAnsi="宋体" w:eastAsia="宋体" w:cs="宋体"/>
                <w:color w:val="auto"/>
                <w:highlight w:val="none"/>
                <w:vertAlign w:val="baseline"/>
              </w:rPr>
            </w:pPr>
            <w:r>
              <w:rPr>
                <w:rFonts w:hint="eastAsia" w:ascii="宋体" w:hAnsi="宋体" w:eastAsia="宋体" w:cs="宋体"/>
                <w:color w:val="auto"/>
                <w:highlight w:val="none"/>
                <w:vertAlign w:val="baseline"/>
              </w:rPr>
              <w:t>低于成本价不正</w:t>
            </w:r>
          </w:p>
          <w:p>
            <w:pPr>
              <w:jc w:val="center"/>
              <w:rPr>
                <w:rFonts w:ascii="宋体" w:hAnsi="宋体" w:eastAsia="宋体" w:cs="宋体"/>
                <w:color w:val="auto"/>
                <w:highlight w:val="none"/>
                <w:vertAlign w:val="baseline"/>
              </w:rPr>
            </w:pPr>
            <w:r>
              <w:rPr>
                <w:rFonts w:hint="eastAsia" w:ascii="宋体" w:hAnsi="宋体" w:eastAsia="宋体" w:cs="宋体"/>
                <w:color w:val="auto"/>
                <w:highlight w:val="none"/>
                <w:vertAlign w:val="baseline"/>
              </w:rPr>
              <w:t>当竞争预防措施</w:t>
            </w:r>
          </w:p>
          <w:p>
            <w:pPr>
              <w:jc w:val="center"/>
              <w:rPr>
                <w:rFonts w:ascii="宋体" w:hAnsi="宋体" w:eastAsia="宋体" w:cs="宋体"/>
                <w:color w:val="auto"/>
                <w:highlight w:val="none"/>
                <w:vertAlign w:val="baseline"/>
              </w:rPr>
            </w:pPr>
            <w:r>
              <w:rPr>
                <w:rFonts w:hint="eastAsia" w:ascii="宋体" w:hAnsi="宋体" w:eastAsia="宋体" w:cs="宋体"/>
                <w:color w:val="auto"/>
                <w:highlight w:val="none"/>
                <w:vertAlign w:val="baseline"/>
              </w:rPr>
              <w:t>（实质性要求）</w:t>
            </w:r>
          </w:p>
        </w:tc>
        <w:tc>
          <w:tcPr>
            <w:tcW w:w="6537" w:type="dxa"/>
            <w:tcBorders>
              <w:tl2br w:val="nil"/>
              <w:tr2bl w:val="nil"/>
            </w:tcBorders>
            <w:vAlign w:val="center"/>
          </w:tcPr>
          <w:p>
            <w:pPr>
              <w:jc w:val="both"/>
              <w:rPr>
                <w:rFonts w:ascii="宋体" w:hAnsi="宋体" w:eastAsia="宋体" w:cs="宋体"/>
                <w:color w:val="auto"/>
                <w:highlight w:val="none"/>
                <w:vertAlign w:val="baseline"/>
              </w:rPr>
            </w:pPr>
            <w:r>
              <w:rPr>
                <w:rFonts w:hint="eastAsia" w:ascii="宋体" w:hAnsi="宋体" w:eastAsia="宋体" w:cs="宋体"/>
                <w:color w:val="auto"/>
                <w:highlight w:val="none"/>
                <w:vertAlign w:val="baseline"/>
              </w:rPr>
              <w:t>评标委员会认为投标人的报价明显低于其他通过符合性审查投标人的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jc w:val="both"/>
              <w:rPr>
                <w:rFonts w:ascii="宋体" w:hAnsi="宋体" w:eastAsia="宋体" w:cs="宋体"/>
                <w:color w:val="auto"/>
                <w:highlight w:val="none"/>
                <w:vertAlign w:val="baseline"/>
              </w:rPr>
            </w:pPr>
            <w:r>
              <w:rPr>
                <w:rFonts w:hint="eastAsia" w:ascii="宋体" w:hAnsi="宋体" w:eastAsia="宋体" w:cs="宋体"/>
                <w:color w:val="auto"/>
                <w:highlight w:val="none"/>
                <w:vertAlign w:val="baseline"/>
              </w:rPr>
              <w:t>供应商书面说明应当签字确认或者加盖公章，否则无效。书面说明的签字确认，供应商为法人的，由其发法定代表人或者代理人签字确认；供应商为其他组织的，由其主要负责人或者代理人签字确认；供应商为自然人的，由其本人或者代理人签字确认。供应商提交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2" w:type="dxa"/>
            <w:tcBorders>
              <w:tl2br w:val="nil"/>
              <w:tr2bl w:val="nil"/>
            </w:tcBorders>
            <w:vAlign w:val="center"/>
          </w:tcPr>
          <w:p>
            <w:pPr>
              <w:numPr>
                <w:ilvl w:val="0"/>
                <w:numId w:val="2"/>
              </w:numPr>
              <w:ind w:left="0" w:leftChars="0" w:firstLine="0" w:firstLineChars="0"/>
              <w:jc w:val="center"/>
              <w:rPr>
                <w:rFonts w:ascii="宋体" w:hAnsi="宋体" w:eastAsia="宋体" w:cs="宋体"/>
                <w:color w:val="auto"/>
                <w:highlight w:val="none"/>
                <w:vertAlign w:val="baseline"/>
              </w:rPr>
            </w:pPr>
          </w:p>
        </w:tc>
        <w:tc>
          <w:tcPr>
            <w:tcW w:w="1821" w:type="dxa"/>
            <w:tcBorders>
              <w:tl2br w:val="nil"/>
              <w:tr2bl w:val="nil"/>
            </w:tcBorders>
            <w:vAlign w:val="center"/>
          </w:tcPr>
          <w:p>
            <w:pPr>
              <w:jc w:val="center"/>
              <w:rPr>
                <w:rFonts w:ascii="宋体" w:hAnsi="宋体" w:eastAsia="宋体" w:cs="宋体"/>
                <w:color w:val="auto"/>
                <w:highlight w:val="none"/>
                <w:vertAlign w:val="baseline"/>
              </w:rPr>
            </w:pPr>
            <w:r>
              <w:rPr>
                <w:rFonts w:hint="eastAsia" w:ascii="宋体" w:hAnsi="宋体" w:eastAsia="宋体" w:cs="宋体"/>
                <w:color w:val="auto"/>
                <w:highlight w:val="none"/>
                <w:vertAlign w:val="baseline"/>
              </w:rPr>
              <w:t>小微企业（监狱企业</w:t>
            </w:r>
            <w:r>
              <w:rPr>
                <w:rFonts w:hint="eastAsia" w:ascii="宋体" w:hAnsi="宋体" w:eastAsia="宋体" w:cs="宋体"/>
                <w:color w:val="auto"/>
                <w:highlight w:val="none"/>
                <w:vertAlign w:val="baseline"/>
                <w:lang w:eastAsia="zh-CN"/>
              </w:rPr>
              <w:t>、</w:t>
            </w:r>
            <w:r>
              <w:rPr>
                <w:rFonts w:hint="eastAsia" w:ascii="宋体" w:hAnsi="宋体" w:eastAsia="宋体" w:cs="宋体"/>
                <w:color w:val="auto"/>
                <w:highlight w:val="none"/>
                <w:vertAlign w:val="baseline"/>
                <w:lang w:val="zh-CN" w:eastAsia="zh-CN"/>
              </w:rPr>
              <w:t>残疾人福利性单位</w:t>
            </w:r>
            <w:r>
              <w:rPr>
                <w:rFonts w:hint="eastAsia" w:ascii="宋体" w:hAnsi="宋体" w:eastAsia="宋体" w:cs="宋体"/>
                <w:color w:val="auto"/>
                <w:highlight w:val="none"/>
                <w:vertAlign w:val="baseline"/>
              </w:rPr>
              <w:t>视同小微企业）价格扣除</w:t>
            </w:r>
          </w:p>
          <w:p>
            <w:pPr>
              <w:jc w:val="center"/>
              <w:rPr>
                <w:rFonts w:ascii="宋体" w:hAnsi="宋体" w:eastAsia="宋体" w:cs="宋体"/>
                <w:color w:val="auto"/>
                <w:highlight w:val="none"/>
                <w:vertAlign w:val="baseline"/>
              </w:rPr>
            </w:pPr>
            <w:r>
              <w:rPr>
                <w:rFonts w:hint="eastAsia" w:ascii="宋体" w:hAnsi="宋体" w:eastAsia="宋体" w:cs="宋体"/>
                <w:color w:val="auto"/>
                <w:highlight w:val="none"/>
                <w:vertAlign w:val="baseline"/>
              </w:rPr>
              <w:t>（实质性要求）</w:t>
            </w:r>
          </w:p>
        </w:tc>
        <w:tc>
          <w:tcPr>
            <w:tcW w:w="6537" w:type="dxa"/>
            <w:tcBorders>
              <w:tl2br w:val="nil"/>
              <w:tr2bl w:val="nil"/>
            </w:tcBorders>
            <w:vAlign w:val="center"/>
          </w:tcPr>
          <w:p>
            <w:pPr>
              <w:widowControl w:val="0"/>
              <w:autoSpaceDE w:val="0"/>
              <w:autoSpaceDN w:val="0"/>
              <w:adjustRightInd w:val="0"/>
              <w:spacing w:line="360" w:lineRule="auto"/>
              <w:ind w:right="120" w:rightChars="50"/>
              <w:jc w:val="both"/>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一、小微企业价格扣除</w:t>
            </w:r>
          </w:p>
          <w:p>
            <w:pPr>
              <w:widowControl w:val="0"/>
              <w:autoSpaceDE w:val="0"/>
              <w:autoSpaceDN w:val="0"/>
              <w:adjustRightInd w:val="0"/>
              <w:spacing w:line="360" w:lineRule="auto"/>
              <w:ind w:right="120" w:rightChars="5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根据《政府采购促进中小企业发展管理办法》(财库〔2020〕46号)及四川省财政厅四川省经济和信息化委员会中国人民银行成都分行关于印发《四川省政府采购促进中小企业发展的若干规定》的通知（川财采〔2016〕35号）的规定，对小型和微型企业产品的价格给予</w:t>
            </w:r>
            <w:r>
              <w:rPr>
                <w:rFonts w:hint="eastAsia" w:ascii="宋体" w:hAnsi="宋体" w:eastAsia="宋体" w:cs="宋体"/>
                <w:color w:val="auto"/>
                <w:sz w:val="24"/>
                <w:szCs w:val="24"/>
                <w:highlight w:val="none"/>
                <w:u w:val="single"/>
                <w:lang w:val="en-US" w:eastAsia="zh-CN" w:bidi="ar-SA"/>
              </w:rPr>
              <w:t xml:space="preserve"> </w:t>
            </w:r>
            <w:r>
              <w:rPr>
                <w:rFonts w:hint="eastAsia" w:cs="宋体"/>
                <w:color w:val="auto"/>
                <w:sz w:val="24"/>
                <w:szCs w:val="24"/>
                <w:highlight w:val="none"/>
                <w:u w:val="single"/>
                <w:lang w:val="en-US" w:eastAsia="zh-CN" w:bidi="ar-SA"/>
              </w:rPr>
              <w:t>15</w:t>
            </w:r>
            <w:r>
              <w:rPr>
                <w:rFonts w:hint="eastAsia" w:ascii="宋体" w:hAnsi="宋体" w:eastAsia="宋体" w:cs="宋体"/>
                <w:color w:val="auto"/>
                <w:sz w:val="24"/>
                <w:szCs w:val="24"/>
                <w:highlight w:val="none"/>
                <w:u w:val="single"/>
                <w:lang w:val="en-US" w:eastAsia="zh-CN" w:bidi="ar-SA"/>
              </w:rPr>
              <w:t xml:space="preserve"> </w:t>
            </w:r>
            <w:r>
              <w:rPr>
                <w:rFonts w:hint="eastAsia" w:ascii="宋体" w:hAnsi="宋体" w:eastAsia="宋体" w:cs="宋体"/>
                <w:color w:val="auto"/>
                <w:sz w:val="24"/>
                <w:szCs w:val="24"/>
                <w:highlight w:val="none"/>
                <w:lang w:val="en-US" w:eastAsia="zh-CN" w:bidi="ar-SA"/>
              </w:rPr>
              <w:t>%的价格扣除，用扣除后的价格参与评审。</w:t>
            </w:r>
          </w:p>
          <w:p>
            <w:pPr>
              <w:widowControl w:val="0"/>
              <w:autoSpaceDE w:val="0"/>
              <w:autoSpaceDN w:val="0"/>
              <w:adjustRightInd w:val="0"/>
              <w:spacing w:line="360" w:lineRule="auto"/>
              <w:ind w:right="120" w:rightChars="5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2.参加政府采购活动的中小企业应当提供《中小企业声明函》原件。</w:t>
            </w:r>
          </w:p>
          <w:p>
            <w:pPr>
              <w:widowControl w:val="0"/>
              <w:autoSpaceDE w:val="0"/>
              <w:autoSpaceDN w:val="0"/>
              <w:adjustRightInd w:val="0"/>
              <w:spacing w:line="360" w:lineRule="auto"/>
              <w:ind w:right="120" w:rightChars="5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3.供应商参加政府采购活动时，提供虚假《中小企业声明函》的，以提供虚假材料谋取中标、成交予以认定处理。</w:t>
            </w:r>
          </w:p>
          <w:p>
            <w:pPr>
              <w:widowControl w:val="0"/>
              <w:autoSpaceDE w:val="0"/>
              <w:autoSpaceDN w:val="0"/>
              <w:adjustRightInd w:val="0"/>
              <w:spacing w:line="360" w:lineRule="auto"/>
              <w:ind w:right="120" w:rightChars="50"/>
              <w:jc w:val="both"/>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二、监狱企业价格扣除</w:t>
            </w:r>
          </w:p>
          <w:p>
            <w:pPr>
              <w:widowControl w:val="0"/>
              <w:autoSpaceDE w:val="0"/>
              <w:autoSpaceDN w:val="0"/>
              <w:adjustRightInd w:val="0"/>
              <w:spacing w:line="360" w:lineRule="auto"/>
              <w:ind w:right="120" w:rightChars="5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根据财政部司法部关于政府采购支持监狱企业发展有关问题的通知财库〔2014〕68号的规定，在政府采购活动中，监狱企业视同小型、微型企业，享受预留份额、评审中价格扣除等政府采购促进中小企业发展的政府采购政策。</w:t>
            </w:r>
          </w:p>
          <w:p>
            <w:pPr>
              <w:widowControl w:val="0"/>
              <w:autoSpaceDE w:val="0"/>
              <w:autoSpaceDN w:val="0"/>
              <w:adjustRightInd w:val="0"/>
              <w:spacing w:line="360" w:lineRule="auto"/>
              <w:ind w:right="120" w:rightChars="5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2.本项目对监狱企业参与报价的价格给予</w:t>
            </w:r>
            <w:r>
              <w:rPr>
                <w:rFonts w:hint="eastAsia" w:ascii="宋体" w:hAnsi="宋体" w:eastAsia="宋体" w:cs="宋体"/>
                <w:color w:val="auto"/>
                <w:sz w:val="24"/>
                <w:szCs w:val="24"/>
                <w:highlight w:val="none"/>
                <w:u w:val="single"/>
                <w:lang w:val="en-US" w:eastAsia="zh-CN" w:bidi="ar-SA"/>
              </w:rPr>
              <w:t xml:space="preserve"> </w:t>
            </w:r>
            <w:r>
              <w:rPr>
                <w:rFonts w:hint="eastAsia" w:cs="宋体"/>
                <w:color w:val="auto"/>
                <w:sz w:val="24"/>
                <w:szCs w:val="24"/>
                <w:highlight w:val="none"/>
                <w:u w:val="single"/>
                <w:lang w:val="en-US" w:eastAsia="zh-CN" w:bidi="ar-SA"/>
              </w:rPr>
              <w:t>15</w:t>
            </w:r>
            <w:r>
              <w:rPr>
                <w:rFonts w:hint="eastAsia" w:ascii="宋体" w:hAnsi="宋体" w:eastAsia="宋体" w:cs="宋体"/>
                <w:color w:val="auto"/>
                <w:sz w:val="24"/>
                <w:szCs w:val="24"/>
                <w:highlight w:val="none"/>
                <w:u w:val="single"/>
                <w:lang w:val="en-US" w:eastAsia="zh-CN" w:bidi="ar-SA"/>
              </w:rPr>
              <w:t xml:space="preserve">% </w:t>
            </w:r>
            <w:r>
              <w:rPr>
                <w:rFonts w:hint="eastAsia" w:ascii="宋体" w:hAnsi="宋体" w:eastAsia="宋体" w:cs="宋体"/>
                <w:color w:val="auto"/>
                <w:sz w:val="24"/>
                <w:szCs w:val="24"/>
                <w:highlight w:val="none"/>
                <w:lang w:val="en-US" w:eastAsia="zh-CN" w:bidi="ar-SA"/>
              </w:rPr>
              <w:t>的扣除，用除后的价格参与评审。</w:t>
            </w:r>
          </w:p>
          <w:p>
            <w:pPr>
              <w:widowControl w:val="0"/>
              <w:autoSpaceDE w:val="0"/>
              <w:autoSpaceDN w:val="0"/>
              <w:adjustRightInd w:val="0"/>
              <w:spacing w:line="360" w:lineRule="auto"/>
              <w:ind w:right="120" w:rightChars="5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3.监狱企业参加政府采购活动时，应当提供由省级以上监狱管理局、戒毒管理局(含新疆生产建设兵团)出具的属于监狱企业的证明文件。</w:t>
            </w:r>
          </w:p>
          <w:p>
            <w:pPr>
              <w:widowControl w:val="0"/>
              <w:autoSpaceDE w:val="0"/>
              <w:autoSpaceDN w:val="0"/>
              <w:adjustRightInd w:val="0"/>
              <w:spacing w:line="360" w:lineRule="auto"/>
              <w:ind w:right="120" w:rightChars="5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4.监狱企业属于小型、微型企业的，不重复享受政策。</w:t>
            </w:r>
          </w:p>
          <w:p>
            <w:pPr>
              <w:widowControl w:val="0"/>
              <w:autoSpaceDE w:val="0"/>
              <w:autoSpaceDN w:val="0"/>
              <w:adjustRightInd w:val="0"/>
              <w:spacing w:line="360" w:lineRule="auto"/>
              <w:ind w:right="120" w:rightChars="50"/>
              <w:jc w:val="both"/>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三、残疾人福利性单位价格扣除</w:t>
            </w:r>
          </w:p>
          <w:p>
            <w:pPr>
              <w:widowControl w:val="0"/>
              <w:autoSpaceDE w:val="0"/>
              <w:autoSpaceDN w:val="0"/>
              <w:adjustRightInd w:val="0"/>
              <w:spacing w:line="360" w:lineRule="auto"/>
              <w:ind w:right="120" w:rightChars="5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根据《三部门联合发布关于促进残疾人就业政府采购政策的通知》(财库〔2017〕141号)的要求，在政府采购活动中，残疾人福利性单位视同小型、微型企业，享受预留份额、评审中价格扣除等促进中小企业发展的政府采购政策。残疾人福利性单位属于小型、微型企业的，不重复享受政策。</w:t>
            </w:r>
          </w:p>
          <w:p>
            <w:pPr>
              <w:widowControl w:val="0"/>
              <w:autoSpaceDE w:val="0"/>
              <w:autoSpaceDN w:val="0"/>
              <w:adjustRightInd w:val="0"/>
              <w:spacing w:line="360" w:lineRule="auto"/>
              <w:ind w:right="120" w:rightChars="5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2.本项目对残疾人福利性单位参与报价的价格给予</w:t>
            </w:r>
            <w:r>
              <w:rPr>
                <w:rFonts w:hint="eastAsia" w:ascii="宋体" w:hAnsi="宋体" w:eastAsia="宋体" w:cs="宋体"/>
                <w:color w:val="auto"/>
                <w:sz w:val="24"/>
                <w:szCs w:val="24"/>
                <w:highlight w:val="none"/>
                <w:u w:val="single"/>
                <w:lang w:val="en-US" w:eastAsia="zh-CN" w:bidi="ar-SA"/>
              </w:rPr>
              <w:t xml:space="preserve"> </w:t>
            </w:r>
            <w:r>
              <w:rPr>
                <w:rFonts w:hint="eastAsia" w:cs="宋体"/>
                <w:color w:val="auto"/>
                <w:sz w:val="24"/>
                <w:szCs w:val="24"/>
                <w:highlight w:val="none"/>
                <w:u w:val="single"/>
                <w:lang w:val="en-US" w:eastAsia="zh-CN" w:bidi="ar-SA"/>
              </w:rPr>
              <w:t>15</w:t>
            </w:r>
            <w:r>
              <w:rPr>
                <w:rFonts w:hint="eastAsia" w:ascii="宋体" w:hAnsi="宋体" w:eastAsia="宋体" w:cs="宋体"/>
                <w:color w:val="auto"/>
                <w:sz w:val="24"/>
                <w:szCs w:val="24"/>
                <w:highlight w:val="none"/>
                <w:u w:val="single"/>
                <w:lang w:val="en-US" w:eastAsia="zh-CN" w:bidi="ar-SA"/>
              </w:rPr>
              <w:t xml:space="preserve">% </w:t>
            </w:r>
            <w:r>
              <w:rPr>
                <w:rFonts w:hint="eastAsia" w:ascii="宋体" w:hAnsi="宋体" w:eastAsia="宋体" w:cs="宋体"/>
                <w:color w:val="auto"/>
                <w:sz w:val="24"/>
                <w:szCs w:val="24"/>
                <w:highlight w:val="none"/>
                <w:lang w:val="en-US" w:eastAsia="zh-CN" w:bidi="ar-SA"/>
              </w:rPr>
              <w:t>的除，用扣除后的价格参与评审。</w:t>
            </w:r>
          </w:p>
          <w:p>
            <w:pPr>
              <w:widowControl w:val="0"/>
              <w:autoSpaceDE w:val="0"/>
              <w:autoSpaceDN w:val="0"/>
              <w:adjustRightInd w:val="0"/>
              <w:spacing w:line="360" w:lineRule="auto"/>
              <w:ind w:right="120" w:rightChars="5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3.残疾人福利性单位参加政府采购活动时，应当提供本通知规定的《残疾人福利性单位声明函》(见响应文件格式)</w:t>
            </w:r>
          </w:p>
          <w:p>
            <w:pPr>
              <w:widowControl w:val="0"/>
              <w:autoSpaceDE w:val="0"/>
              <w:autoSpaceDN w:val="0"/>
              <w:adjustRightInd w:val="0"/>
              <w:spacing w:line="360" w:lineRule="auto"/>
              <w:ind w:right="120" w:rightChars="50"/>
              <w:jc w:val="both"/>
              <w:rPr>
                <w:rFonts w:hint="default"/>
                <w:color w:val="auto"/>
                <w:highlight w:val="none"/>
                <w:lang w:val="en-US" w:eastAsia="zh-CN"/>
              </w:rPr>
            </w:pPr>
            <w:r>
              <w:rPr>
                <w:rFonts w:hint="eastAsia" w:ascii="宋体" w:hAnsi="宋体" w:eastAsia="宋体" w:cs="宋体"/>
                <w:color w:val="auto"/>
                <w:sz w:val="24"/>
                <w:szCs w:val="24"/>
                <w:highlight w:val="none"/>
                <w:lang w:val="en-US" w:eastAsia="zh-CN" w:bidi="ar-SA"/>
              </w:rPr>
              <w:t>4.供应商提供的《残疾人福利性单位声明函》与事实不符的，依照《政府采购法》第七十七条第一款的规定追究法律责任。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2" w:type="dxa"/>
            <w:tcBorders>
              <w:tl2br w:val="nil"/>
              <w:tr2bl w:val="nil"/>
            </w:tcBorders>
            <w:vAlign w:val="center"/>
          </w:tcPr>
          <w:p>
            <w:pPr>
              <w:numPr>
                <w:ilvl w:val="0"/>
                <w:numId w:val="2"/>
              </w:numPr>
              <w:ind w:left="0" w:leftChars="0" w:firstLine="0" w:firstLineChars="0"/>
              <w:jc w:val="center"/>
              <w:rPr>
                <w:rFonts w:ascii="宋体" w:hAnsi="宋体" w:eastAsia="宋体" w:cs="宋体"/>
                <w:color w:val="auto"/>
                <w:highlight w:val="none"/>
                <w:vertAlign w:val="baseline"/>
              </w:rPr>
            </w:pPr>
          </w:p>
        </w:tc>
        <w:tc>
          <w:tcPr>
            <w:tcW w:w="1821" w:type="dxa"/>
            <w:tcBorders>
              <w:tl2br w:val="nil"/>
              <w:tr2bl w:val="nil"/>
            </w:tcBorders>
            <w:vAlign w:val="center"/>
          </w:tcPr>
          <w:p>
            <w:pPr>
              <w:widowControl/>
              <w:jc w:val="center"/>
              <w:rPr>
                <w:rFonts w:hint="eastAsia" w:cs="宋体"/>
                <w:color w:val="auto"/>
                <w:kern w:val="0"/>
                <w:highlight w:val="none"/>
                <w:lang w:bidi="ar"/>
              </w:rPr>
            </w:pPr>
            <w:r>
              <w:rPr>
                <w:rFonts w:hint="eastAsia" w:cs="宋体"/>
                <w:color w:val="auto"/>
                <w:kern w:val="0"/>
                <w:highlight w:val="none"/>
                <w:lang w:bidi="ar"/>
              </w:rPr>
              <w:t>政府采购政策</w:t>
            </w:r>
          </w:p>
          <w:p>
            <w:pPr>
              <w:jc w:val="center"/>
              <w:rPr>
                <w:rFonts w:ascii="宋体" w:hAnsi="宋体" w:eastAsia="宋体" w:cs="宋体"/>
                <w:color w:val="auto"/>
                <w:highlight w:val="none"/>
                <w:vertAlign w:val="baseline"/>
              </w:rPr>
            </w:pPr>
            <w:r>
              <w:rPr>
                <w:rFonts w:hint="eastAsia" w:cs="宋体"/>
                <w:color w:val="auto"/>
                <w:kern w:val="0"/>
                <w:highlight w:val="none"/>
                <w:lang w:eastAsia="zh-CN" w:bidi="ar"/>
              </w:rPr>
              <w:t>（</w:t>
            </w:r>
            <w:r>
              <w:rPr>
                <w:rFonts w:hint="eastAsia" w:cs="宋体"/>
                <w:color w:val="auto"/>
                <w:kern w:val="0"/>
                <w:highlight w:val="none"/>
                <w:lang w:val="en-US" w:eastAsia="zh-CN" w:bidi="ar"/>
              </w:rPr>
              <w:t>实质性要求</w:t>
            </w:r>
            <w:r>
              <w:rPr>
                <w:rFonts w:hint="eastAsia" w:cs="宋体"/>
                <w:color w:val="auto"/>
                <w:kern w:val="0"/>
                <w:highlight w:val="none"/>
                <w:lang w:eastAsia="zh-CN" w:bidi="ar"/>
              </w:rPr>
              <w:t>）</w:t>
            </w:r>
          </w:p>
        </w:tc>
        <w:tc>
          <w:tcPr>
            <w:tcW w:w="6537" w:type="dxa"/>
            <w:tcBorders>
              <w:tl2br w:val="nil"/>
              <w:tr2bl w:val="nil"/>
            </w:tcBorders>
            <w:vAlign w:val="center"/>
          </w:tcPr>
          <w:p>
            <w:pPr>
              <w:widowControl/>
              <w:jc w:val="left"/>
              <w:rPr>
                <w:rFonts w:hint="eastAsia"/>
                <w:color w:val="auto"/>
                <w:highlight w:val="none"/>
              </w:rPr>
            </w:pPr>
            <w:r>
              <w:rPr>
                <w:rFonts w:hint="eastAsia"/>
                <w:color w:val="auto"/>
                <w:highlight w:val="none"/>
              </w:rPr>
              <w:t>一、节能、环保产品政府采购政策：</w:t>
            </w:r>
          </w:p>
          <w:p>
            <w:pPr>
              <w:widowControl/>
              <w:jc w:val="left"/>
              <w:rPr>
                <w:rFonts w:hint="eastAsia"/>
                <w:color w:val="auto"/>
                <w:highlight w:val="none"/>
              </w:rPr>
            </w:pPr>
            <w:r>
              <w:rPr>
                <w:rFonts w:hint="eastAsia"/>
                <w:color w:val="auto"/>
                <w:highlight w:val="none"/>
              </w:rPr>
              <w:t>根据《财政部发展改革委生态环境部市场监管总局关于调整优化节能产品、环境标志产品政府采购执行机制的通知》（财库〔2019〕9号）相关要求，依据品目清单和认证证书实施政府优先采购和强制采购。本项目采购的产品属于品目清单范围的，依据国家确定的认证机构出具的、处于有效期之内的节能产品、环境标志产品认证信息，对通过认证的的产品实施政府优先采购或强制采购。</w:t>
            </w:r>
          </w:p>
          <w:p>
            <w:pPr>
              <w:widowControl/>
              <w:jc w:val="left"/>
              <w:rPr>
                <w:rFonts w:hint="eastAsia"/>
                <w:color w:val="auto"/>
                <w:highlight w:val="none"/>
                <w:lang w:eastAsia="zh-CN"/>
              </w:rPr>
            </w:pPr>
            <w:r>
              <w:rPr>
                <w:rFonts w:hint="eastAsia"/>
                <w:color w:val="auto"/>
                <w:highlight w:val="none"/>
              </w:rPr>
              <w:t>本项目采购的产品属于品目清单强制采购范围的，供应商应当在响应文件中提供国家确定的认证机构出具的处于有效期内的节能产品认证证书复印件并加盖供应商公章（鲜章），否则其响应文件按无效处理。</w:t>
            </w:r>
          </w:p>
          <w:p>
            <w:pPr>
              <w:widowControl/>
              <w:jc w:val="left"/>
              <w:rPr>
                <w:rFonts w:hint="eastAsia"/>
                <w:color w:val="auto"/>
                <w:highlight w:val="none"/>
              </w:rPr>
            </w:pPr>
            <w:r>
              <w:rPr>
                <w:rFonts w:hint="eastAsia"/>
                <w:color w:val="auto"/>
                <w:highlight w:val="none"/>
              </w:rPr>
              <w:t>本项目采购的产品属于品目清单优先采购范围的，对获得证书的产品实施政府优先采购。</w:t>
            </w:r>
          </w:p>
          <w:p>
            <w:pPr>
              <w:widowControl/>
              <w:jc w:val="left"/>
              <w:rPr>
                <w:rFonts w:hint="eastAsia"/>
                <w:color w:val="auto"/>
                <w:highlight w:val="none"/>
              </w:rPr>
            </w:pPr>
            <w:r>
              <w:rPr>
                <w:rFonts w:hint="eastAsia"/>
                <w:color w:val="auto"/>
                <w:highlight w:val="none"/>
              </w:rPr>
              <w:t>注：对政府采购节能产品、环境标志产品实施品目清单管理。财政部、发展改革委、生态环境部等部门确定实施政府优先采购和强制采购的产品类别，以品目清单的形式发布并适时调整。</w:t>
            </w:r>
          </w:p>
          <w:p>
            <w:pPr>
              <w:widowControl/>
              <w:jc w:val="left"/>
              <w:rPr>
                <w:rFonts w:hint="eastAsia"/>
                <w:color w:val="auto"/>
                <w:highlight w:val="none"/>
              </w:rPr>
            </w:pPr>
            <w:r>
              <w:rPr>
                <w:rFonts w:hint="eastAsia"/>
                <w:color w:val="auto"/>
                <w:highlight w:val="none"/>
              </w:rPr>
              <w:t>二、无线局域网产品政府采购政策：</w:t>
            </w:r>
          </w:p>
          <w:p>
            <w:pPr>
              <w:jc w:val="both"/>
              <w:rPr>
                <w:rFonts w:hint="eastAsia"/>
                <w:color w:val="auto"/>
                <w:highlight w:val="none"/>
                <w:lang w:val="en-US" w:eastAsia="zh-CN"/>
              </w:rPr>
            </w:pPr>
            <w:r>
              <w:rPr>
                <w:rFonts w:hint="eastAsia"/>
                <w:color w:val="auto"/>
                <w:highlight w:val="none"/>
              </w:rPr>
              <w:t>本项目采购的产品属于中国政府采购网公布的《无线局域网认证产品政府采购清单》且在有效期内的,供应商在响应文件中可提供该产品政府采购清单对应页并加盖供应商单位公章（鲜章）</w:t>
            </w:r>
            <w:r>
              <w:rPr>
                <w:rFonts w:hint="eastAsia"/>
                <w:color w:val="auto"/>
                <w:highlight w:val="none"/>
                <w:lang w:val="en-US" w:eastAsia="zh-CN"/>
              </w:rPr>
              <w:t>。</w:t>
            </w:r>
          </w:p>
          <w:p>
            <w:pPr>
              <w:widowControl/>
              <w:jc w:val="left"/>
              <w:rPr>
                <w:rFonts w:hint="eastAsia" w:ascii="宋体" w:hAnsi="宋体" w:eastAsia="宋体" w:cs="宋体"/>
                <w:color w:val="auto"/>
                <w:highlight w:val="none"/>
                <w:lang w:val="zh-CN"/>
              </w:rPr>
            </w:pPr>
            <w:r>
              <w:rPr>
                <w:rFonts w:hint="eastAsia" w:ascii="宋体" w:hAnsi="宋体" w:eastAsia="宋体" w:cs="宋体"/>
                <w:color w:val="auto"/>
                <w:highlight w:val="none"/>
                <w:lang w:val="en-US" w:eastAsia="zh-CN"/>
              </w:rPr>
              <w:t>三、</w:t>
            </w:r>
            <w:r>
              <w:rPr>
                <w:rFonts w:hint="eastAsia" w:ascii="宋体" w:hAnsi="宋体" w:eastAsia="宋体" w:cs="宋体"/>
                <w:color w:val="auto"/>
                <w:highlight w:val="none"/>
                <w:lang w:val="zh-CN"/>
              </w:rPr>
              <w:t>产品强制性3C认证：</w:t>
            </w:r>
          </w:p>
          <w:p>
            <w:pPr>
              <w:pStyle w:val="2"/>
              <w:jc w:val="both"/>
              <w:rPr>
                <w:color w:val="auto"/>
                <w:highlight w:val="none"/>
              </w:rPr>
            </w:pPr>
            <w:r>
              <w:rPr>
                <w:rFonts w:hint="eastAsia" w:ascii="宋体" w:hAnsi="宋体" w:eastAsia="宋体" w:cs="Times New Roman"/>
                <w:color w:val="auto"/>
                <w:highlight w:val="none"/>
              </w:rPr>
              <w:t>根据《强制性产品认证管理规定》，所投产品如涉及强制性3C认证的，供应商需提供强制认证证书。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2" w:type="dxa"/>
            <w:tcBorders>
              <w:tl2br w:val="nil"/>
              <w:tr2bl w:val="nil"/>
            </w:tcBorders>
            <w:vAlign w:val="center"/>
          </w:tcPr>
          <w:p>
            <w:pPr>
              <w:numPr>
                <w:ilvl w:val="0"/>
                <w:numId w:val="2"/>
              </w:numPr>
              <w:ind w:left="0" w:leftChars="0" w:firstLine="0" w:firstLineChars="0"/>
              <w:jc w:val="center"/>
              <w:rPr>
                <w:rFonts w:ascii="宋体" w:hAnsi="宋体" w:eastAsia="宋体" w:cs="宋体"/>
                <w:color w:val="auto"/>
                <w:highlight w:val="none"/>
                <w:vertAlign w:val="baseline"/>
              </w:rPr>
            </w:pPr>
          </w:p>
        </w:tc>
        <w:tc>
          <w:tcPr>
            <w:tcW w:w="1821" w:type="dxa"/>
            <w:tcBorders>
              <w:tl2br w:val="nil"/>
              <w:tr2bl w:val="nil"/>
            </w:tcBorders>
            <w:vAlign w:val="center"/>
          </w:tcPr>
          <w:p>
            <w:pPr>
              <w:jc w:val="center"/>
              <w:rPr>
                <w:rFonts w:ascii="宋体" w:hAnsi="宋体" w:eastAsia="宋体" w:cs="宋体"/>
                <w:color w:val="auto"/>
                <w:highlight w:val="none"/>
                <w:vertAlign w:val="baseline"/>
              </w:rPr>
            </w:pPr>
            <w:r>
              <w:rPr>
                <w:rFonts w:hint="eastAsia" w:ascii="宋体" w:hAnsi="宋体" w:eastAsia="宋体" w:cs="宋体"/>
                <w:color w:val="auto"/>
                <w:highlight w:val="none"/>
                <w:vertAlign w:val="baseline"/>
                <w:lang w:eastAsia="zh-CN"/>
              </w:rPr>
              <w:t>信息安全要求</w:t>
            </w:r>
          </w:p>
        </w:tc>
        <w:tc>
          <w:tcPr>
            <w:tcW w:w="6537" w:type="dxa"/>
            <w:tcBorders>
              <w:tl2br w:val="nil"/>
              <w:tr2bl w:val="nil"/>
            </w:tcBorders>
            <w:vAlign w:val="center"/>
          </w:tcPr>
          <w:p>
            <w:pPr>
              <w:jc w:val="both"/>
              <w:rPr>
                <w:rFonts w:ascii="宋体" w:hAnsi="宋体" w:eastAsia="宋体" w:cs="宋体"/>
                <w:color w:val="auto"/>
                <w:highlight w:val="none"/>
                <w:vertAlign w:val="baseline"/>
              </w:rPr>
            </w:pPr>
            <w:r>
              <w:rPr>
                <w:rFonts w:hint="eastAsia" w:ascii="宋体" w:hAnsi="宋体" w:eastAsia="宋体" w:cs="宋体"/>
                <w:color w:val="auto"/>
                <w:highlight w:val="none"/>
                <w:vertAlign w:val="baseline"/>
                <w:lang w:val="en-US" w:eastAsia="zh-CN"/>
              </w:rPr>
              <w:t>所提供产品如为信息安全产品，需提供由中国信息安全认证中心按国家标准认证颁发的有效认证证书，应符合《关于信息安全产品实施政府采购的通知》（财库〔2010〕48号）要求。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2" w:type="dxa"/>
            <w:tcBorders>
              <w:tl2br w:val="nil"/>
              <w:tr2bl w:val="nil"/>
            </w:tcBorders>
            <w:vAlign w:val="center"/>
          </w:tcPr>
          <w:p>
            <w:pPr>
              <w:numPr>
                <w:ilvl w:val="0"/>
                <w:numId w:val="2"/>
              </w:numPr>
              <w:ind w:left="0" w:leftChars="0" w:firstLine="0" w:firstLineChars="0"/>
              <w:jc w:val="center"/>
              <w:rPr>
                <w:rFonts w:ascii="宋体" w:hAnsi="宋体" w:eastAsia="宋体" w:cs="宋体"/>
                <w:color w:val="auto"/>
                <w:highlight w:val="none"/>
                <w:vertAlign w:val="baseline"/>
              </w:rPr>
            </w:pPr>
          </w:p>
        </w:tc>
        <w:tc>
          <w:tcPr>
            <w:tcW w:w="1821" w:type="dxa"/>
            <w:tcBorders>
              <w:tl2br w:val="nil"/>
              <w:tr2bl w:val="nil"/>
            </w:tcBorders>
            <w:vAlign w:val="center"/>
          </w:tcPr>
          <w:p>
            <w:pPr>
              <w:jc w:val="center"/>
              <w:rPr>
                <w:rFonts w:ascii="宋体" w:hAnsi="宋体" w:eastAsia="宋体" w:cs="宋体"/>
                <w:color w:val="auto"/>
                <w:highlight w:val="none"/>
                <w:vertAlign w:val="baseline"/>
              </w:rPr>
            </w:pPr>
            <w:r>
              <w:rPr>
                <w:rFonts w:hint="eastAsia" w:ascii="宋体" w:hAnsi="宋体" w:eastAsia="宋体" w:cs="宋体"/>
                <w:color w:val="auto"/>
                <w:highlight w:val="none"/>
                <w:vertAlign w:val="baseline"/>
              </w:rPr>
              <w:t>评标情况公告</w:t>
            </w:r>
          </w:p>
        </w:tc>
        <w:tc>
          <w:tcPr>
            <w:tcW w:w="6537" w:type="dxa"/>
            <w:tcBorders>
              <w:tl2br w:val="nil"/>
              <w:tr2bl w:val="nil"/>
            </w:tcBorders>
            <w:vAlign w:val="center"/>
          </w:tcPr>
          <w:p>
            <w:pPr>
              <w:jc w:val="both"/>
              <w:rPr>
                <w:rFonts w:ascii="宋体" w:hAnsi="宋体" w:eastAsia="宋体" w:cs="宋体"/>
                <w:color w:val="auto"/>
                <w:highlight w:val="none"/>
                <w:vertAlign w:val="baseline"/>
              </w:rPr>
            </w:pPr>
            <w:r>
              <w:rPr>
                <w:rFonts w:hint="eastAsia" w:ascii="宋体" w:hAnsi="宋体" w:eastAsia="宋体" w:cs="宋体"/>
                <w:color w:val="auto"/>
                <w:highlight w:val="none"/>
                <w:vertAlign w:val="baseline"/>
              </w:rPr>
              <w:t>所有供应商投标文件资格性、符合性检查情况、采用综合评分法时的总得分和分项汇总得分情况、评标结果等将在</w:t>
            </w:r>
            <w:r>
              <w:rPr>
                <w:rFonts w:hint="eastAsia" w:cs="宋体"/>
                <w:color w:val="auto"/>
                <w:highlight w:val="none"/>
                <w:vertAlign w:val="baseline"/>
                <w:lang w:eastAsia="zh-CN"/>
              </w:rPr>
              <w:t>中国政府采购网</w:t>
            </w:r>
            <w:r>
              <w:rPr>
                <w:rFonts w:hint="eastAsia" w:ascii="宋体" w:hAnsi="宋体" w:eastAsia="宋体" w:cs="宋体"/>
                <w:color w:val="auto"/>
                <w:highlight w:val="none"/>
                <w:vertAlign w:val="baseline"/>
              </w:rPr>
              <w:t>上</w:t>
            </w:r>
            <w:r>
              <w:rPr>
                <w:rFonts w:hint="eastAsia" w:ascii="宋体" w:hAnsi="宋体" w:eastAsia="宋体" w:cs="宋体"/>
                <w:color w:val="auto"/>
                <w:highlight w:val="none"/>
                <w:vertAlign w:val="baseline"/>
                <w:lang w:val="en-US" w:eastAsia="zh-CN"/>
              </w:rPr>
              <w:t>中标（成交）</w:t>
            </w:r>
            <w:r>
              <w:rPr>
                <w:rFonts w:hint="eastAsia" w:ascii="宋体" w:hAnsi="宋体" w:eastAsia="宋体" w:cs="宋体"/>
                <w:color w:val="auto"/>
                <w:highlight w:val="none"/>
                <w:vertAlign w:val="baseline"/>
              </w:rPr>
              <w:t>公告栏中予以公告</w:t>
            </w:r>
            <w:r>
              <w:rPr>
                <w:rFonts w:hint="eastAsia" w:ascii="宋体" w:hAnsi="宋体" w:eastAsia="宋体" w:cs="宋体"/>
                <w:color w:val="auto"/>
                <w:highlight w:val="none"/>
                <w:vertAlign w:val="baseli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2" w:type="dxa"/>
            <w:tcBorders>
              <w:tl2br w:val="nil"/>
              <w:tr2bl w:val="nil"/>
            </w:tcBorders>
            <w:vAlign w:val="center"/>
          </w:tcPr>
          <w:p>
            <w:pPr>
              <w:numPr>
                <w:ilvl w:val="0"/>
                <w:numId w:val="2"/>
              </w:numPr>
              <w:ind w:left="0" w:leftChars="0" w:firstLine="0" w:firstLineChars="0"/>
              <w:jc w:val="center"/>
              <w:rPr>
                <w:rFonts w:ascii="宋体" w:hAnsi="宋体" w:eastAsia="宋体" w:cs="宋体"/>
                <w:color w:val="auto"/>
                <w:highlight w:val="none"/>
                <w:vertAlign w:val="baseline"/>
              </w:rPr>
            </w:pPr>
          </w:p>
        </w:tc>
        <w:tc>
          <w:tcPr>
            <w:tcW w:w="1821" w:type="dxa"/>
            <w:tcBorders>
              <w:tl2br w:val="nil"/>
              <w:tr2bl w:val="nil"/>
            </w:tcBorders>
            <w:vAlign w:val="center"/>
          </w:tcPr>
          <w:p>
            <w:pPr>
              <w:jc w:val="center"/>
              <w:rPr>
                <w:rFonts w:ascii="宋体" w:hAnsi="宋体" w:eastAsia="宋体" w:cs="宋体"/>
                <w:color w:val="auto"/>
                <w:highlight w:val="none"/>
                <w:vertAlign w:val="baseline"/>
              </w:rPr>
            </w:pPr>
            <w:r>
              <w:rPr>
                <w:rFonts w:hint="eastAsia" w:ascii="宋体" w:hAnsi="宋体" w:eastAsia="宋体" w:cs="宋体"/>
                <w:color w:val="auto"/>
                <w:highlight w:val="none"/>
                <w:vertAlign w:val="baseline"/>
              </w:rPr>
              <w:t>投标保证金</w:t>
            </w:r>
          </w:p>
        </w:tc>
        <w:tc>
          <w:tcPr>
            <w:tcW w:w="6537" w:type="dxa"/>
            <w:tcBorders>
              <w:tl2br w:val="nil"/>
              <w:tr2bl w:val="nil"/>
            </w:tcBorders>
            <w:vAlign w:val="center"/>
          </w:tcPr>
          <w:p>
            <w:pPr>
              <w:jc w:val="both"/>
              <w:rPr>
                <w:rFonts w:ascii="宋体" w:hAnsi="宋体" w:eastAsia="宋体" w:cs="宋体"/>
                <w:color w:val="auto"/>
                <w:highlight w:val="none"/>
                <w:vertAlign w:val="baseline"/>
              </w:rPr>
            </w:pPr>
            <w:r>
              <w:rPr>
                <w:rFonts w:hint="eastAsia" w:ascii="宋体" w:hAnsi="宋体" w:eastAsia="宋体" w:cs="宋体"/>
                <w:color w:val="auto"/>
                <w:highlight w:val="none"/>
                <w:vertAlign w:val="baseline"/>
                <w:lang w:val="zh-CN"/>
              </w:rPr>
              <w:t>本项目不收取</w:t>
            </w:r>
            <w:r>
              <w:rPr>
                <w:rFonts w:hint="eastAsia" w:ascii="宋体" w:hAnsi="宋体" w:eastAsia="宋体" w:cs="宋体"/>
                <w:color w:val="auto"/>
                <w:highlight w:val="none"/>
                <w:vertAlign w:val="baseline"/>
                <w:lang w:val="en-US" w:eastAsia="zh-CN"/>
              </w:rPr>
              <w:t>投标</w:t>
            </w:r>
            <w:r>
              <w:rPr>
                <w:rFonts w:hint="eastAsia" w:ascii="宋体" w:hAnsi="宋体" w:eastAsia="宋体" w:cs="宋体"/>
                <w:color w:val="auto"/>
                <w:highlight w:val="none"/>
                <w:vertAlign w:val="baseline"/>
                <w:lang w:val="zh-CN"/>
              </w:rPr>
              <w:t>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2" w:type="dxa"/>
            <w:tcBorders>
              <w:tl2br w:val="nil"/>
              <w:tr2bl w:val="nil"/>
            </w:tcBorders>
            <w:vAlign w:val="center"/>
          </w:tcPr>
          <w:p>
            <w:pPr>
              <w:numPr>
                <w:ilvl w:val="0"/>
                <w:numId w:val="2"/>
              </w:numPr>
              <w:ind w:left="0" w:leftChars="0" w:firstLine="0" w:firstLineChars="0"/>
              <w:jc w:val="center"/>
              <w:rPr>
                <w:rFonts w:ascii="宋体" w:hAnsi="宋体" w:eastAsia="宋体" w:cs="宋体"/>
                <w:color w:val="auto"/>
                <w:highlight w:val="none"/>
                <w:vertAlign w:val="baseline"/>
              </w:rPr>
            </w:pPr>
          </w:p>
        </w:tc>
        <w:tc>
          <w:tcPr>
            <w:tcW w:w="1821" w:type="dxa"/>
            <w:tcBorders>
              <w:tl2br w:val="nil"/>
              <w:tr2bl w:val="nil"/>
            </w:tcBorders>
            <w:vAlign w:val="center"/>
          </w:tcPr>
          <w:p>
            <w:pPr>
              <w:jc w:val="center"/>
              <w:rPr>
                <w:rFonts w:ascii="宋体" w:hAnsi="宋体" w:eastAsia="宋体" w:cs="宋体"/>
                <w:color w:val="auto"/>
                <w:highlight w:val="none"/>
                <w:vertAlign w:val="baseline"/>
              </w:rPr>
            </w:pPr>
            <w:r>
              <w:rPr>
                <w:rFonts w:hint="eastAsia" w:ascii="宋体" w:hAnsi="宋体" w:eastAsia="宋体" w:cs="宋体"/>
                <w:color w:val="auto"/>
                <w:highlight w:val="none"/>
                <w:vertAlign w:val="baseline"/>
              </w:rPr>
              <w:t>履约保证金</w:t>
            </w:r>
          </w:p>
        </w:tc>
        <w:tc>
          <w:tcPr>
            <w:tcW w:w="6537" w:type="dxa"/>
            <w:tcBorders>
              <w:tl2br w:val="nil"/>
              <w:tr2bl w:val="nil"/>
            </w:tcBorders>
            <w:vAlign w:val="center"/>
          </w:tcPr>
          <w:p>
            <w:pPr>
              <w:jc w:val="both"/>
              <w:rPr>
                <w:rFonts w:ascii="宋体" w:hAnsi="宋体" w:eastAsia="宋体" w:cs="宋体"/>
                <w:color w:val="auto"/>
                <w:highlight w:val="none"/>
                <w:vertAlign w:val="baseline"/>
              </w:rPr>
            </w:pPr>
            <w:r>
              <w:rPr>
                <w:rFonts w:hint="eastAsia" w:ascii="宋体" w:hAnsi="宋体" w:eastAsia="宋体" w:cs="宋体"/>
                <w:color w:val="auto"/>
                <w:highlight w:val="none"/>
                <w:vertAlign w:val="baseline"/>
                <w:lang w:val="zh-CN"/>
              </w:rPr>
              <w:t>本项目不收取</w:t>
            </w:r>
            <w:r>
              <w:rPr>
                <w:rFonts w:hint="eastAsia" w:ascii="宋体" w:hAnsi="宋体" w:eastAsia="宋体" w:cs="宋体"/>
                <w:color w:val="auto"/>
                <w:highlight w:val="none"/>
                <w:vertAlign w:val="baseline"/>
                <w:lang w:val="en-US" w:eastAsia="zh-CN"/>
              </w:rPr>
              <w:t>履约</w:t>
            </w:r>
            <w:r>
              <w:rPr>
                <w:rFonts w:hint="eastAsia" w:ascii="宋体" w:hAnsi="宋体" w:eastAsia="宋体" w:cs="宋体"/>
                <w:color w:val="auto"/>
                <w:highlight w:val="none"/>
                <w:vertAlign w:val="baseline"/>
                <w:lang w:val="zh-CN"/>
              </w:rPr>
              <w:t>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2" w:type="dxa"/>
            <w:tcBorders>
              <w:tl2br w:val="nil"/>
              <w:tr2bl w:val="nil"/>
            </w:tcBorders>
            <w:vAlign w:val="center"/>
          </w:tcPr>
          <w:p>
            <w:pPr>
              <w:numPr>
                <w:ilvl w:val="0"/>
                <w:numId w:val="2"/>
              </w:numPr>
              <w:ind w:left="0" w:leftChars="0" w:firstLine="0" w:firstLineChars="0"/>
              <w:jc w:val="center"/>
              <w:rPr>
                <w:rFonts w:ascii="宋体" w:hAnsi="宋体" w:eastAsia="宋体" w:cs="宋体"/>
                <w:color w:val="auto"/>
                <w:highlight w:val="none"/>
                <w:vertAlign w:val="baseline"/>
              </w:rPr>
            </w:pPr>
          </w:p>
        </w:tc>
        <w:tc>
          <w:tcPr>
            <w:tcW w:w="1821" w:type="dxa"/>
            <w:tcBorders>
              <w:tl2br w:val="nil"/>
              <w:tr2bl w:val="nil"/>
            </w:tcBorders>
            <w:vAlign w:val="center"/>
          </w:tcPr>
          <w:p>
            <w:pPr>
              <w:jc w:val="center"/>
              <w:rPr>
                <w:rFonts w:ascii="宋体" w:hAnsi="宋体" w:eastAsia="宋体" w:cs="宋体"/>
                <w:color w:val="auto"/>
                <w:highlight w:val="none"/>
                <w:vertAlign w:val="baseline"/>
              </w:rPr>
            </w:pPr>
            <w:r>
              <w:rPr>
                <w:rFonts w:hint="eastAsia" w:ascii="宋体" w:hAnsi="宋体" w:eastAsia="宋体" w:cs="宋体"/>
                <w:color w:val="auto"/>
                <w:highlight w:val="none"/>
                <w:vertAlign w:val="baseline"/>
              </w:rPr>
              <w:t>采购文件咨询</w:t>
            </w:r>
          </w:p>
        </w:tc>
        <w:tc>
          <w:tcPr>
            <w:tcW w:w="6537" w:type="dxa"/>
            <w:tcBorders>
              <w:tl2br w:val="nil"/>
              <w:tr2bl w:val="nil"/>
            </w:tcBorders>
            <w:vAlign w:val="center"/>
          </w:tcPr>
          <w:p>
            <w:pPr>
              <w:jc w:val="both"/>
              <w:rPr>
                <w:rFonts w:hint="eastAsia" w:ascii="宋体" w:hAnsi="宋体" w:eastAsia="宋体" w:cs="宋体"/>
                <w:color w:val="auto"/>
                <w:highlight w:val="none"/>
                <w:vertAlign w:val="baseline"/>
              </w:rPr>
            </w:pPr>
            <w:r>
              <w:rPr>
                <w:rFonts w:hint="eastAsia" w:ascii="宋体" w:hAnsi="宋体" w:eastAsia="宋体" w:cs="宋体"/>
                <w:color w:val="auto"/>
                <w:highlight w:val="none"/>
                <w:vertAlign w:val="baseline"/>
              </w:rPr>
              <w:t>联系人：</w:t>
            </w:r>
            <w:r>
              <w:rPr>
                <w:rFonts w:hint="eastAsia" w:ascii="宋体" w:hAnsi="宋体" w:eastAsia="宋体" w:cs="宋体"/>
                <w:color w:val="auto"/>
                <w:highlight w:val="none"/>
                <w:vertAlign w:val="baseline"/>
                <w:lang w:eastAsia="zh-CN"/>
              </w:rPr>
              <w:t>罗女士</w:t>
            </w:r>
          </w:p>
          <w:p>
            <w:pPr>
              <w:jc w:val="both"/>
              <w:rPr>
                <w:rFonts w:ascii="宋体" w:hAnsi="宋体" w:eastAsia="宋体" w:cs="宋体"/>
                <w:color w:val="auto"/>
                <w:highlight w:val="none"/>
                <w:vertAlign w:val="baseline"/>
              </w:rPr>
            </w:pPr>
            <w:r>
              <w:rPr>
                <w:rFonts w:hint="eastAsia" w:ascii="宋体" w:hAnsi="宋体" w:eastAsia="宋体" w:cs="宋体"/>
                <w:color w:val="auto"/>
                <w:highlight w:val="none"/>
                <w:vertAlign w:val="baseline"/>
              </w:rPr>
              <w:t>联系电话：</w:t>
            </w:r>
            <w:r>
              <w:rPr>
                <w:rFonts w:hint="eastAsia" w:ascii="宋体" w:hAnsi="宋体" w:eastAsia="宋体" w:cs="宋体"/>
                <w:color w:val="auto"/>
                <w:highlight w:val="none"/>
                <w:vertAlign w:val="baseline"/>
                <w:lang w:eastAsia="zh-CN"/>
              </w:rPr>
              <w:t>0830-6665625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2" w:type="dxa"/>
            <w:tcBorders>
              <w:tl2br w:val="nil"/>
              <w:tr2bl w:val="nil"/>
            </w:tcBorders>
            <w:vAlign w:val="center"/>
          </w:tcPr>
          <w:p>
            <w:pPr>
              <w:numPr>
                <w:ilvl w:val="0"/>
                <w:numId w:val="2"/>
              </w:numPr>
              <w:ind w:left="0" w:leftChars="0" w:firstLine="0" w:firstLineChars="0"/>
              <w:jc w:val="center"/>
              <w:rPr>
                <w:rFonts w:ascii="宋体" w:hAnsi="宋体" w:eastAsia="宋体" w:cs="宋体"/>
                <w:color w:val="auto"/>
                <w:highlight w:val="none"/>
                <w:vertAlign w:val="baseline"/>
              </w:rPr>
            </w:pPr>
          </w:p>
        </w:tc>
        <w:tc>
          <w:tcPr>
            <w:tcW w:w="1821" w:type="dxa"/>
            <w:tcBorders>
              <w:tl2br w:val="nil"/>
              <w:tr2bl w:val="nil"/>
            </w:tcBorders>
            <w:vAlign w:val="center"/>
          </w:tcPr>
          <w:p>
            <w:pPr>
              <w:jc w:val="center"/>
              <w:rPr>
                <w:rFonts w:ascii="宋体" w:hAnsi="宋体" w:eastAsia="宋体" w:cs="宋体"/>
                <w:color w:val="auto"/>
                <w:highlight w:val="none"/>
                <w:vertAlign w:val="baseline"/>
              </w:rPr>
            </w:pPr>
            <w:r>
              <w:rPr>
                <w:rFonts w:hint="eastAsia" w:ascii="宋体" w:hAnsi="宋体" w:eastAsia="宋体" w:cs="宋体"/>
                <w:color w:val="auto"/>
                <w:highlight w:val="none"/>
                <w:vertAlign w:val="baseline"/>
              </w:rPr>
              <w:t>开标、评标工作咨询</w:t>
            </w:r>
          </w:p>
        </w:tc>
        <w:tc>
          <w:tcPr>
            <w:tcW w:w="6537" w:type="dxa"/>
            <w:tcBorders>
              <w:tl2br w:val="nil"/>
              <w:tr2bl w:val="nil"/>
            </w:tcBorders>
            <w:vAlign w:val="center"/>
          </w:tcPr>
          <w:p>
            <w:pPr>
              <w:jc w:val="both"/>
              <w:rPr>
                <w:rFonts w:hint="eastAsia" w:ascii="宋体" w:hAnsi="宋体" w:eastAsia="宋体" w:cs="宋体"/>
                <w:color w:val="auto"/>
                <w:highlight w:val="none"/>
                <w:vertAlign w:val="baseline"/>
              </w:rPr>
            </w:pPr>
            <w:r>
              <w:rPr>
                <w:rFonts w:hint="eastAsia" w:ascii="宋体" w:hAnsi="宋体" w:eastAsia="宋体" w:cs="宋体"/>
                <w:color w:val="auto"/>
                <w:highlight w:val="none"/>
                <w:vertAlign w:val="baseline"/>
              </w:rPr>
              <w:t>联系人：</w:t>
            </w:r>
            <w:r>
              <w:rPr>
                <w:rFonts w:hint="eastAsia" w:ascii="宋体" w:hAnsi="宋体" w:eastAsia="宋体" w:cs="宋体"/>
                <w:color w:val="auto"/>
                <w:highlight w:val="none"/>
                <w:vertAlign w:val="baseline"/>
                <w:lang w:eastAsia="zh-CN"/>
              </w:rPr>
              <w:t>罗女士</w:t>
            </w:r>
          </w:p>
          <w:p>
            <w:pPr>
              <w:jc w:val="both"/>
              <w:rPr>
                <w:rFonts w:ascii="宋体" w:hAnsi="宋体" w:eastAsia="宋体" w:cs="宋体"/>
                <w:color w:val="auto"/>
                <w:highlight w:val="none"/>
                <w:vertAlign w:val="baseline"/>
              </w:rPr>
            </w:pPr>
            <w:r>
              <w:rPr>
                <w:rFonts w:hint="eastAsia" w:ascii="宋体" w:hAnsi="宋体" w:eastAsia="宋体" w:cs="宋体"/>
                <w:color w:val="auto"/>
                <w:highlight w:val="none"/>
                <w:vertAlign w:val="baseline"/>
              </w:rPr>
              <w:t>联系电话：</w:t>
            </w:r>
            <w:r>
              <w:rPr>
                <w:rFonts w:hint="eastAsia" w:ascii="宋体" w:hAnsi="宋体" w:eastAsia="宋体" w:cs="宋体"/>
                <w:color w:val="auto"/>
                <w:highlight w:val="none"/>
                <w:vertAlign w:val="baseline"/>
                <w:lang w:eastAsia="zh-CN"/>
              </w:rPr>
              <w:t>0830-6665625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2" w:type="dxa"/>
            <w:tcBorders>
              <w:tl2br w:val="nil"/>
              <w:tr2bl w:val="nil"/>
            </w:tcBorders>
            <w:vAlign w:val="center"/>
          </w:tcPr>
          <w:p>
            <w:pPr>
              <w:numPr>
                <w:ilvl w:val="0"/>
                <w:numId w:val="2"/>
              </w:numPr>
              <w:ind w:left="0" w:leftChars="0" w:firstLine="0" w:firstLineChars="0"/>
              <w:jc w:val="center"/>
              <w:rPr>
                <w:rFonts w:ascii="宋体" w:hAnsi="宋体" w:eastAsia="宋体" w:cs="宋体"/>
                <w:color w:val="auto"/>
                <w:highlight w:val="none"/>
                <w:vertAlign w:val="baseline"/>
              </w:rPr>
            </w:pPr>
          </w:p>
        </w:tc>
        <w:tc>
          <w:tcPr>
            <w:tcW w:w="1821" w:type="dxa"/>
            <w:tcBorders>
              <w:tl2br w:val="nil"/>
              <w:tr2bl w:val="nil"/>
            </w:tcBorders>
            <w:vAlign w:val="center"/>
          </w:tcPr>
          <w:p>
            <w:pPr>
              <w:jc w:val="center"/>
              <w:rPr>
                <w:rFonts w:hint="eastAsia" w:ascii="宋体" w:hAnsi="宋体" w:eastAsia="宋体" w:cs="宋体"/>
                <w:color w:val="auto"/>
                <w:highlight w:val="none"/>
                <w:vertAlign w:val="baseline"/>
              </w:rPr>
            </w:pPr>
            <w:r>
              <w:rPr>
                <w:rFonts w:hint="eastAsia" w:ascii="宋体" w:hAnsi="宋体" w:eastAsia="宋体" w:cs="宋体"/>
                <w:color w:val="auto"/>
                <w:highlight w:val="none"/>
                <w:vertAlign w:val="baseline"/>
              </w:rPr>
              <w:t>中标通知书领取</w:t>
            </w:r>
          </w:p>
        </w:tc>
        <w:tc>
          <w:tcPr>
            <w:tcW w:w="6537" w:type="dxa"/>
            <w:tcBorders>
              <w:tl2br w:val="nil"/>
              <w:tr2bl w:val="nil"/>
            </w:tcBorders>
            <w:vAlign w:val="center"/>
          </w:tcPr>
          <w:p>
            <w:pPr>
              <w:jc w:val="both"/>
              <w:rPr>
                <w:rFonts w:hint="eastAsia" w:ascii="宋体" w:hAnsi="宋体" w:eastAsia="宋体" w:cs="宋体"/>
                <w:color w:val="auto"/>
                <w:highlight w:val="none"/>
                <w:vertAlign w:val="baseline"/>
              </w:rPr>
            </w:pPr>
            <w:r>
              <w:rPr>
                <w:rFonts w:hint="eastAsia" w:ascii="宋体" w:hAnsi="宋体" w:eastAsia="宋体" w:cs="宋体"/>
                <w:color w:val="auto"/>
                <w:highlight w:val="none"/>
                <w:vertAlign w:val="baseline"/>
              </w:rPr>
              <w:t>中标公告在</w:t>
            </w:r>
            <w:r>
              <w:rPr>
                <w:rFonts w:hint="eastAsia" w:cs="宋体"/>
                <w:color w:val="auto"/>
                <w:highlight w:val="none"/>
                <w:vertAlign w:val="baseline"/>
                <w:lang w:eastAsia="zh-CN"/>
              </w:rPr>
              <w:t>中国政府采购网</w:t>
            </w:r>
            <w:r>
              <w:rPr>
                <w:rFonts w:hint="eastAsia" w:ascii="宋体" w:hAnsi="宋体" w:eastAsia="宋体" w:cs="宋体"/>
                <w:color w:val="auto"/>
                <w:highlight w:val="none"/>
                <w:vertAlign w:val="baseline"/>
              </w:rPr>
              <w:t>上公告后请中标供应商凭有效身份证明证件到采购代理机构领取中标通知书。</w:t>
            </w:r>
          </w:p>
          <w:p>
            <w:pPr>
              <w:jc w:val="both"/>
              <w:rPr>
                <w:rFonts w:hint="eastAsia" w:ascii="宋体" w:hAnsi="宋体" w:eastAsia="宋体" w:cs="宋体"/>
                <w:color w:val="auto"/>
                <w:highlight w:val="none"/>
                <w:vertAlign w:val="baseline"/>
              </w:rPr>
            </w:pPr>
            <w:r>
              <w:rPr>
                <w:rFonts w:hint="eastAsia" w:ascii="宋体" w:hAnsi="宋体" w:eastAsia="宋体" w:cs="宋体"/>
                <w:color w:val="auto"/>
                <w:highlight w:val="none"/>
                <w:vertAlign w:val="baseline"/>
              </w:rPr>
              <w:t>联 系 人：</w:t>
            </w:r>
            <w:r>
              <w:rPr>
                <w:rFonts w:hint="eastAsia" w:ascii="宋体" w:hAnsi="宋体" w:eastAsia="宋体" w:cs="宋体"/>
                <w:color w:val="auto"/>
                <w:highlight w:val="none"/>
                <w:vertAlign w:val="baseline"/>
                <w:lang w:eastAsia="zh-CN"/>
              </w:rPr>
              <w:t>罗女士</w:t>
            </w:r>
            <w:r>
              <w:rPr>
                <w:rFonts w:hint="eastAsia" w:ascii="宋体" w:hAnsi="宋体" w:eastAsia="宋体" w:cs="宋体"/>
                <w:color w:val="auto"/>
                <w:highlight w:val="none"/>
                <w:vertAlign w:val="baseline"/>
              </w:rPr>
              <w:t xml:space="preserve">      联系电话：</w:t>
            </w:r>
            <w:r>
              <w:rPr>
                <w:rFonts w:hint="eastAsia" w:ascii="宋体" w:hAnsi="宋体" w:eastAsia="宋体" w:cs="宋体"/>
                <w:color w:val="auto"/>
                <w:highlight w:val="none"/>
                <w:vertAlign w:val="baseline"/>
                <w:lang w:eastAsia="zh-CN"/>
              </w:rPr>
              <w:t>0830-6665625</w:t>
            </w:r>
            <w:r>
              <w:rPr>
                <w:rFonts w:hint="eastAsia" w:ascii="宋体" w:hAnsi="宋体" w:eastAsia="宋体" w:cs="宋体"/>
                <w:color w:val="auto"/>
                <w:highlight w:val="none"/>
                <w:vertAlign w:val="baseli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2" w:type="dxa"/>
            <w:tcBorders>
              <w:tl2br w:val="nil"/>
              <w:tr2bl w:val="nil"/>
            </w:tcBorders>
            <w:vAlign w:val="center"/>
          </w:tcPr>
          <w:p>
            <w:pPr>
              <w:numPr>
                <w:ilvl w:val="0"/>
                <w:numId w:val="2"/>
              </w:numPr>
              <w:ind w:left="0" w:leftChars="0" w:firstLine="0" w:firstLineChars="0"/>
              <w:jc w:val="center"/>
              <w:rPr>
                <w:rFonts w:ascii="宋体" w:hAnsi="宋体" w:eastAsia="宋体" w:cs="宋体"/>
                <w:color w:val="auto"/>
                <w:highlight w:val="none"/>
                <w:vertAlign w:val="baseline"/>
              </w:rPr>
            </w:pPr>
          </w:p>
        </w:tc>
        <w:tc>
          <w:tcPr>
            <w:tcW w:w="1821" w:type="dxa"/>
            <w:tcBorders>
              <w:tl2br w:val="nil"/>
              <w:tr2bl w:val="nil"/>
            </w:tcBorders>
            <w:vAlign w:val="center"/>
          </w:tcPr>
          <w:p>
            <w:pPr>
              <w:jc w:val="center"/>
              <w:rPr>
                <w:rFonts w:hint="eastAsia" w:ascii="宋体" w:hAnsi="宋体" w:eastAsia="宋体" w:cs="宋体"/>
                <w:color w:val="auto"/>
                <w:highlight w:val="none"/>
                <w:vertAlign w:val="baseline"/>
              </w:rPr>
            </w:pPr>
            <w:r>
              <w:rPr>
                <w:rFonts w:hint="eastAsia" w:ascii="宋体" w:hAnsi="宋体" w:eastAsia="宋体" w:cs="宋体"/>
                <w:color w:val="auto"/>
                <w:highlight w:val="none"/>
                <w:vertAlign w:val="baseline"/>
              </w:rPr>
              <w:t>供应商询问</w:t>
            </w:r>
          </w:p>
        </w:tc>
        <w:tc>
          <w:tcPr>
            <w:tcW w:w="6537" w:type="dxa"/>
            <w:tcBorders>
              <w:tl2br w:val="nil"/>
              <w:tr2bl w:val="nil"/>
            </w:tcBorders>
            <w:vAlign w:val="center"/>
          </w:tcPr>
          <w:p>
            <w:pPr>
              <w:jc w:val="both"/>
              <w:rPr>
                <w:rFonts w:hint="eastAsia" w:ascii="宋体" w:hAnsi="宋体" w:eastAsia="宋体" w:cs="宋体"/>
                <w:color w:val="auto"/>
                <w:highlight w:val="none"/>
                <w:vertAlign w:val="baseline"/>
              </w:rPr>
            </w:pPr>
            <w:r>
              <w:rPr>
                <w:rFonts w:hint="eastAsia" w:ascii="宋体" w:hAnsi="宋体" w:eastAsia="宋体" w:cs="宋体"/>
                <w:color w:val="auto"/>
                <w:highlight w:val="none"/>
                <w:vertAlign w:val="baseline"/>
              </w:rPr>
              <w:t>根据委托代理协议约定，供应商询问由招标代理机构负责答复：</w:t>
            </w:r>
          </w:p>
          <w:p>
            <w:pPr>
              <w:jc w:val="both"/>
              <w:rPr>
                <w:rFonts w:hint="eastAsia" w:ascii="宋体" w:hAnsi="宋体" w:eastAsia="宋体" w:cs="宋体"/>
                <w:color w:val="auto"/>
                <w:highlight w:val="none"/>
                <w:vertAlign w:val="baseline"/>
              </w:rPr>
            </w:pPr>
            <w:r>
              <w:rPr>
                <w:rFonts w:hint="eastAsia" w:ascii="宋体" w:hAnsi="宋体" w:eastAsia="宋体" w:cs="宋体"/>
                <w:color w:val="auto"/>
                <w:highlight w:val="none"/>
                <w:vertAlign w:val="baseline"/>
              </w:rPr>
              <w:t>联 系 人：</w:t>
            </w:r>
            <w:r>
              <w:rPr>
                <w:rFonts w:hint="eastAsia" w:ascii="宋体" w:hAnsi="宋体" w:eastAsia="宋体" w:cs="宋体"/>
                <w:color w:val="auto"/>
                <w:highlight w:val="none"/>
                <w:vertAlign w:val="baseline"/>
                <w:lang w:eastAsia="zh-CN"/>
              </w:rPr>
              <w:t>罗女士</w:t>
            </w:r>
            <w:r>
              <w:rPr>
                <w:rFonts w:hint="eastAsia" w:ascii="宋体" w:hAnsi="宋体" w:eastAsia="宋体" w:cs="宋体"/>
                <w:color w:val="auto"/>
                <w:highlight w:val="none"/>
                <w:vertAlign w:val="baseline"/>
              </w:rPr>
              <w:t xml:space="preserve">     联系电话：</w:t>
            </w:r>
            <w:r>
              <w:rPr>
                <w:rFonts w:hint="eastAsia" w:ascii="宋体" w:hAnsi="宋体" w:eastAsia="宋体" w:cs="宋体"/>
                <w:color w:val="auto"/>
                <w:highlight w:val="none"/>
                <w:vertAlign w:val="baseline"/>
                <w:lang w:eastAsia="zh-CN"/>
              </w:rPr>
              <w:t>0830-6665625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2" w:type="dxa"/>
            <w:tcBorders>
              <w:tl2br w:val="nil"/>
              <w:tr2bl w:val="nil"/>
            </w:tcBorders>
            <w:vAlign w:val="center"/>
          </w:tcPr>
          <w:p>
            <w:pPr>
              <w:numPr>
                <w:ilvl w:val="0"/>
                <w:numId w:val="2"/>
              </w:numPr>
              <w:ind w:left="0" w:leftChars="0" w:firstLine="0" w:firstLineChars="0"/>
              <w:jc w:val="center"/>
              <w:rPr>
                <w:rFonts w:ascii="宋体" w:hAnsi="宋体" w:eastAsia="宋体" w:cs="宋体"/>
                <w:color w:val="auto"/>
                <w:highlight w:val="none"/>
                <w:vertAlign w:val="baseline"/>
              </w:rPr>
            </w:pPr>
          </w:p>
        </w:tc>
        <w:tc>
          <w:tcPr>
            <w:tcW w:w="1821" w:type="dxa"/>
            <w:tcBorders>
              <w:tl2br w:val="nil"/>
              <w:tr2bl w:val="nil"/>
            </w:tcBorders>
            <w:vAlign w:val="center"/>
          </w:tcPr>
          <w:p>
            <w:pPr>
              <w:jc w:val="center"/>
              <w:rPr>
                <w:rFonts w:hint="eastAsia" w:ascii="宋体" w:hAnsi="宋体" w:eastAsia="宋体" w:cs="宋体"/>
                <w:color w:val="auto"/>
                <w:highlight w:val="none"/>
                <w:vertAlign w:val="baseline"/>
              </w:rPr>
            </w:pPr>
            <w:r>
              <w:rPr>
                <w:rFonts w:hint="eastAsia" w:ascii="宋体" w:hAnsi="宋体" w:eastAsia="宋体" w:cs="宋体"/>
                <w:color w:val="auto"/>
                <w:highlight w:val="none"/>
                <w:vertAlign w:val="baseline"/>
              </w:rPr>
              <w:t>供应商质疑</w:t>
            </w:r>
          </w:p>
        </w:tc>
        <w:tc>
          <w:tcPr>
            <w:tcW w:w="6537" w:type="dxa"/>
            <w:tcBorders>
              <w:tl2br w:val="nil"/>
              <w:tr2bl w:val="nil"/>
            </w:tcBorders>
            <w:vAlign w:val="center"/>
          </w:tcPr>
          <w:p>
            <w:pPr>
              <w:jc w:val="both"/>
              <w:rPr>
                <w:rFonts w:hint="eastAsia" w:ascii="宋体" w:hAnsi="宋体" w:eastAsia="宋体" w:cs="宋体"/>
                <w:color w:val="auto"/>
                <w:highlight w:val="none"/>
                <w:vertAlign w:val="baseline"/>
              </w:rPr>
            </w:pPr>
            <w:r>
              <w:rPr>
                <w:rFonts w:hint="eastAsia" w:ascii="宋体" w:hAnsi="宋体" w:eastAsia="宋体" w:cs="宋体"/>
                <w:color w:val="auto"/>
                <w:highlight w:val="none"/>
                <w:vertAlign w:val="baseline"/>
              </w:rPr>
              <w:t>根据委托代理协议约定，对于采购文件的质疑由招标代理机构负责答复；对于采购过程由招标代理机构负责答复；对于采购结果由招标代理机构负责答复。</w:t>
            </w:r>
          </w:p>
          <w:p>
            <w:pPr>
              <w:jc w:val="both"/>
              <w:rPr>
                <w:rFonts w:hint="eastAsia" w:ascii="宋体" w:hAnsi="宋体" w:eastAsia="宋体" w:cs="宋体"/>
                <w:color w:val="auto"/>
                <w:highlight w:val="none"/>
                <w:vertAlign w:val="baseline"/>
              </w:rPr>
            </w:pPr>
            <w:r>
              <w:rPr>
                <w:rFonts w:hint="eastAsia" w:ascii="宋体" w:hAnsi="宋体" w:eastAsia="宋体" w:cs="宋体"/>
                <w:color w:val="auto"/>
                <w:highlight w:val="none"/>
                <w:vertAlign w:val="baseline"/>
              </w:rPr>
              <w:t>联 系 人：</w:t>
            </w:r>
            <w:r>
              <w:rPr>
                <w:rFonts w:hint="eastAsia" w:ascii="宋体" w:hAnsi="宋体" w:eastAsia="宋体" w:cs="宋体"/>
                <w:color w:val="auto"/>
                <w:highlight w:val="none"/>
                <w:vertAlign w:val="baseline"/>
                <w:lang w:eastAsia="zh-CN"/>
              </w:rPr>
              <w:t>罗女士</w:t>
            </w:r>
          </w:p>
          <w:p>
            <w:pPr>
              <w:jc w:val="both"/>
              <w:rPr>
                <w:rFonts w:hint="eastAsia" w:ascii="宋体" w:hAnsi="宋体" w:eastAsia="宋体" w:cs="宋体"/>
                <w:color w:val="auto"/>
                <w:highlight w:val="none"/>
                <w:vertAlign w:val="baseline"/>
                <w:lang w:eastAsia="zh-CN"/>
              </w:rPr>
            </w:pPr>
            <w:r>
              <w:rPr>
                <w:rFonts w:hint="eastAsia" w:ascii="宋体" w:hAnsi="宋体" w:eastAsia="宋体" w:cs="宋体"/>
                <w:color w:val="auto"/>
                <w:highlight w:val="none"/>
                <w:vertAlign w:val="baseline"/>
              </w:rPr>
              <w:t>联系电话：</w:t>
            </w:r>
            <w:r>
              <w:rPr>
                <w:rFonts w:hint="eastAsia" w:ascii="宋体" w:hAnsi="宋体" w:eastAsia="宋体" w:cs="宋体"/>
                <w:color w:val="auto"/>
                <w:highlight w:val="none"/>
                <w:vertAlign w:val="baseline"/>
                <w:lang w:eastAsia="zh-CN"/>
              </w:rPr>
              <w:t>0830-6665625</w:t>
            </w:r>
          </w:p>
          <w:p>
            <w:pPr>
              <w:jc w:val="both"/>
              <w:rPr>
                <w:rFonts w:hint="eastAsia" w:ascii="宋体" w:hAnsi="宋体" w:eastAsia="宋体" w:cs="宋体"/>
                <w:color w:val="auto"/>
                <w:highlight w:val="none"/>
                <w:vertAlign w:val="baseline"/>
              </w:rPr>
            </w:pPr>
            <w:r>
              <w:rPr>
                <w:rFonts w:hint="eastAsia" w:ascii="宋体" w:hAnsi="宋体" w:eastAsia="宋体" w:cs="宋体"/>
                <w:color w:val="auto"/>
                <w:highlight w:val="none"/>
                <w:vertAlign w:val="baseline"/>
                <w:lang w:val="en-US" w:eastAsia="zh-CN"/>
              </w:rPr>
              <w:t>注：1.供应商应按照《中华人民共和国政府采购法》、《中华人民共和国政府采购法实施条例》和《政府采购质疑和投诉办法》等规定提出质疑并提供相关资料。</w:t>
            </w:r>
          </w:p>
          <w:p>
            <w:pPr>
              <w:jc w:val="both"/>
              <w:rPr>
                <w:rFonts w:hint="eastAsia" w:ascii="宋体" w:hAnsi="宋体" w:eastAsia="宋体" w:cs="宋体"/>
                <w:color w:val="auto"/>
                <w:highlight w:val="none"/>
                <w:vertAlign w:val="baseline"/>
              </w:rPr>
            </w:pPr>
            <w:r>
              <w:rPr>
                <w:rFonts w:hint="eastAsia" w:ascii="宋体" w:hAnsi="宋体" w:eastAsia="宋体" w:cs="宋体"/>
                <w:color w:val="auto"/>
                <w:highlight w:val="none"/>
                <w:vertAlign w:val="baseline"/>
                <w:lang w:val="en-US" w:eastAsia="zh-CN"/>
              </w:rPr>
              <w:t>2.根据《政府采购质疑和投诉办法》（财政部94号令），供应商应在法定质疑期内一次性提出针对同一采购程序环节的质疑。</w:t>
            </w:r>
          </w:p>
          <w:p>
            <w:pPr>
              <w:jc w:val="both"/>
              <w:rPr>
                <w:rFonts w:hint="eastAsia" w:ascii="宋体" w:hAnsi="宋体" w:eastAsia="宋体" w:cs="宋体"/>
                <w:color w:val="auto"/>
                <w:highlight w:val="none"/>
                <w:vertAlign w:val="baseline"/>
              </w:rPr>
            </w:pPr>
            <w:r>
              <w:rPr>
                <w:rFonts w:hint="eastAsia" w:ascii="宋体" w:hAnsi="宋体" w:eastAsia="宋体" w:cs="宋体"/>
                <w:color w:val="auto"/>
                <w:highlight w:val="none"/>
                <w:vertAlign w:val="baseline"/>
                <w:lang w:val="en-US" w:eastAsia="zh-CN"/>
              </w:rPr>
              <w:t>3.本项目采购文件公告期限届满之日为供应商网上报名和网上在线免费获取采购文件截止时间之日</w:t>
            </w:r>
            <w:r>
              <w:rPr>
                <w:rFonts w:hint="eastAsia" w:ascii="宋体" w:hAnsi="宋体" w:eastAsia="宋体" w:cs="宋体"/>
                <w:color w:val="auto"/>
                <w:highlight w:val="none"/>
                <w:vertAlign w:val="baseli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2" w:type="dxa"/>
            <w:tcBorders>
              <w:tl2br w:val="nil"/>
              <w:tr2bl w:val="nil"/>
            </w:tcBorders>
            <w:vAlign w:val="center"/>
          </w:tcPr>
          <w:p>
            <w:pPr>
              <w:numPr>
                <w:ilvl w:val="0"/>
                <w:numId w:val="2"/>
              </w:numPr>
              <w:ind w:left="0" w:leftChars="0" w:firstLine="0" w:firstLineChars="0"/>
              <w:jc w:val="center"/>
              <w:rPr>
                <w:rFonts w:ascii="宋体" w:hAnsi="宋体" w:eastAsia="宋体" w:cs="宋体"/>
                <w:color w:val="auto"/>
                <w:highlight w:val="none"/>
                <w:vertAlign w:val="baseline"/>
              </w:rPr>
            </w:pPr>
          </w:p>
        </w:tc>
        <w:tc>
          <w:tcPr>
            <w:tcW w:w="1821" w:type="dxa"/>
            <w:tcBorders>
              <w:tl2br w:val="nil"/>
              <w:tr2bl w:val="nil"/>
            </w:tcBorders>
            <w:vAlign w:val="center"/>
          </w:tcPr>
          <w:p>
            <w:pPr>
              <w:jc w:val="center"/>
              <w:rPr>
                <w:rFonts w:hint="eastAsia" w:ascii="宋体" w:hAnsi="宋体" w:eastAsia="宋体" w:cs="宋体"/>
                <w:color w:val="auto"/>
                <w:highlight w:val="none"/>
                <w:vertAlign w:val="baseline"/>
              </w:rPr>
            </w:pPr>
            <w:r>
              <w:rPr>
                <w:rFonts w:hint="eastAsia" w:ascii="宋体" w:hAnsi="宋体" w:eastAsia="宋体" w:cs="宋体"/>
                <w:color w:val="auto"/>
                <w:highlight w:val="none"/>
                <w:vertAlign w:val="baseline"/>
              </w:rPr>
              <w:t>供应商投诉</w:t>
            </w:r>
          </w:p>
        </w:tc>
        <w:tc>
          <w:tcPr>
            <w:tcW w:w="6537" w:type="dxa"/>
            <w:tcBorders>
              <w:tl2br w:val="nil"/>
              <w:tr2bl w:val="nil"/>
            </w:tcBorders>
            <w:vAlign w:val="center"/>
          </w:tcPr>
          <w:p>
            <w:pPr>
              <w:jc w:val="both"/>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投诉受理单位：本采购项目采购人。</w:t>
            </w:r>
          </w:p>
          <w:p>
            <w:pPr>
              <w:jc w:val="both"/>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联系电话：0813-5197655；</w:t>
            </w:r>
          </w:p>
          <w:p>
            <w:pPr>
              <w:jc w:val="both"/>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地    址：富顺县东湖街道东湖大道1801号；</w:t>
            </w:r>
          </w:p>
          <w:p>
            <w:pPr>
              <w:jc w:val="both"/>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注：根据《政府采购质疑和投诉办法》（财政部第94号令）的规定，供应商投诉事项不得超出已质疑事项的范围。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2" w:type="dxa"/>
            <w:tcBorders>
              <w:tl2br w:val="nil"/>
              <w:tr2bl w:val="nil"/>
            </w:tcBorders>
            <w:vAlign w:val="center"/>
          </w:tcPr>
          <w:p>
            <w:pPr>
              <w:numPr>
                <w:ilvl w:val="0"/>
                <w:numId w:val="2"/>
              </w:numPr>
              <w:ind w:left="0" w:leftChars="0" w:firstLine="0" w:firstLineChars="0"/>
              <w:jc w:val="center"/>
              <w:rPr>
                <w:rFonts w:ascii="宋体" w:hAnsi="宋体" w:eastAsia="宋体" w:cs="宋体"/>
                <w:color w:val="auto"/>
                <w:highlight w:val="none"/>
                <w:vertAlign w:val="baseline"/>
              </w:rPr>
            </w:pPr>
          </w:p>
        </w:tc>
        <w:tc>
          <w:tcPr>
            <w:tcW w:w="1821" w:type="dxa"/>
            <w:tcBorders>
              <w:tl2br w:val="nil"/>
              <w:tr2bl w:val="nil"/>
            </w:tcBorders>
            <w:vAlign w:val="center"/>
          </w:tcPr>
          <w:p>
            <w:pPr>
              <w:jc w:val="center"/>
              <w:rPr>
                <w:rFonts w:hint="eastAsia" w:ascii="宋体" w:hAnsi="宋体" w:eastAsia="宋体" w:cs="宋体"/>
                <w:color w:val="auto"/>
                <w:highlight w:val="none"/>
                <w:vertAlign w:val="baseline"/>
              </w:rPr>
            </w:pPr>
            <w:r>
              <w:rPr>
                <w:rFonts w:hint="eastAsia" w:ascii="宋体" w:hAnsi="宋体" w:eastAsia="宋体" w:cs="宋体"/>
                <w:color w:val="auto"/>
                <w:highlight w:val="none"/>
                <w:vertAlign w:val="baseline"/>
              </w:rPr>
              <w:t>是否专门面向中小企业</w:t>
            </w:r>
          </w:p>
        </w:tc>
        <w:tc>
          <w:tcPr>
            <w:tcW w:w="6537" w:type="dxa"/>
            <w:tcBorders>
              <w:tl2br w:val="nil"/>
              <w:tr2bl w:val="nil"/>
            </w:tcBorders>
            <w:vAlign w:val="center"/>
          </w:tcPr>
          <w:p>
            <w:pPr>
              <w:jc w:val="both"/>
              <w:rPr>
                <w:rFonts w:hint="eastAsia" w:ascii="宋体" w:hAnsi="宋体" w:eastAsia="宋体" w:cs="宋体"/>
                <w:color w:val="auto"/>
                <w:highlight w:val="none"/>
                <w:vertAlign w:val="baseline"/>
                <w:lang w:val="en-US" w:eastAsia="zh-CN"/>
              </w:rPr>
            </w:pPr>
            <w:r>
              <w:rPr>
                <w:rFonts w:hint="eastAsia"/>
                <w:color w:val="auto"/>
                <w:highlight w:val="none"/>
                <w:lang w:val="en-US" w:eastAsia="zh-CN"/>
              </w:rPr>
              <w:t>本项目不专门面向中小企业采购</w:t>
            </w:r>
            <w:r>
              <w:rPr>
                <w:rFonts w:hint="eastAsia"/>
                <w:color w:val="auto"/>
                <w:highlight w:val="none"/>
                <w:lang w:val="zh-CN"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2" w:type="dxa"/>
            <w:tcBorders>
              <w:tl2br w:val="nil"/>
              <w:tr2bl w:val="nil"/>
            </w:tcBorders>
            <w:vAlign w:val="center"/>
          </w:tcPr>
          <w:p>
            <w:pPr>
              <w:numPr>
                <w:ilvl w:val="0"/>
                <w:numId w:val="2"/>
              </w:numPr>
              <w:ind w:left="0" w:leftChars="0" w:firstLine="0" w:firstLineChars="0"/>
              <w:jc w:val="center"/>
              <w:rPr>
                <w:rFonts w:ascii="宋体" w:hAnsi="宋体" w:eastAsia="宋体" w:cs="宋体"/>
                <w:color w:val="auto"/>
                <w:highlight w:val="none"/>
                <w:vertAlign w:val="baseline"/>
              </w:rPr>
            </w:pPr>
          </w:p>
        </w:tc>
        <w:tc>
          <w:tcPr>
            <w:tcW w:w="1821" w:type="dxa"/>
            <w:tcBorders>
              <w:tl2br w:val="nil"/>
              <w:tr2bl w:val="nil"/>
            </w:tcBorders>
            <w:vAlign w:val="center"/>
          </w:tcPr>
          <w:p>
            <w:pPr>
              <w:jc w:val="center"/>
              <w:rPr>
                <w:rFonts w:hint="eastAsia" w:ascii="宋体" w:hAnsi="宋体" w:eastAsia="宋体" w:cs="宋体"/>
                <w:color w:val="auto"/>
                <w:highlight w:val="none"/>
                <w:vertAlign w:val="baseline"/>
              </w:rPr>
            </w:pPr>
            <w:r>
              <w:rPr>
                <w:rFonts w:hint="eastAsia" w:ascii="宋体" w:hAnsi="宋体" w:eastAsia="宋体" w:cs="宋体"/>
                <w:color w:val="auto"/>
                <w:highlight w:val="none"/>
                <w:vertAlign w:val="baseline"/>
              </w:rPr>
              <w:t>招标代理费用</w:t>
            </w:r>
          </w:p>
        </w:tc>
        <w:tc>
          <w:tcPr>
            <w:tcW w:w="6537" w:type="dxa"/>
            <w:tcBorders>
              <w:tl2br w:val="nil"/>
              <w:tr2bl w:val="nil"/>
            </w:tcBorders>
            <w:vAlign w:val="center"/>
          </w:tcPr>
          <w:p>
            <w:pPr>
              <w:jc w:val="both"/>
              <w:rPr>
                <w:rFonts w:hint="eastAsia" w:hAnsi="宋体" w:cs="宋体"/>
                <w:color w:val="auto"/>
                <w:sz w:val="24"/>
                <w:szCs w:val="24"/>
                <w:highlight w:val="none"/>
                <w:lang w:val="en-US" w:eastAsia="zh-CN" w:bidi="ar-SA"/>
              </w:rPr>
            </w:pPr>
            <w:r>
              <w:rPr>
                <w:rFonts w:hint="eastAsia" w:ascii="宋体" w:hAnsi="宋体" w:eastAsia="宋体" w:cs="宋体"/>
                <w:color w:val="auto"/>
                <w:sz w:val="24"/>
                <w:szCs w:val="24"/>
                <w:highlight w:val="none"/>
                <w:lang w:val="zh-CN" w:eastAsia="zh-CN" w:bidi="ar-SA"/>
              </w:rPr>
              <w:t>本项目代理</w:t>
            </w:r>
            <w:r>
              <w:rPr>
                <w:rFonts w:hint="eastAsia" w:ascii="宋体" w:hAnsi="宋体" w:eastAsia="宋体" w:cs="宋体"/>
                <w:color w:val="auto"/>
                <w:sz w:val="24"/>
                <w:szCs w:val="24"/>
                <w:highlight w:val="none"/>
                <w:lang w:val="en-US" w:eastAsia="zh-CN" w:bidi="ar-SA"/>
              </w:rPr>
              <w:t>费</w:t>
            </w:r>
            <w:r>
              <w:rPr>
                <w:rFonts w:hint="eastAsia" w:hAnsi="宋体" w:cs="宋体"/>
                <w:color w:val="auto"/>
                <w:sz w:val="24"/>
                <w:szCs w:val="24"/>
                <w:highlight w:val="none"/>
                <w:lang w:val="en-US" w:eastAsia="zh-CN" w:bidi="ar-SA"/>
              </w:rPr>
              <w:t>定额向各包中标供应商以现金或转账方式收取：</w:t>
            </w:r>
          </w:p>
          <w:p>
            <w:pPr>
              <w:ind w:firstLine="480" w:firstLineChars="200"/>
              <w:jc w:val="both"/>
              <w:rPr>
                <w:rFonts w:hint="eastAsia" w:hAnsi="宋体" w:cs="宋体"/>
                <w:color w:val="auto"/>
                <w:sz w:val="24"/>
                <w:szCs w:val="24"/>
                <w:highlight w:val="none"/>
                <w:lang w:val="en-US" w:eastAsia="zh-CN" w:bidi="ar-SA"/>
              </w:rPr>
            </w:pPr>
            <w:r>
              <w:rPr>
                <w:rFonts w:hint="eastAsia" w:hAnsi="宋体" w:cs="宋体"/>
                <w:color w:val="auto"/>
                <w:sz w:val="24"/>
                <w:szCs w:val="24"/>
                <w:highlight w:val="none"/>
                <w:lang w:val="en-US" w:eastAsia="zh-CN" w:bidi="ar-SA"/>
              </w:rPr>
              <w:t>02包：9133.00元（大写：</w:t>
            </w:r>
            <w:r>
              <w:rPr>
                <w:rFonts w:hint="eastAsia" w:cs="宋体"/>
                <w:color w:val="auto"/>
                <w:sz w:val="24"/>
                <w:szCs w:val="24"/>
                <w:highlight w:val="none"/>
                <w:lang w:val="en-US" w:eastAsia="zh-CN" w:bidi="ar-SA"/>
              </w:rPr>
              <w:t>玖仟壹佰叁拾叁元</w:t>
            </w:r>
            <w:r>
              <w:rPr>
                <w:rFonts w:hint="eastAsia" w:hAnsi="宋体" w:cs="宋体"/>
                <w:color w:val="auto"/>
                <w:sz w:val="24"/>
                <w:szCs w:val="24"/>
                <w:highlight w:val="none"/>
                <w:lang w:val="en-US" w:eastAsia="zh-CN" w:bidi="ar-SA"/>
              </w:rPr>
              <w:t>整）</w:t>
            </w:r>
            <w:r>
              <w:rPr>
                <w:rFonts w:hint="eastAsia" w:cs="宋体"/>
                <w:color w:val="auto"/>
                <w:sz w:val="24"/>
                <w:szCs w:val="24"/>
                <w:highlight w:val="none"/>
                <w:lang w:val="en-US" w:eastAsia="zh-CN" w:bidi="ar-SA"/>
              </w:rPr>
              <w:t>；</w:t>
            </w:r>
          </w:p>
          <w:p>
            <w:pPr>
              <w:ind w:firstLine="480" w:firstLineChars="200"/>
              <w:jc w:val="both"/>
              <w:rPr>
                <w:rFonts w:hint="eastAsia" w:hAnsi="宋体" w:cs="宋体"/>
                <w:color w:val="auto"/>
                <w:sz w:val="24"/>
                <w:szCs w:val="24"/>
                <w:highlight w:val="none"/>
                <w:lang w:val="en-US" w:eastAsia="zh-CN" w:bidi="ar-SA"/>
              </w:rPr>
            </w:pPr>
            <w:r>
              <w:rPr>
                <w:rFonts w:hint="eastAsia" w:hAnsi="宋体" w:cs="宋体"/>
                <w:color w:val="auto"/>
                <w:sz w:val="24"/>
                <w:szCs w:val="24"/>
                <w:highlight w:val="none"/>
                <w:lang w:val="en-US" w:eastAsia="zh-CN" w:bidi="ar-SA"/>
              </w:rPr>
              <w:t>03包：</w:t>
            </w:r>
            <w:r>
              <w:rPr>
                <w:rFonts w:hint="eastAsia" w:cs="宋体"/>
                <w:color w:val="auto"/>
                <w:sz w:val="24"/>
                <w:szCs w:val="24"/>
                <w:highlight w:val="none"/>
                <w:lang w:val="en-US" w:eastAsia="zh-CN" w:bidi="ar-SA"/>
              </w:rPr>
              <w:t>3000</w:t>
            </w:r>
            <w:r>
              <w:rPr>
                <w:rFonts w:hint="eastAsia" w:hAnsi="宋体" w:cs="宋体"/>
                <w:color w:val="auto"/>
                <w:sz w:val="24"/>
                <w:szCs w:val="24"/>
                <w:highlight w:val="none"/>
                <w:lang w:val="en-US" w:eastAsia="zh-CN" w:bidi="ar-SA"/>
              </w:rPr>
              <w:t>.00元（大写：</w:t>
            </w:r>
            <w:r>
              <w:rPr>
                <w:rFonts w:hint="eastAsia" w:cs="宋体"/>
                <w:color w:val="auto"/>
                <w:sz w:val="24"/>
                <w:szCs w:val="24"/>
                <w:highlight w:val="none"/>
                <w:lang w:val="en-US" w:eastAsia="zh-CN" w:bidi="ar-SA"/>
              </w:rPr>
              <w:t>叁仟元</w:t>
            </w:r>
            <w:r>
              <w:rPr>
                <w:rFonts w:hint="eastAsia" w:hAnsi="宋体" w:cs="宋体"/>
                <w:color w:val="auto"/>
                <w:sz w:val="24"/>
                <w:szCs w:val="24"/>
                <w:highlight w:val="none"/>
                <w:lang w:val="en-US" w:eastAsia="zh-CN" w:bidi="ar-SA"/>
              </w:rPr>
              <w:t>整）</w:t>
            </w:r>
            <w:r>
              <w:rPr>
                <w:rFonts w:hint="eastAsia" w:cs="宋体"/>
                <w:color w:val="auto"/>
                <w:sz w:val="24"/>
                <w:szCs w:val="24"/>
                <w:highlight w:val="none"/>
                <w:lang w:val="en-US" w:eastAsia="zh-CN" w:bidi="ar-SA"/>
              </w:rPr>
              <w:t>；</w:t>
            </w:r>
          </w:p>
          <w:p>
            <w:pPr>
              <w:ind w:firstLine="480" w:firstLineChars="200"/>
              <w:jc w:val="both"/>
              <w:rPr>
                <w:rFonts w:hint="eastAsia" w:hAnsi="宋体" w:cs="宋体"/>
                <w:color w:val="auto"/>
                <w:sz w:val="24"/>
                <w:szCs w:val="24"/>
                <w:highlight w:val="none"/>
                <w:lang w:val="en-US" w:eastAsia="zh-CN" w:bidi="ar-SA"/>
              </w:rPr>
            </w:pPr>
            <w:r>
              <w:rPr>
                <w:rFonts w:hint="eastAsia" w:hAnsi="宋体" w:cs="宋体"/>
                <w:color w:val="auto"/>
                <w:sz w:val="24"/>
                <w:szCs w:val="24"/>
                <w:highlight w:val="none"/>
                <w:lang w:val="en-US" w:eastAsia="zh-CN" w:bidi="ar-SA"/>
              </w:rPr>
              <w:t>04包：5989.00元（大写：</w:t>
            </w:r>
            <w:r>
              <w:rPr>
                <w:rFonts w:hint="eastAsia" w:cs="宋体"/>
                <w:color w:val="auto"/>
                <w:sz w:val="24"/>
                <w:szCs w:val="24"/>
                <w:highlight w:val="none"/>
                <w:lang w:val="en-US" w:eastAsia="zh-CN" w:bidi="ar-SA"/>
              </w:rPr>
              <w:t>伍仟玖佰捌拾玖元</w:t>
            </w:r>
            <w:r>
              <w:rPr>
                <w:rFonts w:hint="eastAsia" w:hAnsi="宋体" w:cs="宋体"/>
                <w:color w:val="auto"/>
                <w:sz w:val="24"/>
                <w:szCs w:val="24"/>
                <w:highlight w:val="none"/>
                <w:lang w:val="en-US" w:eastAsia="zh-CN" w:bidi="ar-SA"/>
              </w:rPr>
              <w:t>整）</w:t>
            </w:r>
            <w:r>
              <w:rPr>
                <w:rFonts w:hint="eastAsia" w:cs="宋体"/>
                <w:color w:val="auto"/>
                <w:sz w:val="24"/>
                <w:szCs w:val="24"/>
                <w:highlight w:val="none"/>
                <w:lang w:val="en-US" w:eastAsia="zh-CN" w:bidi="ar-SA"/>
              </w:rPr>
              <w:t>；</w:t>
            </w:r>
          </w:p>
          <w:p>
            <w:pPr>
              <w:ind w:firstLine="480" w:firstLineChars="200"/>
              <w:jc w:val="both"/>
              <w:rPr>
                <w:rFonts w:hint="eastAsia" w:ascii="宋体" w:hAnsi="宋体" w:eastAsia="宋体" w:cs="宋体"/>
                <w:color w:val="auto"/>
                <w:sz w:val="24"/>
                <w:szCs w:val="24"/>
                <w:highlight w:val="none"/>
                <w:lang w:val="en-US" w:eastAsia="zh-CN" w:bidi="ar-SA"/>
              </w:rPr>
            </w:pPr>
            <w:r>
              <w:rPr>
                <w:rFonts w:hint="eastAsia" w:hAnsi="宋体" w:cs="宋体"/>
                <w:color w:val="auto"/>
                <w:sz w:val="24"/>
                <w:szCs w:val="24"/>
                <w:highlight w:val="none"/>
                <w:lang w:val="en-US" w:eastAsia="zh-CN" w:bidi="ar-SA"/>
              </w:rPr>
              <w:t>07包：7354.00元（大写：</w:t>
            </w:r>
            <w:r>
              <w:rPr>
                <w:rFonts w:hint="eastAsia" w:cs="宋体"/>
                <w:color w:val="auto"/>
                <w:sz w:val="24"/>
                <w:szCs w:val="24"/>
                <w:highlight w:val="none"/>
                <w:lang w:val="en-US" w:eastAsia="zh-CN" w:bidi="ar-SA"/>
              </w:rPr>
              <w:t>柒仟叁佰伍拾肆元</w:t>
            </w:r>
            <w:r>
              <w:rPr>
                <w:rFonts w:hint="eastAsia" w:hAnsi="宋体" w:cs="宋体"/>
                <w:color w:val="auto"/>
                <w:sz w:val="24"/>
                <w:szCs w:val="24"/>
                <w:highlight w:val="none"/>
                <w:lang w:val="en-US" w:eastAsia="zh-CN" w:bidi="ar-SA"/>
              </w:rPr>
              <w:t>整）</w:t>
            </w:r>
            <w:r>
              <w:rPr>
                <w:rFonts w:hint="eastAsia" w:ascii="宋体" w:hAnsi="宋体" w:eastAsia="宋体" w:cs="宋体"/>
                <w:color w:val="auto"/>
                <w:sz w:val="24"/>
                <w:szCs w:val="24"/>
                <w:highlight w:val="none"/>
                <w:lang w:val="en-US" w:eastAsia="zh-CN" w:bidi="ar-SA"/>
              </w:rPr>
              <w:t>；</w:t>
            </w:r>
          </w:p>
          <w:p>
            <w:pPr>
              <w:jc w:val="both"/>
              <w:rPr>
                <w:rFonts w:hint="default"/>
                <w:color w:val="auto"/>
                <w:highlight w:val="none"/>
                <w:lang w:val="en-US" w:eastAsia="zh-CN"/>
              </w:rPr>
            </w:pPr>
            <w:r>
              <w:rPr>
                <w:rFonts w:hint="eastAsia" w:ascii="宋体" w:hAnsi="宋体" w:eastAsia="宋体" w:cs="宋体"/>
                <w:color w:val="auto"/>
                <w:sz w:val="24"/>
                <w:szCs w:val="24"/>
                <w:highlight w:val="none"/>
                <w:lang w:val="en-US" w:eastAsia="zh-CN" w:bidi="ar-SA"/>
              </w:rPr>
              <w:t>由中标</w:t>
            </w:r>
            <w:r>
              <w:rPr>
                <w:rFonts w:hint="eastAsia" w:ascii="宋体" w:hAnsi="宋体" w:eastAsia="宋体" w:cs="宋体"/>
                <w:color w:val="auto"/>
                <w:sz w:val="24"/>
                <w:szCs w:val="24"/>
                <w:highlight w:val="none"/>
                <w:lang w:val="zh-CN" w:eastAsia="zh-CN" w:bidi="ar-SA"/>
              </w:rPr>
              <w:t>供应商在领取</w:t>
            </w:r>
            <w:r>
              <w:rPr>
                <w:rFonts w:hint="eastAsia" w:ascii="宋体" w:hAnsi="宋体" w:eastAsia="宋体" w:cs="宋体"/>
                <w:color w:val="auto"/>
                <w:sz w:val="24"/>
                <w:szCs w:val="24"/>
                <w:highlight w:val="none"/>
                <w:lang w:val="en-US" w:eastAsia="zh-CN" w:bidi="ar-SA"/>
              </w:rPr>
              <w:t>中标</w:t>
            </w:r>
            <w:r>
              <w:rPr>
                <w:rFonts w:hint="eastAsia" w:ascii="宋体" w:hAnsi="宋体" w:eastAsia="宋体" w:cs="宋体"/>
                <w:color w:val="auto"/>
                <w:sz w:val="24"/>
                <w:szCs w:val="24"/>
                <w:highlight w:val="none"/>
                <w:lang w:val="zh-CN" w:eastAsia="zh-CN" w:bidi="ar-SA"/>
              </w:rPr>
              <w:t>通知书时一次性支付给采购代理机构。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2" w:type="dxa"/>
            <w:tcBorders>
              <w:tl2br w:val="nil"/>
              <w:tr2bl w:val="nil"/>
            </w:tcBorders>
            <w:vAlign w:val="center"/>
          </w:tcPr>
          <w:p>
            <w:pPr>
              <w:numPr>
                <w:ilvl w:val="0"/>
                <w:numId w:val="2"/>
              </w:numPr>
              <w:ind w:left="0" w:leftChars="0" w:firstLine="0" w:firstLineChars="0"/>
              <w:jc w:val="center"/>
              <w:rPr>
                <w:rFonts w:ascii="宋体" w:hAnsi="宋体" w:eastAsia="宋体" w:cs="宋体"/>
                <w:color w:val="auto"/>
                <w:highlight w:val="none"/>
                <w:vertAlign w:val="baseline"/>
              </w:rPr>
            </w:pPr>
          </w:p>
        </w:tc>
        <w:tc>
          <w:tcPr>
            <w:tcW w:w="1821" w:type="dxa"/>
            <w:tcBorders>
              <w:tl2br w:val="nil"/>
              <w:tr2bl w:val="nil"/>
            </w:tcBorders>
            <w:vAlign w:val="center"/>
          </w:tcPr>
          <w:p>
            <w:pPr>
              <w:jc w:val="center"/>
              <w:rPr>
                <w:rFonts w:hint="eastAsia" w:ascii="宋体" w:hAnsi="宋体" w:eastAsia="宋体" w:cs="宋体"/>
                <w:color w:val="auto"/>
                <w:highlight w:val="none"/>
                <w:vertAlign w:val="baseline"/>
                <w:lang w:val="zh-CN" w:eastAsia="zh-CN"/>
              </w:rPr>
            </w:pPr>
            <w:r>
              <w:rPr>
                <w:rFonts w:hint="eastAsia" w:ascii="宋体" w:hAnsi="宋体" w:eastAsia="宋体" w:cs="宋体"/>
                <w:color w:val="auto"/>
                <w:highlight w:val="none"/>
                <w:vertAlign w:val="baseline"/>
                <w:lang w:val="zh-CN" w:eastAsia="zh-CN"/>
              </w:rPr>
              <w:t>所属行业</w:t>
            </w:r>
          </w:p>
        </w:tc>
        <w:tc>
          <w:tcPr>
            <w:tcW w:w="6537" w:type="dxa"/>
            <w:tcBorders>
              <w:tl2br w:val="nil"/>
              <w:tr2bl w:val="nil"/>
            </w:tcBorders>
            <w:vAlign w:val="center"/>
          </w:tcPr>
          <w:p>
            <w:pPr>
              <w:jc w:val="both"/>
              <w:rPr>
                <w:rFonts w:hint="eastAsia" w:ascii="宋体" w:hAnsi="宋体" w:eastAsia="宋体" w:cs="宋体"/>
                <w:color w:val="auto"/>
                <w:highlight w:val="none"/>
                <w:vertAlign w:val="baseline"/>
                <w:lang w:val="en-US" w:eastAsia="zh-CN"/>
              </w:rPr>
            </w:pPr>
            <w:r>
              <w:rPr>
                <w:rFonts w:hint="eastAsia" w:ascii="宋体" w:hAnsi="宋体" w:eastAsia="宋体" w:cs="宋体"/>
                <w:color w:val="auto"/>
                <w:sz w:val="24"/>
                <w:szCs w:val="22"/>
                <w:highlight w:val="none"/>
                <w:lang w:val="zh-CN" w:eastAsia="zh-CN" w:bidi="ar-SA"/>
              </w:rPr>
              <w:t>所属行业：“所属行业”即标的所属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以上行业分类详见《国民经济行业分类》（GB/T 4754—2017）。</w:t>
            </w:r>
            <w:r>
              <w:rPr>
                <w:rFonts w:hint="eastAsia" w:ascii="宋体" w:hAnsi="宋体" w:eastAsia="宋体" w:cs="宋体"/>
                <w:b/>
                <w:bCs/>
                <w:color w:val="auto"/>
                <w:sz w:val="24"/>
                <w:szCs w:val="22"/>
                <w:highlight w:val="none"/>
                <w:lang w:val="zh-CN" w:eastAsia="zh-CN" w:bidi="ar-SA"/>
              </w:rPr>
              <w:t>本项目属于：工业。</w:t>
            </w:r>
          </w:p>
        </w:tc>
      </w:tr>
    </w:tbl>
    <w:p>
      <w:pPr>
        <w:widowControl/>
        <w:autoSpaceDE/>
        <w:autoSpaceDN/>
        <w:rPr>
          <w:rFonts w:ascii="Arial" w:hAnsi="Arial" w:eastAsia="黑体" w:cs="Times New Roman"/>
          <w:color w:val="auto"/>
          <w:kern w:val="2"/>
          <w:sz w:val="32"/>
          <w:szCs w:val="32"/>
          <w:highlight w:val="none"/>
          <w:lang w:val="en-US"/>
        </w:rPr>
      </w:pPr>
    </w:p>
    <w:p>
      <w:pPr>
        <w:widowControl/>
        <w:autoSpaceDE/>
        <w:autoSpaceDN/>
        <w:rPr>
          <w:rFonts w:ascii="Arial" w:hAnsi="Arial" w:eastAsia="黑体" w:cs="Times New Roman"/>
          <w:b/>
          <w:bCs/>
          <w:color w:val="auto"/>
          <w:kern w:val="2"/>
          <w:sz w:val="32"/>
          <w:szCs w:val="32"/>
          <w:highlight w:val="none"/>
          <w:lang w:val="en-US"/>
        </w:rPr>
      </w:pPr>
      <w:r>
        <w:rPr>
          <w:rFonts w:ascii="Arial" w:hAnsi="Arial" w:eastAsia="黑体" w:cs="Times New Roman"/>
          <w:color w:val="auto"/>
          <w:kern w:val="2"/>
          <w:sz w:val="32"/>
          <w:szCs w:val="32"/>
          <w:highlight w:val="none"/>
          <w:lang w:val="en-US"/>
        </w:rPr>
        <w:br w:type="page"/>
      </w:r>
    </w:p>
    <w:p>
      <w:pPr>
        <w:pStyle w:val="5"/>
        <w:bidi w:val="0"/>
        <w:rPr>
          <w:color w:val="auto"/>
          <w:highlight w:val="none"/>
          <w:lang w:val="en-US"/>
        </w:rPr>
      </w:pPr>
      <w:r>
        <w:rPr>
          <w:rFonts w:hint="eastAsia"/>
          <w:color w:val="auto"/>
          <w:highlight w:val="none"/>
          <w:lang w:val="en-US"/>
        </w:rPr>
        <w:t>二、总则</w:t>
      </w:r>
    </w:p>
    <w:p>
      <w:pPr>
        <w:autoSpaceDE/>
        <w:autoSpaceDN/>
        <w:spacing w:line="360" w:lineRule="auto"/>
        <w:jc w:val="both"/>
        <w:rPr>
          <w:b/>
          <w:color w:val="auto"/>
          <w:sz w:val="26"/>
          <w:highlight w:val="none"/>
        </w:rPr>
      </w:pPr>
      <w:r>
        <w:rPr>
          <w:rFonts w:hint="eastAsia" w:cs="Times New Roman"/>
          <w:b/>
          <w:color w:val="auto"/>
          <w:kern w:val="2"/>
          <w:sz w:val="28"/>
          <w:szCs w:val="28"/>
          <w:highlight w:val="none"/>
          <w:lang w:val="en-US"/>
        </w:rPr>
        <w:t>1.适用范围</w:t>
      </w:r>
    </w:p>
    <w:p>
      <w:pPr>
        <w:autoSpaceDE/>
        <w:autoSpaceDN/>
        <w:spacing w:line="360" w:lineRule="auto"/>
        <w:ind w:firstLine="480" w:firstLineChars="200"/>
        <w:jc w:val="both"/>
        <w:rPr>
          <w:rFonts w:cs="Times New Roman"/>
          <w:color w:val="auto"/>
          <w:kern w:val="2"/>
          <w:sz w:val="24"/>
          <w:szCs w:val="24"/>
          <w:highlight w:val="none"/>
          <w:lang w:val="en-US"/>
        </w:rPr>
      </w:pPr>
      <w:r>
        <w:rPr>
          <w:rFonts w:hint="eastAsia" w:cs="Times New Roman"/>
          <w:color w:val="auto"/>
          <w:kern w:val="2"/>
          <w:sz w:val="24"/>
          <w:szCs w:val="24"/>
          <w:highlight w:val="none"/>
          <w:lang w:val="en-US"/>
        </w:rPr>
        <w:t>1.1 本招标文件仅适用于本次招标采购项目。</w:t>
      </w:r>
    </w:p>
    <w:p>
      <w:pPr>
        <w:spacing w:line="360" w:lineRule="auto"/>
        <w:ind w:firstLine="480" w:firstLineChars="200"/>
        <w:rPr>
          <w:rFonts w:cs="Times New Roman"/>
          <w:color w:val="auto"/>
          <w:kern w:val="2"/>
          <w:sz w:val="24"/>
          <w:szCs w:val="24"/>
          <w:highlight w:val="none"/>
          <w:lang w:val="en-US"/>
        </w:rPr>
      </w:pPr>
      <w:r>
        <w:rPr>
          <w:rFonts w:hint="eastAsia"/>
          <w:color w:val="auto"/>
          <w:sz w:val="24"/>
          <w:highlight w:val="none"/>
        </w:rPr>
        <w:t>1.2 本采购文件的解释权归采购人和采购代理机构所有。</w:t>
      </w:r>
    </w:p>
    <w:p>
      <w:pPr>
        <w:autoSpaceDE/>
        <w:autoSpaceDN/>
        <w:spacing w:line="360" w:lineRule="auto"/>
        <w:jc w:val="both"/>
        <w:rPr>
          <w:b/>
          <w:color w:val="auto"/>
          <w:sz w:val="26"/>
          <w:highlight w:val="none"/>
        </w:rPr>
      </w:pPr>
      <w:r>
        <w:rPr>
          <w:rFonts w:hint="eastAsia" w:cs="Times New Roman"/>
          <w:b/>
          <w:color w:val="auto"/>
          <w:kern w:val="2"/>
          <w:sz w:val="28"/>
          <w:szCs w:val="28"/>
          <w:highlight w:val="none"/>
          <w:lang w:val="en-US"/>
        </w:rPr>
        <w:t>2.有关定义</w:t>
      </w:r>
    </w:p>
    <w:p>
      <w:pPr>
        <w:autoSpaceDE/>
        <w:autoSpaceDN/>
        <w:spacing w:line="360" w:lineRule="auto"/>
        <w:ind w:firstLine="480" w:firstLineChars="200"/>
        <w:jc w:val="both"/>
        <w:rPr>
          <w:rFonts w:cs="Times New Roman"/>
          <w:color w:val="auto"/>
          <w:kern w:val="2"/>
          <w:sz w:val="24"/>
          <w:szCs w:val="24"/>
          <w:highlight w:val="none"/>
          <w:lang w:val="en-US"/>
        </w:rPr>
      </w:pPr>
      <w:r>
        <w:rPr>
          <w:rFonts w:hint="eastAsia" w:cs="Times New Roman"/>
          <w:color w:val="auto"/>
          <w:kern w:val="2"/>
          <w:sz w:val="24"/>
          <w:szCs w:val="24"/>
          <w:highlight w:val="none"/>
          <w:lang w:val="en-US"/>
        </w:rPr>
        <w:t>2.1 “采购人”系指依法进行政府采购的国家机关、事业单位、团体组织。本次招标的采购人是</w:t>
      </w:r>
      <w:r>
        <w:rPr>
          <w:rFonts w:hint="eastAsia" w:cs="Times New Roman"/>
          <w:color w:val="auto"/>
          <w:kern w:val="2"/>
          <w:sz w:val="24"/>
          <w:szCs w:val="24"/>
          <w:highlight w:val="none"/>
          <w:lang w:val="en-US" w:eastAsia="zh-CN"/>
        </w:rPr>
        <w:t>富顺县中医医院</w:t>
      </w:r>
      <w:r>
        <w:rPr>
          <w:rFonts w:hint="eastAsia" w:cs="Times New Roman"/>
          <w:color w:val="auto"/>
          <w:kern w:val="2"/>
          <w:sz w:val="24"/>
          <w:szCs w:val="24"/>
          <w:highlight w:val="none"/>
          <w:lang w:val="en-US"/>
        </w:rPr>
        <w:t>。</w:t>
      </w:r>
    </w:p>
    <w:p>
      <w:pPr>
        <w:autoSpaceDE/>
        <w:autoSpaceDN/>
        <w:spacing w:line="360" w:lineRule="auto"/>
        <w:ind w:firstLine="480" w:firstLineChars="200"/>
        <w:jc w:val="both"/>
        <w:rPr>
          <w:rFonts w:cs="Times New Roman"/>
          <w:color w:val="auto"/>
          <w:kern w:val="2"/>
          <w:sz w:val="24"/>
          <w:szCs w:val="24"/>
          <w:highlight w:val="none"/>
          <w:lang w:val="en-US"/>
        </w:rPr>
      </w:pPr>
      <w:r>
        <w:rPr>
          <w:rFonts w:hint="eastAsia" w:cs="Times New Roman"/>
          <w:color w:val="auto"/>
          <w:kern w:val="2"/>
          <w:sz w:val="24"/>
          <w:szCs w:val="24"/>
          <w:highlight w:val="none"/>
          <w:lang w:val="en-US"/>
        </w:rPr>
        <w:t>2.2 “采购代理机构”系指根据采购人的委托依法办理招标事宜的采购机构。本次招标的采购代理机构是</w:t>
      </w:r>
      <w:r>
        <w:rPr>
          <w:rFonts w:hint="eastAsia" w:cs="Times New Roman"/>
          <w:color w:val="auto"/>
          <w:kern w:val="2"/>
          <w:sz w:val="24"/>
          <w:szCs w:val="24"/>
          <w:highlight w:val="none"/>
          <w:u w:val="none"/>
          <w:lang w:val="en-US" w:eastAsia="zh-CN"/>
        </w:rPr>
        <w:t>四川哲胜招标代理有限公司</w:t>
      </w:r>
      <w:r>
        <w:rPr>
          <w:rFonts w:hint="eastAsia" w:cs="Times New Roman"/>
          <w:color w:val="auto"/>
          <w:kern w:val="2"/>
          <w:sz w:val="24"/>
          <w:szCs w:val="24"/>
          <w:highlight w:val="none"/>
          <w:lang w:val="en-US"/>
        </w:rPr>
        <w:t>。</w:t>
      </w:r>
    </w:p>
    <w:p>
      <w:pPr>
        <w:autoSpaceDE/>
        <w:autoSpaceDN/>
        <w:spacing w:line="360" w:lineRule="auto"/>
        <w:ind w:firstLine="480" w:firstLineChars="200"/>
        <w:jc w:val="both"/>
        <w:rPr>
          <w:rFonts w:cs="Times New Roman"/>
          <w:color w:val="auto"/>
          <w:kern w:val="2"/>
          <w:sz w:val="24"/>
          <w:szCs w:val="24"/>
          <w:highlight w:val="none"/>
          <w:lang w:val="en-US"/>
        </w:rPr>
      </w:pPr>
      <w:r>
        <w:rPr>
          <w:rFonts w:hint="eastAsia" w:cs="Times New Roman"/>
          <w:color w:val="auto"/>
          <w:kern w:val="2"/>
          <w:sz w:val="24"/>
          <w:szCs w:val="24"/>
          <w:highlight w:val="none"/>
          <w:lang w:val="en-US"/>
        </w:rPr>
        <w:t>2.3 “招标采购单位”系指“采购人”和“采购代理机构”的统称。</w:t>
      </w:r>
    </w:p>
    <w:p>
      <w:pPr>
        <w:autoSpaceDE/>
        <w:autoSpaceDN/>
        <w:spacing w:line="360" w:lineRule="auto"/>
        <w:ind w:firstLine="480" w:firstLineChars="200"/>
        <w:jc w:val="both"/>
        <w:rPr>
          <w:rFonts w:cs="Times New Roman"/>
          <w:color w:val="auto"/>
          <w:kern w:val="2"/>
          <w:sz w:val="24"/>
          <w:szCs w:val="24"/>
          <w:highlight w:val="none"/>
          <w:lang w:val="en-US"/>
        </w:rPr>
      </w:pPr>
      <w:r>
        <w:rPr>
          <w:rFonts w:hint="eastAsia" w:cs="Times New Roman"/>
          <w:color w:val="auto"/>
          <w:kern w:val="2"/>
          <w:sz w:val="24"/>
          <w:szCs w:val="24"/>
          <w:highlight w:val="none"/>
          <w:lang w:val="en-US"/>
        </w:rPr>
        <w:t>2.4 “投标人”系指购买了招标文件拟参加投标和向采购人提供货物及相应服务的供应商。</w:t>
      </w:r>
    </w:p>
    <w:p>
      <w:pPr>
        <w:autoSpaceDE/>
        <w:autoSpaceDN/>
        <w:spacing w:line="360" w:lineRule="auto"/>
        <w:jc w:val="both"/>
        <w:rPr>
          <w:b/>
          <w:color w:val="auto"/>
          <w:sz w:val="26"/>
          <w:highlight w:val="none"/>
        </w:rPr>
      </w:pPr>
      <w:r>
        <w:rPr>
          <w:rFonts w:hint="eastAsia" w:cs="Times New Roman"/>
          <w:b/>
          <w:color w:val="auto"/>
          <w:kern w:val="2"/>
          <w:sz w:val="28"/>
          <w:szCs w:val="28"/>
          <w:highlight w:val="none"/>
          <w:lang w:val="en-US"/>
        </w:rPr>
        <w:t>3.合格的投标人（实质性要求）</w:t>
      </w:r>
    </w:p>
    <w:p>
      <w:pPr>
        <w:autoSpaceDE/>
        <w:autoSpaceDN/>
        <w:spacing w:line="360" w:lineRule="auto"/>
        <w:ind w:firstLine="480" w:firstLineChars="200"/>
        <w:jc w:val="both"/>
        <w:rPr>
          <w:rFonts w:cs="Times New Roman"/>
          <w:color w:val="auto"/>
          <w:kern w:val="2"/>
          <w:sz w:val="24"/>
          <w:szCs w:val="24"/>
          <w:highlight w:val="none"/>
          <w:lang w:val="en-US"/>
        </w:rPr>
      </w:pPr>
      <w:r>
        <w:rPr>
          <w:rFonts w:hint="eastAsia" w:cs="Times New Roman"/>
          <w:color w:val="auto"/>
          <w:kern w:val="2"/>
          <w:sz w:val="24"/>
          <w:szCs w:val="24"/>
          <w:highlight w:val="none"/>
          <w:lang w:val="en-US"/>
        </w:rPr>
        <w:t>合格的投标人应具备以下条件：</w:t>
      </w:r>
    </w:p>
    <w:p>
      <w:pPr>
        <w:autoSpaceDE/>
        <w:autoSpaceDN/>
        <w:spacing w:line="360" w:lineRule="auto"/>
        <w:ind w:firstLine="480" w:firstLineChars="200"/>
        <w:jc w:val="both"/>
        <w:rPr>
          <w:rFonts w:cs="Times New Roman"/>
          <w:color w:val="auto"/>
          <w:kern w:val="2"/>
          <w:sz w:val="24"/>
          <w:szCs w:val="24"/>
          <w:highlight w:val="none"/>
          <w:lang w:val="en-US"/>
        </w:rPr>
      </w:pPr>
      <w:r>
        <w:rPr>
          <w:rFonts w:hint="eastAsia" w:cs="Times New Roman"/>
          <w:color w:val="auto"/>
          <w:kern w:val="2"/>
          <w:sz w:val="24"/>
          <w:szCs w:val="24"/>
          <w:highlight w:val="none"/>
          <w:lang w:val="en-US"/>
        </w:rPr>
        <w:t>3.1 本招标文件规定的供应商资格条件；</w:t>
      </w:r>
    </w:p>
    <w:p>
      <w:pPr>
        <w:autoSpaceDE/>
        <w:autoSpaceDN/>
        <w:spacing w:line="360" w:lineRule="auto"/>
        <w:ind w:firstLine="480" w:firstLineChars="200"/>
        <w:jc w:val="both"/>
        <w:rPr>
          <w:rFonts w:cs="Times New Roman"/>
          <w:color w:val="auto"/>
          <w:kern w:val="2"/>
          <w:sz w:val="24"/>
          <w:szCs w:val="24"/>
          <w:highlight w:val="none"/>
          <w:lang w:val="en-US"/>
        </w:rPr>
      </w:pPr>
      <w:r>
        <w:rPr>
          <w:rFonts w:hint="eastAsia" w:cs="Times New Roman"/>
          <w:color w:val="auto"/>
          <w:kern w:val="2"/>
          <w:sz w:val="24"/>
          <w:szCs w:val="24"/>
          <w:highlight w:val="none"/>
          <w:lang w:val="en-US"/>
        </w:rPr>
        <w:t>3.2 遵守国家有关的法律、法规、规章和其他政策制度；</w:t>
      </w:r>
    </w:p>
    <w:p>
      <w:pPr>
        <w:autoSpaceDE/>
        <w:autoSpaceDN/>
        <w:spacing w:line="360" w:lineRule="auto"/>
        <w:ind w:firstLine="480" w:firstLineChars="200"/>
        <w:jc w:val="both"/>
        <w:rPr>
          <w:rFonts w:cs="Times New Roman"/>
          <w:color w:val="auto"/>
          <w:kern w:val="2"/>
          <w:sz w:val="24"/>
          <w:szCs w:val="24"/>
          <w:highlight w:val="none"/>
          <w:lang w:val="en-US"/>
        </w:rPr>
      </w:pPr>
      <w:r>
        <w:rPr>
          <w:rFonts w:hint="eastAsia" w:cs="Times New Roman"/>
          <w:color w:val="auto"/>
          <w:kern w:val="2"/>
          <w:sz w:val="24"/>
          <w:szCs w:val="24"/>
          <w:highlight w:val="none"/>
          <w:lang w:val="en-US"/>
        </w:rPr>
        <w:t>3.3 在</w:t>
      </w:r>
      <w:r>
        <w:rPr>
          <w:rFonts w:hint="eastAsia" w:cs="Times New Roman"/>
          <w:color w:val="auto"/>
          <w:kern w:val="2"/>
          <w:sz w:val="24"/>
          <w:szCs w:val="24"/>
          <w:highlight w:val="none"/>
          <w:lang w:val="en-US" w:eastAsia="zh-CN"/>
        </w:rPr>
        <w:t>中国政府采购网</w:t>
      </w:r>
      <w:r>
        <w:rPr>
          <w:rFonts w:hint="eastAsia" w:cs="Times New Roman"/>
          <w:color w:val="auto"/>
          <w:kern w:val="2"/>
          <w:sz w:val="24"/>
          <w:szCs w:val="24"/>
          <w:highlight w:val="none"/>
          <w:lang w:val="en-US"/>
        </w:rPr>
        <w:t>上</w:t>
      </w:r>
      <w:r>
        <w:rPr>
          <w:rFonts w:hint="eastAsia" w:cs="Times New Roman"/>
          <w:color w:val="auto"/>
          <w:kern w:val="2"/>
          <w:sz w:val="24"/>
          <w:szCs w:val="24"/>
          <w:highlight w:val="none"/>
          <w:lang w:val="en-US" w:eastAsia="zh-CN"/>
        </w:rPr>
        <w:t>获取了</w:t>
      </w:r>
      <w:r>
        <w:rPr>
          <w:rFonts w:hint="eastAsia" w:cs="Times New Roman"/>
          <w:color w:val="auto"/>
          <w:kern w:val="2"/>
          <w:sz w:val="24"/>
          <w:szCs w:val="24"/>
          <w:highlight w:val="none"/>
          <w:lang w:val="en-US"/>
        </w:rPr>
        <w:t>招标文件，否则无资格参加本次投标。</w:t>
      </w:r>
    </w:p>
    <w:p>
      <w:pPr>
        <w:autoSpaceDE/>
        <w:autoSpaceDN/>
        <w:spacing w:line="360" w:lineRule="auto"/>
        <w:jc w:val="both"/>
        <w:rPr>
          <w:b/>
          <w:color w:val="auto"/>
          <w:sz w:val="27"/>
          <w:highlight w:val="none"/>
        </w:rPr>
      </w:pPr>
      <w:r>
        <w:rPr>
          <w:rFonts w:hint="eastAsia" w:cs="Times New Roman"/>
          <w:b/>
          <w:color w:val="auto"/>
          <w:kern w:val="2"/>
          <w:sz w:val="28"/>
          <w:szCs w:val="28"/>
          <w:highlight w:val="none"/>
          <w:lang w:val="en-US"/>
        </w:rPr>
        <w:t>4.投标费用（实质性要求）</w:t>
      </w:r>
    </w:p>
    <w:p>
      <w:pPr>
        <w:autoSpaceDE/>
        <w:autoSpaceDN/>
        <w:spacing w:line="360" w:lineRule="auto"/>
        <w:ind w:firstLine="480" w:firstLineChars="200"/>
        <w:jc w:val="both"/>
        <w:rPr>
          <w:rFonts w:cs="Times New Roman"/>
          <w:color w:val="auto"/>
          <w:kern w:val="2"/>
          <w:sz w:val="24"/>
          <w:szCs w:val="24"/>
          <w:highlight w:val="none"/>
          <w:lang w:val="en-US"/>
        </w:rPr>
      </w:pPr>
      <w:r>
        <w:rPr>
          <w:rFonts w:hint="eastAsia" w:cs="Times New Roman"/>
          <w:color w:val="auto"/>
          <w:kern w:val="2"/>
          <w:sz w:val="24"/>
          <w:szCs w:val="24"/>
          <w:highlight w:val="none"/>
          <w:lang w:val="en-US"/>
        </w:rPr>
        <w:t>投标人参加投标的有关费用由投标人自行承担。</w:t>
      </w:r>
    </w:p>
    <w:p>
      <w:pPr>
        <w:autoSpaceDE/>
        <w:autoSpaceDN/>
        <w:spacing w:line="360" w:lineRule="auto"/>
        <w:jc w:val="both"/>
        <w:rPr>
          <w:b/>
          <w:color w:val="auto"/>
          <w:sz w:val="31"/>
          <w:highlight w:val="none"/>
        </w:rPr>
      </w:pPr>
      <w:r>
        <w:rPr>
          <w:rFonts w:hint="eastAsia" w:cs="Times New Roman"/>
          <w:b/>
          <w:color w:val="auto"/>
          <w:kern w:val="2"/>
          <w:sz w:val="28"/>
          <w:szCs w:val="28"/>
          <w:highlight w:val="none"/>
          <w:lang w:val="en-US"/>
        </w:rPr>
        <w:t>5.充分、公平竞争保障措施（实质性要求）</w:t>
      </w:r>
    </w:p>
    <w:p>
      <w:pPr>
        <w:wordWrap w:val="0"/>
        <w:autoSpaceDE/>
        <w:autoSpaceDN/>
        <w:spacing w:line="360" w:lineRule="auto"/>
        <w:ind w:firstLine="480" w:firstLineChars="200"/>
        <w:jc w:val="both"/>
        <w:rPr>
          <w:rFonts w:hint="eastAsia" w:ascii="宋体" w:hAnsi="宋体" w:eastAsia="宋体" w:cs="Times New Roman"/>
          <w:color w:val="auto"/>
          <w:kern w:val="2"/>
          <w:sz w:val="24"/>
          <w:szCs w:val="24"/>
          <w:highlight w:val="none"/>
          <w:lang w:val="en-US"/>
        </w:rPr>
      </w:pPr>
      <w:r>
        <w:rPr>
          <w:rFonts w:hint="eastAsia" w:ascii="宋体" w:hAnsi="宋体" w:eastAsia="宋体" w:cs="Times New Roman"/>
          <w:color w:val="auto"/>
          <w:kern w:val="2"/>
          <w:sz w:val="24"/>
          <w:szCs w:val="24"/>
          <w:highlight w:val="none"/>
          <w:lang w:val="en-US"/>
        </w:rPr>
        <w:t>5.1 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wordWrap w:val="0"/>
        <w:autoSpaceDE/>
        <w:autoSpaceDN/>
        <w:spacing w:line="360" w:lineRule="auto"/>
        <w:ind w:firstLine="480" w:firstLineChars="200"/>
        <w:jc w:val="both"/>
        <w:rPr>
          <w:rFonts w:hint="eastAsia" w:ascii="宋体" w:hAnsi="宋体" w:eastAsia="宋体" w:cs="Times New Roman"/>
          <w:color w:val="auto"/>
          <w:kern w:val="2"/>
          <w:sz w:val="24"/>
          <w:szCs w:val="24"/>
          <w:highlight w:val="none"/>
          <w:lang w:val="en-US"/>
        </w:rPr>
      </w:pPr>
      <w:r>
        <w:rPr>
          <w:rFonts w:hint="eastAsia" w:ascii="宋体" w:hAnsi="宋体" w:eastAsia="宋体" w:cs="Times New Roman"/>
          <w:color w:val="auto"/>
          <w:kern w:val="2"/>
          <w:sz w:val="24"/>
          <w:szCs w:val="24"/>
          <w:highlight w:val="none"/>
          <w:lang w:val="en-US"/>
        </w:rPr>
        <w:t>5.2利害关系授权代表处理。两家以上的供应商不得在同一合同项下的采购项目中，委托同一个自然人、同一家庭的人员、同一单位的人员作为其授权代表，否则，其响应文件作为无效处理。</w:t>
      </w:r>
    </w:p>
    <w:p>
      <w:pPr>
        <w:wordWrap w:val="0"/>
        <w:autoSpaceDE/>
        <w:autoSpaceDN/>
        <w:spacing w:line="360" w:lineRule="auto"/>
        <w:ind w:firstLine="480" w:firstLineChars="200"/>
        <w:jc w:val="both"/>
        <w:rPr>
          <w:rFonts w:hint="eastAsia" w:ascii="宋体" w:hAnsi="宋体" w:eastAsia="宋体" w:cs="Times New Roman"/>
          <w:color w:val="auto"/>
          <w:kern w:val="2"/>
          <w:sz w:val="24"/>
          <w:szCs w:val="24"/>
          <w:highlight w:val="none"/>
          <w:lang w:val="en-US" w:eastAsia="zh-CN"/>
        </w:rPr>
      </w:pPr>
      <w:r>
        <w:rPr>
          <w:rFonts w:hint="eastAsia" w:ascii="宋体" w:hAnsi="宋体" w:eastAsia="宋体" w:cs="Times New Roman"/>
          <w:color w:val="auto"/>
          <w:kern w:val="2"/>
          <w:sz w:val="24"/>
          <w:szCs w:val="24"/>
          <w:highlight w:val="none"/>
          <w:lang w:val="en-US"/>
        </w:rPr>
        <w:t>5.3 前期参与供应商处理。为采购项目提供整体设计、规范编制或者项目管理、监理、检测等服务的供应商，不得再参加该采购项目的其他采购活动。供应商为采购人、采购代理机构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pPr>
        <w:wordWrap w:val="0"/>
        <w:autoSpaceDE/>
        <w:autoSpaceDN/>
        <w:spacing w:line="360" w:lineRule="auto"/>
        <w:ind w:firstLine="480" w:firstLineChars="200"/>
        <w:jc w:val="both"/>
        <w:rPr>
          <w:rFonts w:hint="eastAsia" w:ascii="宋体" w:hAnsi="宋体" w:eastAsia="宋体" w:cs="Times New Roman"/>
          <w:color w:val="auto"/>
          <w:kern w:val="2"/>
          <w:sz w:val="24"/>
          <w:szCs w:val="24"/>
          <w:highlight w:val="none"/>
          <w:lang w:val="en-US"/>
        </w:rPr>
      </w:pPr>
      <w:r>
        <w:rPr>
          <w:rFonts w:hint="eastAsia" w:ascii="宋体" w:hAnsi="宋体" w:eastAsia="宋体" w:cs="Times New Roman"/>
          <w:color w:val="auto"/>
          <w:kern w:val="2"/>
          <w:sz w:val="24"/>
          <w:szCs w:val="24"/>
          <w:highlight w:val="none"/>
          <w:lang w:val="en-US"/>
        </w:rPr>
        <w:t>5.4 提供相同品牌产品处理。提供相同品牌产品且通过资格审查的不同供应商参加同一合同项下采购项目的，按一家供应商计算，评审后得分最高的同品牌供应商获得成交供应商推荐资格；评审得分相同的，由采购人/采购人委托</w:t>
      </w:r>
      <w:r>
        <w:rPr>
          <w:rFonts w:hint="eastAsia" w:ascii="宋体" w:hAnsi="宋体" w:eastAsia="宋体" w:cs="Times New Roman"/>
          <w:color w:val="auto"/>
          <w:kern w:val="2"/>
          <w:sz w:val="24"/>
          <w:szCs w:val="24"/>
          <w:highlight w:val="none"/>
          <w:lang w:val="en-US" w:eastAsia="zh-CN"/>
        </w:rPr>
        <w:t>评审</w:t>
      </w:r>
      <w:r>
        <w:rPr>
          <w:rFonts w:hint="eastAsia" w:ascii="宋体" w:hAnsi="宋体" w:eastAsia="宋体" w:cs="Times New Roman"/>
          <w:color w:val="auto"/>
          <w:kern w:val="2"/>
          <w:sz w:val="24"/>
          <w:szCs w:val="24"/>
          <w:highlight w:val="none"/>
          <w:lang w:val="en-US"/>
        </w:rPr>
        <w:t>小组自主采取公平、择优的方式确定一个供应商获得成交供应商推荐资格，其他同品牌供应商不作为成交供应商候选人。</w:t>
      </w:r>
    </w:p>
    <w:p>
      <w:pPr>
        <w:wordWrap w:val="0"/>
        <w:autoSpaceDE/>
        <w:autoSpaceDN/>
        <w:spacing w:line="360" w:lineRule="auto"/>
        <w:ind w:firstLine="480" w:firstLineChars="200"/>
        <w:jc w:val="both"/>
        <w:rPr>
          <w:rFonts w:hint="eastAsia" w:ascii="宋体" w:hAnsi="宋体" w:eastAsia="宋体" w:cs="Times New Roman"/>
          <w:color w:val="auto"/>
          <w:kern w:val="2"/>
          <w:sz w:val="24"/>
          <w:szCs w:val="24"/>
          <w:highlight w:val="none"/>
          <w:lang w:val="en-US"/>
        </w:rPr>
      </w:pPr>
      <w:r>
        <w:rPr>
          <w:rFonts w:hint="eastAsia" w:ascii="宋体" w:hAnsi="宋体" w:eastAsia="宋体" w:cs="Times New Roman"/>
          <w:color w:val="auto"/>
          <w:kern w:val="2"/>
          <w:sz w:val="24"/>
          <w:szCs w:val="24"/>
          <w:highlight w:val="none"/>
          <w:lang w:val="en-US"/>
        </w:rPr>
        <w:t>非单一产品采购项目中，多家供应商提供的部分或所有核心产品品牌相同的，视为提供相同品牌产品。</w:t>
      </w:r>
      <w:r>
        <w:rPr>
          <w:rFonts w:hint="eastAsia" w:ascii="宋体" w:hAnsi="宋体" w:eastAsia="宋体" w:cs="Times New Roman"/>
          <w:b/>
          <w:bCs/>
          <w:color w:val="auto"/>
          <w:kern w:val="2"/>
          <w:sz w:val="24"/>
          <w:szCs w:val="24"/>
          <w:highlight w:val="none"/>
          <w:lang w:val="en-US" w:eastAsia="zh-CN"/>
        </w:rPr>
        <w:t>（本项目核心产品为：02包：★31一次性使用吸氧管(带无菌湿化瓶）</w:t>
      </w:r>
      <w:r>
        <w:rPr>
          <w:rFonts w:hint="eastAsia" w:cs="Times New Roman"/>
          <w:b/>
          <w:bCs/>
          <w:color w:val="auto"/>
          <w:kern w:val="2"/>
          <w:sz w:val="24"/>
          <w:szCs w:val="24"/>
          <w:highlight w:val="none"/>
          <w:lang w:val="en-US" w:eastAsia="zh-CN"/>
        </w:rPr>
        <w:t>；</w:t>
      </w:r>
      <w:r>
        <w:rPr>
          <w:rFonts w:hint="eastAsia" w:ascii="宋体" w:hAnsi="宋体" w:eastAsia="宋体" w:cs="Times New Roman"/>
          <w:b/>
          <w:bCs/>
          <w:color w:val="auto"/>
          <w:kern w:val="2"/>
          <w:sz w:val="24"/>
          <w:szCs w:val="24"/>
          <w:highlight w:val="none"/>
          <w:lang w:val="en-US" w:eastAsia="zh-CN"/>
        </w:rPr>
        <w:t>03包：★18血糖试纸</w:t>
      </w:r>
      <w:r>
        <w:rPr>
          <w:rFonts w:hint="eastAsia" w:cs="Times New Roman"/>
          <w:b/>
          <w:bCs/>
          <w:color w:val="auto"/>
          <w:kern w:val="2"/>
          <w:sz w:val="24"/>
          <w:szCs w:val="24"/>
          <w:highlight w:val="none"/>
          <w:lang w:val="en-US" w:eastAsia="zh-CN"/>
        </w:rPr>
        <w:t>；</w:t>
      </w:r>
      <w:r>
        <w:rPr>
          <w:rFonts w:hint="eastAsia" w:ascii="宋体" w:hAnsi="宋体" w:eastAsia="宋体" w:cs="Times New Roman"/>
          <w:b/>
          <w:bCs/>
          <w:color w:val="auto"/>
          <w:kern w:val="2"/>
          <w:sz w:val="24"/>
          <w:szCs w:val="24"/>
          <w:highlight w:val="none"/>
          <w:lang w:val="en-US" w:eastAsia="zh-CN"/>
        </w:rPr>
        <w:t>04包：★4一次性使用氧气雾化器，★5一次性使用氧气雾化器</w:t>
      </w:r>
      <w:r>
        <w:rPr>
          <w:rFonts w:hint="eastAsia" w:cs="Times New Roman"/>
          <w:b/>
          <w:bCs/>
          <w:color w:val="auto"/>
          <w:kern w:val="2"/>
          <w:sz w:val="24"/>
          <w:szCs w:val="24"/>
          <w:highlight w:val="none"/>
          <w:lang w:val="en-US" w:eastAsia="zh-CN"/>
        </w:rPr>
        <w:t>；</w:t>
      </w:r>
      <w:r>
        <w:rPr>
          <w:rFonts w:hint="eastAsia" w:ascii="宋体" w:hAnsi="宋体" w:eastAsia="宋体" w:cs="Times New Roman"/>
          <w:b/>
          <w:bCs/>
          <w:color w:val="auto"/>
          <w:kern w:val="2"/>
          <w:sz w:val="24"/>
          <w:szCs w:val="24"/>
          <w:highlight w:val="none"/>
          <w:lang w:val="en-US" w:eastAsia="zh-CN"/>
        </w:rPr>
        <w:t>07包：★1胶原蛋白海绵，★2胶原蛋白海绵，★3胶原蛋白海绵）</w:t>
      </w:r>
    </w:p>
    <w:p>
      <w:pPr>
        <w:wordWrap w:val="0"/>
        <w:autoSpaceDE/>
        <w:autoSpaceDN/>
        <w:spacing w:line="360" w:lineRule="auto"/>
        <w:ind w:firstLine="480" w:firstLineChars="200"/>
        <w:jc w:val="both"/>
        <w:rPr>
          <w:rFonts w:hint="eastAsia" w:ascii="宋体" w:hAnsi="宋体" w:eastAsia="宋体" w:cs="Times New Roman"/>
          <w:color w:val="auto"/>
          <w:kern w:val="2"/>
          <w:sz w:val="24"/>
          <w:szCs w:val="24"/>
          <w:highlight w:val="none"/>
          <w:lang w:val="en-US"/>
        </w:rPr>
      </w:pPr>
      <w:r>
        <w:rPr>
          <w:rFonts w:hint="eastAsia" w:ascii="宋体" w:hAnsi="宋体" w:eastAsia="宋体" w:cs="Times New Roman"/>
          <w:color w:val="auto"/>
          <w:kern w:val="2"/>
          <w:sz w:val="24"/>
          <w:szCs w:val="24"/>
          <w:highlight w:val="none"/>
          <w:lang w:val="en-US"/>
        </w:rPr>
        <w:t>5.5 供应商实际控制人或者中高级管理人员，同时是采购代理机构工作人员，不得参与本项目采购活动。</w:t>
      </w:r>
    </w:p>
    <w:p>
      <w:pPr>
        <w:wordWrap w:val="0"/>
        <w:autoSpaceDE/>
        <w:autoSpaceDN/>
        <w:spacing w:line="360" w:lineRule="auto"/>
        <w:ind w:firstLine="480" w:firstLineChars="200"/>
        <w:jc w:val="both"/>
        <w:rPr>
          <w:rFonts w:hint="eastAsia" w:ascii="宋体" w:hAnsi="宋体" w:eastAsia="宋体" w:cs="Times New Roman"/>
          <w:color w:val="auto"/>
          <w:kern w:val="2"/>
          <w:sz w:val="24"/>
          <w:szCs w:val="24"/>
          <w:highlight w:val="none"/>
          <w:lang w:val="en-US"/>
        </w:rPr>
      </w:pPr>
      <w:r>
        <w:rPr>
          <w:rFonts w:hint="eastAsia" w:ascii="宋体" w:hAnsi="宋体" w:eastAsia="宋体" w:cs="Times New Roman"/>
          <w:color w:val="auto"/>
          <w:kern w:val="2"/>
          <w:sz w:val="24"/>
          <w:szCs w:val="24"/>
          <w:highlight w:val="none"/>
          <w:lang w:val="en-US"/>
        </w:rPr>
        <w:t>5.6 同一母公司的两家以上的子公司只能组成联合体参加本项目同一合同项下的采购活动，不得以不同供应商身份同时参加本项目同一合同项下的采购活动。</w:t>
      </w:r>
    </w:p>
    <w:p>
      <w:pPr>
        <w:wordWrap w:val="0"/>
        <w:autoSpaceDE/>
        <w:autoSpaceDN/>
        <w:spacing w:line="360" w:lineRule="auto"/>
        <w:ind w:firstLine="480" w:firstLineChars="200"/>
        <w:jc w:val="both"/>
        <w:rPr>
          <w:rFonts w:hint="eastAsia" w:ascii="宋体" w:hAnsi="宋体" w:eastAsia="宋体" w:cs="Times New Roman"/>
          <w:color w:val="auto"/>
          <w:kern w:val="2"/>
          <w:sz w:val="24"/>
          <w:szCs w:val="24"/>
          <w:highlight w:val="none"/>
          <w:lang w:val="en-US"/>
        </w:rPr>
      </w:pPr>
      <w:r>
        <w:rPr>
          <w:rFonts w:hint="eastAsia" w:ascii="宋体" w:hAnsi="宋体" w:eastAsia="宋体" w:cs="Times New Roman"/>
          <w:color w:val="auto"/>
          <w:kern w:val="2"/>
          <w:sz w:val="24"/>
          <w:szCs w:val="24"/>
          <w:highlight w:val="none"/>
          <w:lang w:val="en-US"/>
        </w:rPr>
        <w:t>5.7 供应商与采购代理机构存在关联关系，或者是采购代理机构的母公司或子公司，不得参加本项目采购活动。</w:t>
      </w:r>
    </w:p>
    <w:p>
      <w:pPr>
        <w:wordWrap w:val="0"/>
        <w:autoSpaceDE/>
        <w:autoSpaceDN/>
        <w:spacing w:line="360" w:lineRule="auto"/>
        <w:ind w:firstLine="480" w:firstLineChars="200"/>
        <w:jc w:val="both"/>
        <w:rPr>
          <w:rFonts w:hint="eastAsia" w:ascii="宋体" w:hAnsi="宋体" w:eastAsia="宋体" w:cs="Times New Roman"/>
          <w:color w:val="auto"/>
          <w:kern w:val="2"/>
          <w:sz w:val="24"/>
          <w:szCs w:val="24"/>
          <w:highlight w:val="none"/>
          <w:lang w:val="en-US"/>
        </w:rPr>
      </w:pPr>
      <w:r>
        <w:rPr>
          <w:rFonts w:hint="eastAsia" w:ascii="宋体" w:hAnsi="宋体" w:eastAsia="宋体" w:cs="Times New Roman"/>
          <w:color w:val="auto"/>
          <w:kern w:val="2"/>
          <w:sz w:val="24"/>
          <w:szCs w:val="24"/>
          <w:highlight w:val="none"/>
          <w:lang w:val="en-US"/>
        </w:rPr>
        <w:t>5.8 回避。采购活动中，采购人员及相关人员与供应商有下列利害关系之一的，应当回避：</w:t>
      </w:r>
    </w:p>
    <w:p>
      <w:pPr>
        <w:wordWrap w:val="0"/>
        <w:autoSpaceDE/>
        <w:autoSpaceDN/>
        <w:spacing w:line="360" w:lineRule="auto"/>
        <w:ind w:firstLine="480" w:firstLineChars="200"/>
        <w:jc w:val="both"/>
        <w:rPr>
          <w:rFonts w:hint="eastAsia" w:ascii="宋体" w:hAnsi="宋体" w:eastAsia="宋体" w:cs="Times New Roman"/>
          <w:color w:val="auto"/>
          <w:kern w:val="2"/>
          <w:sz w:val="24"/>
          <w:szCs w:val="24"/>
          <w:highlight w:val="none"/>
          <w:lang w:val="en-US"/>
        </w:rPr>
      </w:pPr>
      <w:r>
        <w:rPr>
          <w:rFonts w:hint="eastAsia" w:ascii="宋体" w:hAnsi="宋体" w:eastAsia="宋体" w:cs="Times New Roman"/>
          <w:color w:val="auto"/>
          <w:kern w:val="2"/>
          <w:sz w:val="24"/>
          <w:szCs w:val="24"/>
          <w:highlight w:val="none"/>
          <w:lang w:val="en-US"/>
        </w:rPr>
        <w:t>（1）参加采购活动前3年内与供应商存在劳动关系；</w:t>
      </w:r>
    </w:p>
    <w:p>
      <w:pPr>
        <w:wordWrap w:val="0"/>
        <w:autoSpaceDE/>
        <w:autoSpaceDN/>
        <w:spacing w:line="360" w:lineRule="auto"/>
        <w:ind w:firstLine="480" w:firstLineChars="200"/>
        <w:jc w:val="both"/>
        <w:rPr>
          <w:rFonts w:hint="eastAsia" w:ascii="宋体" w:hAnsi="宋体" w:eastAsia="宋体" w:cs="Times New Roman"/>
          <w:color w:val="auto"/>
          <w:kern w:val="2"/>
          <w:sz w:val="24"/>
          <w:szCs w:val="24"/>
          <w:highlight w:val="none"/>
          <w:lang w:val="en-US"/>
        </w:rPr>
      </w:pPr>
      <w:r>
        <w:rPr>
          <w:rFonts w:hint="eastAsia" w:ascii="宋体" w:hAnsi="宋体" w:eastAsia="宋体" w:cs="Times New Roman"/>
          <w:color w:val="auto"/>
          <w:kern w:val="2"/>
          <w:sz w:val="24"/>
          <w:szCs w:val="24"/>
          <w:highlight w:val="none"/>
          <w:lang w:val="en-US"/>
        </w:rPr>
        <w:t>（2）参加采购活动前3年内担任供应商的董事、监事；</w:t>
      </w:r>
    </w:p>
    <w:p>
      <w:pPr>
        <w:wordWrap w:val="0"/>
        <w:autoSpaceDE/>
        <w:autoSpaceDN/>
        <w:spacing w:line="360" w:lineRule="auto"/>
        <w:ind w:firstLine="480" w:firstLineChars="200"/>
        <w:jc w:val="both"/>
        <w:rPr>
          <w:rFonts w:hint="eastAsia" w:ascii="宋体" w:hAnsi="宋体" w:eastAsia="宋体" w:cs="Times New Roman"/>
          <w:color w:val="auto"/>
          <w:kern w:val="2"/>
          <w:sz w:val="24"/>
          <w:szCs w:val="24"/>
          <w:highlight w:val="none"/>
          <w:lang w:val="en-US"/>
        </w:rPr>
      </w:pPr>
      <w:r>
        <w:rPr>
          <w:rFonts w:hint="eastAsia" w:ascii="宋体" w:hAnsi="宋体" w:eastAsia="宋体" w:cs="Times New Roman"/>
          <w:color w:val="auto"/>
          <w:kern w:val="2"/>
          <w:sz w:val="24"/>
          <w:szCs w:val="24"/>
          <w:highlight w:val="none"/>
          <w:lang w:val="en-US"/>
        </w:rPr>
        <w:t>（3）参加采购活动前3年内是供应商的控股股东或者实际控制人；</w:t>
      </w:r>
    </w:p>
    <w:p>
      <w:pPr>
        <w:wordWrap w:val="0"/>
        <w:autoSpaceDE/>
        <w:autoSpaceDN/>
        <w:spacing w:line="360" w:lineRule="auto"/>
        <w:ind w:firstLine="480" w:firstLineChars="200"/>
        <w:jc w:val="both"/>
        <w:rPr>
          <w:rFonts w:hint="eastAsia" w:ascii="宋体" w:hAnsi="宋体" w:eastAsia="宋体" w:cs="Times New Roman"/>
          <w:color w:val="auto"/>
          <w:kern w:val="2"/>
          <w:sz w:val="24"/>
          <w:szCs w:val="24"/>
          <w:highlight w:val="none"/>
          <w:lang w:val="en-US"/>
        </w:rPr>
      </w:pPr>
      <w:r>
        <w:rPr>
          <w:rFonts w:hint="eastAsia" w:ascii="宋体" w:hAnsi="宋体" w:eastAsia="宋体" w:cs="Times New Roman"/>
          <w:color w:val="auto"/>
          <w:kern w:val="2"/>
          <w:sz w:val="24"/>
          <w:szCs w:val="24"/>
          <w:highlight w:val="none"/>
          <w:lang w:val="en-US"/>
        </w:rPr>
        <w:t>（4）与供应商的法定代表人或者负责人有夫妻、直系血亲、三代以内旁系血亲或者近姻亲关系；</w:t>
      </w:r>
    </w:p>
    <w:p>
      <w:pPr>
        <w:wordWrap w:val="0"/>
        <w:autoSpaceDE/>
        <w:autoSpaceDN/>
        <w:spacing w:line="360" w:lineRule="auto"/>
        <w:ind w:firstLine="480" w:firstLineChars="200"/>
        <w:jc w:val="both"/>
        <w:rPr>
          <w:rFonts w:hint="eastAsia" w:ascii="宋体" w:hAnsi="宋体" w:eastAsia="宋体" w:cs="Times New Roman"/>
          <w:color w:val="auto"/>
          <w:kern w:val="2"/>
          <w:sz w:val="24"/>
          <w:szCs w:val="24"/>
          <w:highlight w:val="none"/>
          <w:lang w:val="en-US"/>
        </w:rPr>
      </w:pPr>
      <w:r>
        <w:rPr>
          <w:rFonts w:hint="eastAsia" w:ascii="宋体" w:hAnsi="宋体" w:eastAsia="宋体" w:cs="Times New Roman"/>
          <w:color w:val="auto"/>
          <w:kern w:val="2"/>
          <w:sz w:val="24"/>
          <w:szCs w:val="24"/>
          <w:highlight w:val="none"/>
          <w:lang w:val="en-US"/>
        </w:rPr>
        <w:t>（5）与供应商有其他可能影响采购活动公平、公正进行的关系。</w:t>
      </w:r>
    </w:p>
    <w:p>
      <w:pPr>
        <w:wordWrap w:val="0"/>
        <w:autoSpaceDE/>
        <w:autoSpaceDN/>
        <w:spacing w:line="360" w:lineRule="auto"/>
        <w:ind w:firstLine="480" w:firstLineChars="200"/>
        <w:jc w:val="both"/>
        <w:rPr>
          <w:rFonts w:hint="eastAsia" w:ascii="宋体" w:hAnsi="宋体" w:eastAsia="宋体" w:cs="Times New Roman"/>
          <w:color w:val="auto"/>
          <w:kern w:val="2"/>
          <w:sz w:val="24"/>
          <w:szCs w:val="24"/>
          <w:highlight w:val="none"/>
          <w:lang w:val="en-US"/>
        </w:rPr>
      </w:pPr>
      <w:r>
        <w:rPr>
          <w:rFonts w:hint="eastAsia" w:ascii="宋体" w:hAnsi="宋体" w:eastAsia="宋体" w:cs="Times New Roman"/>
          <w:color w:val="auto"/>
          <w:kern w:val="2"/>
          <w:sz w:val="24"/>
          <w:szCs w:val="24"/>
          <w:highlight w:val="none"/>
          <w:lang w:val="en-US"/>
        </w:rPr>
        <w:t>本项目采购活动中需要依法回避的采购人员是指采购人内部负责采购项目的具体经办工作人员和直接分管采购项目的负责人，以及采购代理机构负责采购项目的具体经办工作人员和直接分管采购活动的负责人。本项目采购活动中需要依法回避的相关人员是指</w:t>
      </w:r>
      <w:r>
        <w:rPr>
          <w:rFonts w:hint="eastAsia" w:ascii="宋体" w:hAnsi="宋体" w:eastAsia="宋体" w:cs="Times New Roman"/>
          <w:color w:val="auto"/>
          <w:kern w:val="2"/>
          <w:sz w:val="24"/>
          <w:szCs w:val="24"/>
          <w:highlight w:val="none"/>
          <w:lang w:val="en-US" w:eastAsia="zh-CN"/>
        </w:rPr>
        <w:t>评审</w:t>
      </w:r>
      <w:r>
        <w:rPr>
          <w:rFonts w:hint="eastAsia" w:ascii="宋体" w:hAnsi="宋体" w:eastAsia="宋体" w:cs="Times New Roman"/>
          <w:color w:val="auto"/>
          <w:kern w:val="2"/>
          <w:sz w:val="24"/>
          <w:szCs w:val="24"/>
          <w:highlight w:val="none"/>
          <w:lang w:val="en-US"/>
        </w:rPr>
        <w:t>小组成员。</w:t>
      </w:r>
    </w:p>
    <w:p>
      <w:pPr>
        <w:autoSpaceDE/>
        <w:autoSpaceDN/>
        <w:spacing w:line="360" w:lineRule="auto"/>
        <w:ind w:firstLine="480" w:firstLineChars="200"/>
        <w:jc w:val="both"/>
        <w:rPr>
          <w:rFonts w:cs="Times New Roman"/>
          <w:color w:val="auto"/>
          <w:kern w:val="2"/>
          <w:sz w:val="24"/>
          <w:szCs w:val="24"/>
          <w:highlight w:val="none"/>
          <w:lang w:val="en-US"/>
        </w:rPr>
      </w:pPr>
      <w:r>
        <w:rPr>
          <w:rFonts w:hint="eastAsia" w:ascii="宋体" w:hAnsi="宋体" w:eastAsia="宋体" w:cs="Times New Roman"/>
          <w:color w:val="auto"/>
          <w:kern w:val="2"/>
          <w:sz w:val="24"/>
          <w:szCs w:val="24"/>
          <w:highlight w:val="none"/>
          <w:lang w:val="en-US"/>
        </w:rPr>
        <w:t>供应商认为采购人员及相关人员与其他供应商有利害关系的，可以向采购代理机构书面提出回避申请，并说明理由。采购代理机构将及时询问被申请回避人员，有利害关系的被申请回避人员应当回避。</w:t>
      </w:r>
    </w:p>
    <w:p>
      <w:pPr>
        <w:pStyle w:val="5"/>
        <w:bidi w:val="0"/>
        <w:rPr>
          <w:color w:val="auto"/>
          <w:highlight w:val="none"/>
          <w:lang w:val="en-US"/>
        </w:rPr>
      </w:pPr>
      <w:r>
        <w:rPr>
          <w:rFonts w:hint="eastAsia"/>
          <w:color w:val="auto"/>
          <w:highlight w:val="none"/>
          <w:lang w:val="en-US"/>
        </w:rPr>
        <w:t>三、招标文件</w:t>
      </w:r>
    </w:p>
    <w:p>
      <w:pPr>
        <w:autoSpaceDE/>
        <w:autoSpaceDN/>
        <w:spacing w:line="360" w:lineRule="auto"/>
        <w:jc w:val="both"/>
        <w:rPr>
          <w:b/>
          <w:color w:val="auto"/>
          <w:sz w:val="26"/>
          <w:highlight w:val="none"/>
        </w:rPr>
      </w:pPr>
      <w:r>
        <w:rPr>
          <w:rFonts w:hint="eastAsia" w:cs="Times New Roman"/>
          <w:b/>
          <w:color w:val="auto"/>
          <w:kern w:val="2"/>
          <w:sz w:val="28"/>
          <w:szCs w:val="28"/>
          <w:highlight w:val="none"/>
          <w:lang w:val="en-US"/>
        </w:rPr>
        <w:t>6.招标文件的构成</w:t>
      </w:r>
    </w:p>
    <w:p>
      <w:pPr>
        <w:pStyle w:val="2"/>
        <w:spacing w:line="360" w:lineRule="auto"/>
        <w:ind w:firstLine="480" w:firstLineChars="200"/>
        <w:jc w:val="both"/>
        <w:rPr>
          <w:color w:val="auto"/>
          <w:highlight w:val="none"/>
        </w:rPr>
      </w:pPr>
      <w:r>
        <w:rPr>
          <w:rFonts w:hint="eastAsia"/>
          <w:color w:val="auto"/>
          <w:highlight w:val="none"/>
        </w:rPr>
        <w:t>招标文件是供应商准备投标文件和参加投标的依据，同时也是评标的重要依</w:t>
      </w:r>
      <w:r>
        <w:rPr>
          <w:rFonts w:hint="eastAsia"/>
          <w:color w:val="auto"/>
          <w:spacing w:val="-10"/>
          <w:highlight w:val="none"/>
        </w:rPr>
        <w:t>据，具有准法律文件性质。招标文件用以阐明招标项目所需的资质、技术、服务</w:t>
      </w:r>
      <w:r>
        <w:rPr>
          <w:rFonts w:hint="eastAsia"/>
          <w:color w:val="auto"/>
          <w:spacing w:val="-13"/>
          <w:highlight w:val="none"/>
        </w:rPr>
        <w:t>及报价等要求、招标投标程序、有关规定和注意事项以及合同主要条款等。本招标文件包括以下内容：</w:t>
      </w:r>
    </w:p>
    <w:p>
      <w:pPr>
        <w:pStyle w:val="2"/>
        <w:spacing w:line="360" w:lineRule="auto"/>
        <w:ind w:firstLine="480" w:firstLineChars="200"/>
        <w:jc w:val="both"/>
        <w:rPr>
          <w:color w:val="auto"/>
          <w:highlight w:val="none"/>
        </w:rPr>
      </w:pPr>
      <w:r>
        <w:rPr>
          <w:rFonts w:hint="eastAsia"/>
          <w:color w:val="auto"/>
          <w:highlight w:val="none"/>
        </w:rPr>
        <w:t>（一）</w:t>
      </w:r>
      <w:r>
        <w:rPr>
          <w:rFonts w:hint="eastAsia"/>
          <w:color w:val="auto"/>
          <w:highlight w:val="none"/>
          <w:lang w:eastAsia="zh-CN"/>
        </w:rPr>
        <w:t>招标公告</w:t>
      </w:r>
      <w:r>
        <w:rPr>
          <w:rFonts w:hint="eastAsia"/>
          <w:color w:val="auto"/>
          <w:highlight w:val="none"/>
        </w:rPr>
        <w:t>；</w:t>
      </w:r>
    </w:p>
    <w:p>
      <w:pPr>
        <w:pStyle w:val="2"/>
        <w:spacing w:line="360" w:lineRule="auto"/>
        <w:ind w:firstLine="480" w:firstLineChars="200"/>
        <w:jc w:val="both"/>
        <w:rPr>
          <w:color w:val="auto"/>
          <w:highlight w:val="none"/>
        </w:rPr>
      </w:pPr>
      <w:r>
        <w:rPr>
          <w:rFonts w:hint="eastAsia"/>
          <w:color w:val="auto"/>
          <w:highlight w:val="none"/>
        </w:rPr>
        <w:t>（二）投标人须知；</w:t>
      </w:r>
    </w:p>
    <w:p>
      <w:pPr>
        <w:pStyle w:val="2"/>
        <w:spacing w:line="360" w:lineRule="auto"/>
        <w:ind w:firstLine="480" w:firstLineChars="200"/>
        <w:jc w:val="both"/>
        <w:rPr>
          <w:color w:val="auto"/>
          <w:highlight w:val="none"/>
        </w:rPr>
      </w:pPr>
      <w:r>
        <w:rPr>
          <w:rFonts w:hint="eastAsia"/>
          <w:color w:val="auto"/>
          <w:highlight w:val="none"/>
        </w:rPr>
        <w:t>（三）投标文件格式；</w:t>
      </w:r>
    </w:p>
    <w:p>
      <w:pPr>
        <w:pStyle w:val="2"/>
        <w:spacing w:line="360" w:lineRule="auto"/>
        <w:ind w:firstLine="480" w:firstLineChars="200"/>
        <w:jc w:val="both"/>
        <w:rPr>
          <w:color w:val="auto"/>
          <w:highlight w:val="none"/>
        </w:rPr>
      </w:pPr>
      <w:r>
        <w:rPr>
          <w:rFonts w:hint="eastAsia"/>
          <w:color w:val="auto"/>
          <w:highlight w:val="none"/>
        </w:rPr>
        <w:t>（四）投标人和投标产品的资格、资质性及其他类似效力要求；</w:t>
      </w:r>
    </w:p>
    <w:p>
      <w:pPr>
        <w:pStyle w:val="2"/>
        <w:spacing w:line="360" w:lineRule="auto"/>
        <w:ind w:firstLine="480" w:firstLineChars="200"/>
        <w:jc w:val="both"/>
        <w:rPr>
          <w:color w:val="auto"/>
          <w:highlight w:val="none"/>
        </w:rPr>
      </w:pPr>
      <w:r>
        <w:rPr>
          <w:rFonts w:hint="eastAsia"/>
          <w:color w:val="auto"/>
          <w:highlight w:val="none"/>
        </w:rPr>
        <w:t>（五）投标人应当提供的资格、资质性及其他类似效力要求的相关证明材料；</w:t>
      </w:r>
    </w:p>
    <w:p>
      <w:pPr>
        <w:pStyle w:val="2"/>
        <w:spacing w:line="360" w:lineRule="auto"/>
        <w:ind w:firstLine="480" w:firstLineChars="200"/>
        <w:jc w:val="both"/>
        <w:rPr>
          <w:color w:val="auto"/>
          <w:highlight w:val="none"/>
        </w:rPr>
      </w:pPr>
      <w:r>
        <w:rPr>
          <w:rFonts w:hint="eastAsia"/>
          <w:color w:val="auto"/>
          <w:highlight w:val="none"/>
        </w:rPr>
        <w:t>（六）</w:t>
      </w:r>
      <w:r>
        <w:rPr>
          <w:rFonts w:hint="eastAsia"/>
          <w:color w:val="auto"/>
          <w:highlight w:val="none"/>
          <w:lang w:val="en-US"/>
        </w:rPr>
        <w:t>项目技术</w:t>
      </w:r>
      <w:r>
        <w:rPr>
          <w:rFonts w:hint="eastAsia"/>
          <w:color w:val="auto"/>
          <w:highlight w:val="none"/>
          <w:lang w:val="en-US" w:eastAsia="zh-CN"/>
        </w:rPr>
        <w:t>服务、</w:t>
      </w:r>
      <w:r>
        <w:rPr>
          <w:rFonts w:hint="eastAsia"/>
          <w:color w:val="auto"/>
          <w:highlight w:val="none"/>
          <w:lang w:val="en-US"/>
        </w:rPr>
        <w:t>商务及其他要求</w:t>
      </w:r>
      <w:r>
        <w:rPr>
          <w:rFonts w:hint="eastAsia"/>
          <w:color w:val="auto"/>
          <w:highlight w:val="none"/>
        </w:rPr>
        <w:t>；</w:t>
      </w:r>
    </w:p>
    <w:p>
      <w:pPr>
        <w:pStyle w:val="2"/>
        <w:spacing w:line="360" w:lineRule="auto"/>
        <w:ind w:firstLine="480" w:firstLineChars="200"/>
        <w:jc w:val="both"/>
        <w:rPr>
          <w:color w:val="auto"/>
          <w:highlight w:val="none"/>
        </w:rPr>
      </w:pPr>
      <w:r>
        <w:rPr>
          <w:rFonts w:hint="eastAsia"/>
          <w:color w:val="auto"/>
          <w:highlight w:val="none"/>
        </w:rPr>
        <w:t>（七）评标办法；</w:t>
      </w:r>
    </w:p>
    <w:p>
      <w:pPr>
        <w:pStyle w:val="2"/>
        <w:spacing w:line="360" w:lineRule="auto"/>
        <w:ind w:firstLine="480" w:firstLineChars="200"/>
        <w:jc w:val="both"/>
        <w:rPr>
          <w:color w:val="auto"/>
          <w:highlight w:val="none"/>
        </w:rPr>
      </w:pPr>
      <w:r>
        <w:rPr>
          <w:rFonts w:hint="eastAsia"/>
          <w:color w:val="auto"/>
          <w:highlight w:val="none"/>
        </w:rPr>
        <w:t>（八）</w:t>
      </w:r>
      <w:r>
        <w:rPr>
          <w:rFonts w:hint="eastAsia"/>
          <w:color w:val="auto"/>
          <w:highlight w:val="none"/>
          <w:lang w:val="en-US"/>
        </w:rPr>
        <w:t>政府采购合同</w:t>
      </w:r>
      <w:r>
        <w:rPr>
          <w:rFonts w:hint="eastAsia"/>
          <w:color w:val="auto"/>
          <w:highlight w:val="none"/>
          <w:lang w:val="en-US" w:eastAsia="zh-CN"/>
        </w:rPr>
        <w:t>（草案）</w:t>
      </w:r>
      <w:r>
        <w:rPr>
          <w:rFonts w:hint="eastAsia"/>
          <w:color w:val="auto"/>
          <w:highlight w:val="none"/>
        </w:rPr>
        <w:t>。</w:t>
      </w:r>
    </w:p>
    <w:p>
      <w:pPr>
        <w:autoSpaceDE/>
        <w:autoSpaceDN/>
        <w:spacing w:line="360" w:lineRule="auto"/>
        <w:jc w:val="both"/>
        <w:rPr>
          <w:b/>
          <w:color w:val="auto"/>
          <w:sz w:val="26"/>
          <w:highlight w:val="none"/>
        </w:rPr>
      </w:pPr>
      <w:r>
        <w:rPr>
          <w:rFonts w:hint="eastAsia" w:cs="Times New Roman"/>
          <w:b/>
          <w:color w:val="auto"/>
          <w:kern w:val="2"/>
          <w:sz w:val="28"/>
          <w:szCs w:val="28"/>
          <w:highlight w:val="none"/>
          <w:lang w:val="en-US"/>
        </w:rPr>
        <w:t>7.招标文件的澄清和修改</w:t>
      </w:r>
    </w:p>
    <w:p>
      <w:pPr>
        <w:pStyle w:val="2"/>
        <w:spacing w:line="360" w:lineRule="auto"/>
        <w:ind w:firstLine="480" w:firstLineChars="200"/>
        <w:jc w:val="both"/>
        <w:rPr>
          <w:color w:val="auto"/>
          <w:highlight w:val="none"/>
        </w:rPr>
      </w:pPr>
      <w:r>
        <w:rPr>
          <w:rFonts w:hint="eastAsia"/>
          <w:color w:val="auto"/>
          <w:highlight w:val="none"/>
        </w:rPr>
        <w:t>7.1 在投标截止时间前，招标采购单位无论出于何种原因，可以对招标文件进行澄清或者修改。</w:t>
      </w:r>
    </w:p>
    <w:p>
      <w:pPr>
        <w:pStyle w:val="2"/>
        <w:spacing w:line="360" w:lineRule="auto"/>
        <w:ind w:firstLine="480" w:firstLineChars="200"/>
        <w:jc w:val="both"/>
        <w:rPr>
          <w:color w:val="auto"/>
          <w:highlight w:val="none"/>
        </w:rPr>
      </w:pPr>
      <w:r>
        <w:rPr>
          <w:rFonts w:hint="eastAsia"/>
          <w:color w:val="auto"/>
          <w:highlight w:val="none"/>
        </w:rPr>
        <w:t>7.2 招标采购单位对已发出的招标文件进行澄清或者修改，将在招标文件要求的提交投标文件截止时间十五日前进行，在</w:t>
      </w:r>
      <w:r>
        <w:rPr>
          <w:rFonts w:hint="eastAsia"/>
          <w:color w:val="auto"/>
          <w:highlight w:val="none"/>
          <w:lang w:eastAsia="zh-CN"/>
        </w:rPr>
        <w:t>中国政府采购网</w:t>
      </w:r>
      <w:r>
        <w:rPr>
          <w:rFonts w:hint="eastAsia"/>
          <w:color w:val="auto"/>
          <w:highlight w:val="none"/>
        </w:rPr>
        <w:t>上发布更正公告。该澄清或者修改的内容为招标文件的组成部分，由于报名供应商名单在开标前自动保密，潜在投标人应保持在开标时间前每日都需主动上网进行查询相关信息，以免遗漏造成损失，采购单位和招标代理机构不再单独通知和提醒。</w:t>
      </w:r>
    </w:p>
    <w:p>
      <w:pPr>
        <w:pStyle w:val="2"/>
        <w:spacing w:line="360" w:lineRule="auto"/>
        <w:ind w:firstLine="480" w:firstLineChars="200"/>
        <w:jc w:val="both"/>
        <w:rPr>
          <w:color w:val="auto"/>
          <w:highlight w:val="none"/>
        </w:rPr>
      </w:pPr>
      <w:r>
        <w:rPr>
          <w:rFonts w:hint="eastAsia"/>
          <w:color w:val="auto"/>
          <w:highlight w:val="none"/>
        </w:rPr>
        <w:t>7.3 投标人要求对招标文件进行澄清的，均应在投标截止日</w:t>
      </w:r>
      <w:r>
        <w:rPr>
          <w:color w:val="auto"/>
          <w:highlight w:val="none"/>
        </w:rPr>
        <w:t>3</w:t>
      </w:r>
      <w:r>
        <w:rPr>
          <w:rFonts w:hint="eastAsia"/>
          <w:color w:val="auto"/>
          <w:highlight w:val="none"/>
        </w:rPr>
        <w:t>日前按招标文件中的联系方式，以书面形式通知采购代理机构。</w:t>
      </w:r>
    </w:p>
    <w:p>
      <w:pPr>
        <w:pStyle w:val="2"/>
        <w:spacing w:line="360" w:lineRule="auto"/>
        <w:ind w:firstLine="480" w:firstLineChars="200"/>
        <w:jc w:val="both"/>
        <w:rPr>
          <w:color w:val="auto"/>
          <w:sz w:val="22"/>
          <w:highlight w:val="none"/>
        </w:rPr>
      </w:pPr>
      <w:r>
        <w:rPr>
          <w:rFonts w:hint="eastAsia"/>
          <w:color w:val="auto"/>
          <w:highlight w:val="none"/>
        </w:rPr>
        <w:t>7.4 在投标截止时间前，招标采购单位可以视采购具体情况，延长投标截止时间和开标时间，并在招标文件要求提交投标文件的截止时间前，在</w:t>
      </w:r>
      <w:r>
        <w:rPr>
          <w:rFonts w:hint="eastAsia"/>
          <w:color w:val="auto"/>
          <w:highlight w:val="none"/>
          <w:lang w:eastAsia="zh-CN"/>
        </w:rPr>
        <w:t>中国政府采购网</w:t>
      </w:r>
      <w:r>
        <w:rPr>
          <w:rFonts w:hint="eastAsia"/>
          <w:color w:val="auto"/>
          <w:highlight w:val="none"/>
        </w:rPr>
        <w:t>上发布变更公告。由于报名供应商名单在开标前自动保密，潜在投标人应保持在开标时间前每日都需主动上网进行查询相关信息，以免遗漏造成损失，采购单位和招标代理机构不再单独通知和提醒。</w:t>
      </w:r>
    </w:p>
    <w:p>
      <w:pPr>
        <w:autoSpaceDE/>
        <w:autoSpaceDN/>
        <w:spacing w:line="360" w:lineRule="auto"/>
        <w:jc w:val="both"/>
        <w:rPr>
          <w:b/>
          <w:color w:val="auto"/>
          <w:sz w:val="26"/>
          <w:highlight w:val="none"/>
        </w:rPr>
      </w:pPr>
      <w:r>
        <w:rPr>
          <w:rFonts w:hint="eastAsia" w:cs="Times New Roman"/>
          <w:b/>
          <w:color w:val="auto"/>
          <w:kern w:val="2"/>
          <w:sz w:val="28"/>
          <w:szCs w:val="28"/>
          <w:highlight w:val="none"/>
          <w:lang w:val="en-US"/>
        </w:rPr>
        <w:t>8.答疑会和现场考察</w:t>
      </w:r>
    </w:p>
    <w:p>
      <w:pPr>
        <w:pStyle w:val="2"/>
        <w:spacing w:line="360" w:lineRule="auto"/>
        <w:ind w:firstLine="480" w:firstLineChars="200"/>
        <w:jc w:val="both"/>
        <w:rPr>
          <w:color w:val="auto"/>
          <w:highlight w:val="none"/>
        </w:rPr>
      </w:pPr>
      <w:r>
        <w:rPr>
          <w:rFonts w:hint="eastAsia"/>
          <w:color w:val="auto"/>
          <w:highlight w:val="none"/>
        </w:rPr>
        <w:t>8.1 本项目招标采购代理单位将不统一组织召开标前答疑会和项目现场考察。投标人若需要招标采购单位对项目相关事项进行答疑或提供现场考察的，可以按招标文件中的联系方式，以书面形式通知采购代理机构。</w:t>
      </w:r>
    </w:p>
    <w:p>
      <w:pPr>
        <w:pStyle w:val="2"/>
        <w:spacing w:line="360" w:lineRule="auto"/>
        <w:ind w:firstLine="480" w:firstLineChars="200"/>
        <w:jc w:val="both"/>
        <w:rPr>
          <w:color w:val="auto"/>
          <w:sz w:val="25"/>
          <w:highlight w:val="none"/>
        </w:rPr>
      </w:pPr>
      <w:r>
        <w:rPr>
          <w:rFonts w:hint="eastAsia"/>
          <w:color w:val="auto"/>
          <w:highlight w:val="none"/>
        </w:rPr>
        <w:t>8.2 供应商考察现场所发生的一切费用由供应商自己承担。</w:t>
      </w:r>
    </w:p>
    <w:p>
      <w:pPr>
        <w:pStyle w:val="5"/>
        <w:bidi w:val="0"/>
        <w:rPr>
          <w:color w:val="auto"/>
          <w:highlight w:val="none"/>
          <w:lang w:val="en-US"/>
        </w:rPr>
      </w:pPr>
      <w:r>
        <w:rPr>
          <w:rFonts w:hint="eastAsia"/>
          <w:color w:val="auto"/>
          <w:highlight w:val="none"/>
          <w:lang w:val="en-US"/>
        </w:rPr>
        <w:t>四、投标文件</w:t>
      </w:r>
    </w:p>
    <w:p>
      <w:pPr>
        <w:autoSpaceDE/>
        <w:autoSpaceDN/>
        <w:spacing w:line="360" w:lineRule="auto"/>
        <w:jc w:val="both"/>
        <w:rPr>
          <w:b/>
          <w:color w:val="auto"/>
          <w:sz w:val="26"/>
          <w:highlight w:val="none"/>
        </w:rPr>
      </w:pPr>
      <w:r>
        <w:rPr>
          <w:rFonts w:hint="eastAsia" w:cs="Times New Roman"/>
          <w:b/>
          <w:color w:val="auto"/>
          <w:kern w:val="2"/>
          <w:sz w:val="28"/>
          <w:szCs w:val="28"/>
          <w:highlight w:val="none"/>
          <w:lang w:val="en-US"/>
        </w:rPr>
        <w:t>9.投标文件的语言</w:t>
      </w:r>
    </w:p>
    <w:p>
      <w:pPr>
        <w:pStyle w:val="2"/>
        <w:spacing w:line="360" w:lineRule="auto"/>
        <w:ind w:firstLine="480" w:firstLineChars="200"/>
        <w:jc w:val="both"/>
        <w:rPr>
          <w:color w:val="auto"/>
          <w:highlight w:val="none"/>
        </w:rPr>
      </w:pPr>
      <w:r>
        <w:rPr>
          <w:rFonts w:hint="eastAsia"/>
          <w:color w:val="auto"/>
          <w:highlight w:val="none"/>
        </w:rPr>
        <w:t>9.1 投标人提交的投标文件以及投标人与招标采购单位就有关投标的所有来往书面文件均须使用中文</w:t>
      </w:r>
      <w:r>
        <w:rPr>
          <w:rFonts w:hint="eastAsia"/>
          <w:b/>
          <w:color w:val="auto"/>
          <w:highlight w:val="none"/>
        </w:rPr>
        <w:t>（实质性要求）</w:t>
      </w:r>
      <w:r>
        <w:rPr>
          <w:rFonts w:hint="eastAsia"/>
          <w:color w:val="auto"/>
          <w:highlight w:val="none"/>
        </w:rPr>
        <w:t>。投标文件中如附有外文资料，应当尽可能翻译成中文并加盖投标人公章后附在相关外文资料后面。（说明：供应商的法定代表人为外籍人士的，法定代表人的签字和护照除外。）</w:t>
      </w:r>
    </w:p>
    <w:p>
      <w:pPr>
        <w:pStyle w:val="2"/>
        <w:spacing w:line="360" w:lineRule="auto"/>
        <w:ind w:firstLine="480" w:firstLineChars="200"/>
        <w:jc w:val="both"/>
        <w:rPr>
          <w:color w:val="auto"/>
          <w:highlight w:val="none"/>
        </w:rPr>
      </w:pPr>
      <w:r>
        <w:rPr>
          <w:rFonts w:hint="eastAsia"/>
          <w:color w:val="auto"/>
          <w:highlight w:val="none"/>
        </w:rPr>
        <w:t>9.2 翻译的中文资料与外文资料如果出现差异和矛盾时，以中文为准。涉嫌虚假响应的按照相关法律法规处理。</w:t>
      </w:r>
    </w:p>
    <w:p>
      <w:pPr>
        <w:pStyle w:val="2"/>
        <w:spacing w:line="360" w:lineRule="auto"/>
        <w:ind w:firstLine="480" w:firstLineChars="200"/>
        <w:jc w:val="both"/>
        <w:rPr>
          <w:color w:val="auto"/>
          <w:highlight w:val="none"/>
        </w:rPr>
      </w:pPr>
      <w:r>
        <w:rPr>
          <w:rFonts w:hint="eastAsia"/>
          <w:color w:val="auto"/>
          <w:highlight w:val="none"/>
        </w:rPr>
        <w:t>9.3 如因未翻译而造成的废标，由投标人自行承担其相关风险。</w:t>
      </w:r>
    </w:p>
    <w:p>
      <w:pPr>
        <w:autoSpaceDE/>
        <w:autoSpaceDN/>
        <w:spacing w:line="360" w:lineRule="auto"/>
        <w:jc w:val="both"/>
        <w:rPr>
          <w:b/>
          <w:color w:val="auto"/>
          <w:sz w:val="26"/>
          <w:highlight w:val="none"/>
        </w:rPr>
      </w:pPr>
      <w:r>
        <w:rPr>
          <w:rFonts w:hint="eastAsia" w:cs="Times New Roman"/>
          <w:b/>
          <w:color w:val="auto"/>
          <w:kern w:val="2"/>
          <w:sz w:val="28"/>
          <w:szCs w:val="28"/>
          <w:highlight w:val="none"/>
          <w:lang w:val="en-US"/>
        </w:rPr>
        <w:t>10.计量单位（实质性要求）</w:t>
      </w:r>
    </w:p>
    <w:p>
      <w:pPr>
        <w:pStyle w:val="2"/>
        <w:spacing w:line="360" w:lineRule="auto"/>
        <w:ind w:firstLine="480" w:firstLineChars="200"/>
        <w:jc w:val="both"/>
        <w:rPr>
          <w:color w:val="auto"/>
          <w:highlight w:val="none"/>
        </w:rPr>
      </w:pPr>
      <w:r>
        <w:rPr>
          <w:rFonts w:hint="eastAsia"/>
          <w:color w:val="auto"/>
          <w:highlight w:val="none"/>
        </w:rPr>
        <w:t>除招标文件中另有规定外，本次采购项目所有合同项下的投标均采用国家法定的计量单位。</w:t>
      </w:r>
    </w:p>
    <w:p>
      <w:pPr>
        <w:autoSpaceDE/>
        <w:autoSpaceDN/>
        <w:spacing w:line="360" w:lineRule="auto"/>
        <w:jc w:val="both"/>
        <w:rPr>
          <w:b/>
          <w:color w:val="auto"/>
          <w:sz w:val="27"/>
          <w:highlight w:val="none"/>
        </w:rPr>
      </w:pPr>
      <w:r>
        <w:rPr>
          <w:rFonts w:hint="eastAsia" w:cs="Times New Roman"/>
          <w:b/>
          <w:color w:val="auto"/>
          <w:kern w:val="2"/>
          <w:sz w:val="28"/>
          <w:szCs w:val="28"/>
          <w:highlight w:val="none"/>
          <w:lang w:val="en-US"/>
        </w:rPr>
        <w:t>11.投标货币（实质性要求）</w:t>
      </w:r>
    </w:p>
    <w:p>
      <w:pPr>
        <w:pStyle w:val="2"/>
        <w:spacing w:line="360" w:lineRule="auto"/>
        <w:ind w:firstLine="480" w:firstLineChars="200"/>
        <w:jc w:val="both"/>
        <w:rPr>
          <w:color w:val="auto"/>
          <w:sz w:val="21"/>
          <w:highlight w:val="none"/>
        </w:rPr>
      </w:pPr>
      <w:r>
        <w:rPr>
          <w:rFonts w:hint="eastAsia"/>
          <w:color w:val="auto"/>
          <w:highlight w:val="none"/>
        </w:rPr>
        <w:t>本次招标项目的投标均以人民币报价。</w:t>
      </w:r>
    </w:p>
    <w:p>
      <w:pPr>
        <w:autoSpaceDE/>
        <w:autoSpaceDN/>
        <w:spacing w:line="360" w:lineRule="auto"/>
        <w:jc w:val="both"/>
        <w:rPr>
          <w:rFonts w:cs="Times New Roman"/>
          <w:b/>
          <w:color w:val="auto"/>
          <w:kern w:val="2"/>
          <w:sz w:val="28"/>
          <w:szCs w:val="28"/>
          <w:highlight w:val="none"/>
          <w:lang w:val="en-US"/>
        </w:rPr>
      </w:pPr>
      <w:r>
        <w:rPr>
          <w:rFonts w:hint="eastAsia" w:cs="Times New Roman"/>
          <w:b/>
          <w:color w:val="auto"/>
          <w:kern w:val="2"/>
          <w:sz w:val="28"/>
          <w:szCs w:val="28"/>
          <w:highlight w:val="none"/>
          <w:lang w:val="en-US"/>
        </w:rPr>
        <w:t>12.联合体投标（实质性要求）</w:t>
      </w:r>
    </w:p>
    <w:p>
      <w:pPr>
        <w:pStyle w:val="2"/>
        <w:spacing w:line="360" w:lineRule="auto"/>
        <w:ind w:firstLine="480" w:firstLineChars="200"/>
        <w:jc w:val="both"/>
        <w:rPr>
          <w:rFonts w:hint="eastAsia" w:eastAsia="宋体"/>
          <w:b w:val="0"/>
          <w:bCs/>
          <w:color w:val="auto"/>
          <w:highlight w:val="none"/>
          <w:lang w:eastAsia="zh-CN"/>
        </w:rPr>
      </w:pPr>
      <w:r>
        <w:rPr>
          <w:rFonts w:hint="eastAsia"/>
          <w:b w:val="0"/>
          <w:bCs/>
          <w:color w:val="auto"/>
          <w:highlight w:val="none"/>
        </w:rPr>
        <w:t>本项目</w:t>
      </w:r>
      <w:r>
        <w:rPr>
          <w:rFonts w:hint="eastAsia"/>
          <w:b w:val="0"/>
          <w:bCs/>
          <w:color w:val="auto"/>
          <w:highlight w:val="none"/>
          <w:lang w:val="en-US" w:eastAsia="zh-CN"/>
        </w:rPr>
        <w:t>不</w:t>
      </w:r>
      <w:r>
        <w:rPr>
          <w:rFonts w:hint="eastAsia"/>
          <w:b w:val="0"/>
          <w:bCs/>
          <w:color w:val="auto"/>
          <w:highlight w:val="none"/>
        </w:rPr>
        <w:t>接受联合体投标</w:t>
      </w:r>
      <w:r>
        <w:rPr>
          <w:rFonts w:hint="eastAsia"/>
          <w:b w:val="0"/>
          <w:bCs/>
          <w:color w:val="auto"/>
          <w:highlight w:val="none"/>
          <w:lang w:eastAsia="zh-CN"/>
        </w:rPr>
        <w:t>。</w:t>
      </w:r>
      <w:r>
        <w:rPr>
          <w:rFonts w:hint="eastAsia"/>
          <w:color w:val="auto"/>
          <w:szCs w:val="21"/>
          <w:highlight w:val="none"/>
          <w:lang w:val="en-US" w:eastAsia="zh-CN"/>
        </w:rPr>
        <w:t>是联合体参加投标，提供联合体协议书，不是联合体投标可不提供</w:t>
      </w:r>
      <w:r>
        <w:rPr>
          <w:rFonts w:hint="eastAsia"/>
          <w:color w:val="auto"/>
          <w:szCs w:val="21"/>
          <w:highlight w:val="none"/>
          <w:lang w:val="zh-CN"/>
        </w:rPr>
        <w:t>。</w:t>
      </w:r>
    </w:p>
    <w:p>
      <w:pPr>
        <w:autoSpaceDE/>
        <w:autoSpaceDN/>
        <w:spacing w:line="360" w:lineRule="auto"/>
        <w:jc w:val="both"/>
        <w:rPr>
          <w:b/>
          <w:color w:val="auto"/>
          <w:sz w:val="26"/>
          <w:highlight w:val="none"/>
        </w:rPr>
      </w:pPr>
      <w:r>
        <w:rPr>
          <w:rFonts w:hint="eastAsia" w:cs="Times New Roman"/>
          <w:b/>
          <w:color w:val="auto"/>
          <w:kern w:val="2"/>
          <w:sz w:val="28"/>
          <w:szCs w:val="28"/>
          <w:highlight w:val="none"/>
          <w:lang w:val="en-US"/>
        </w:rPr>
        <w:t>13.知识产权（实质性要求）</w:t>
      </w:r>
    </w:p>
    <w:p>
      <w:pPr>
        <w:pStyle w:val="2"/>
        <w:spacing w:line="360" w:lineRule="auto"/>
        <w:ind w:firstLine="480" w:firstLineChars="200"/>
        <w:jc w:val="both"/>
        <w:rPr>
          <w:color w:val="auto"/>
          <w:highlight w:val="none"/>
        </w:rPr>
      </w:pPr>
      <w:r>
        <w:rPr>
          <w:rFonts w:hint="eastAsia"/>
          <w:color w:val="auto"/>
          <w:highlight w:val="none"/>
        </w:rPr>
        <w:t>13.1 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pStyle w:val="2"/>
        <w:spacing w:line="360" w:lineRule="auto"/>
        <w:ind w:firstLine="480" w:firstLineChars="200"/>
        <w:jc w:val="both"/>
        <w:rPr>
          <w:color w:val="auto"/>
          <w:highlight w:val="none"/>
        </w:rPr>
      </w:pPr>
      <w:r>
        <w:rPr>
          <w:rFonts w:hint="eastAsia"/>
          <w:color w:val="auto"/>
          <w:highlight w:val="none"/>
        </w:rPr>
        <w:t>13.2 采购人享有本项目实施过程中产生的知识成果及知识产权。</w:t>
      </w:r>
    </w:p>
    <w:p>
      <w:pPr>
        <w:pStyle w:val="2"/>
        <w:spacing w:line="360" w:lineRule="auto"/>
        <w:ind w:firstLine="480" w:firstLineChars="200"/>
        <w:jc w:val="both"/>
        <w:rPr>
          <w:color w:val="auto"/>
          <w:highlight w:val="none"/>
        </w:rPr>
      </w:pPr>
      <w:r>
        <w:rPr>
          <w:rFonts w:hint="eastAsia"/>
          <w:color w:val="auto"/>
          <w:highlight w:val="none"/>
        </w:rPr>
        <w:t>13.3 投标人如欲在项目实施过程中采用自有知识成果，需在投标文件中声明，并提供相关知识产权证明文件。使用该知识成果后，投标人需提供开发接口和开发手册等技术文档，并承诺提供无限期技术支持，采购人享有永久使用权（含采购人委托第三方在该项目后续开发的使用权）。</w:t>
      </w:r>
    </w:p>
    <w:p>
      <w:pPr>
        <w:pStyle w:val="2"/>
        <w:spacing w:line="360" w:lineRule="auto"/>
        <w:ind w:firstLine="480" w:firstLineChars="200"/>
        <w:jc w:val="both"/>
        <w:rPr>
          <w:color w:val="auto"/>
          <w:sz w:val="19"/>
          <w:highlight w:val="none"/>
        </w:rPr>
      </w:pPr>
      <w:r>
        <w:rPr>
          <w:rFonts w:hint="eastAsia"/>
          <w:color w:val="auto"/>
          <w:highlight w:val="none"/>
        </w:rPr>
        <w:t>13.4 如采用投标人所不拥有的知识产权，则在投标报价中必须包括合法获取该知识产权的相关费用。</w:t>
      </w:r>
    </w:p>
    <w:p>
      <w:pPr>
        <w:autoSpaceDE/>
        <w:autoSpaceDN/>
        <w:spacing w:line="360" w:lineRule="auto"/>
        <w:jc w:val="both"/>
        <w:rPr>
          <w:b/>
          <w:color w:val="auto"/>
          <w:sz w:val="27"/>
          <w:highlight w:val="none"/>
        </w:rPr>
      </w:pPr>
      <w:r>
        <w:rPr>
          <w:rFonts w:hint="eastAsia" w:cs="Times New Roman"/>
          <w:b/>
          <w:color w:val="auto"/>
          <w:kern w:val="2"/>
          <w:sz w:val="28"/>
          <w:szCs w:val="28"/>
          <w:highlight w:val="none"/>
          <w:lang w:val="en-US"/>
        </w:rPr>
        <w:t>14.投标文件的组成</w:t>
      </w:r>
    </w:p>
    <w:p>
      <w:pPr>
        <w:pStyle w:val="2"/>
        <w:spacing w:line="360" w:lineRule="auto"/>
        <w:ind w:firstLine="480" w:firstLineChars="200"/>
        <w:jc w:val="both"/>
        <w:rPr>
          <w:color w:val="auto"/>
          <w:highlight w:val="none"/>
        </w:rPr>
      </w:pPr>
      <w:r>
        <w:rPr>
          <w:rFonts w:hint="eastAsia"/>
          <w:color w:val="auto"/>
          <w:highlight w:val="none"/>
        </w:rPr>
        <w:t>投标人应按照招标文件的规定和要求编制投标文件。投标人拟在中标后将中标项目的非主体、非关键性工作交由他人分包完成的，应当在投标文件中载明。投标人编写的投标文件应包括下列部分：</w:t>
      </w:r>
    </w:p>
    <w:p>
      <w:pPr>
        <w:pStyle w:val="2"/>
        <w:spacing w:line="360" w:lineRule="auto"/>
        <w:ind w:firstLine="482" w:firstLineChars="200"/>
        <w:jc w:val="both"/>
        <w:rPr>
          <w:b/>
          <w:color w:val="auto"/>
          <w:highlight w:val="none"/>
        </w:rPr>
      </w:pPr>
      <w:r>
        <w:rPr>
          <w:rFonts w:hint="eastAsia"/>
          <w:b/>
          <w:color w:val="auto"/>
          <w:highlight w:val="none"/>
        </w:rPr>
        <w:t>14.1 报价部分</w:t>
      </w:r>
    </w:p>
    <w:p>
      <w:pPr>
        <w:pStyle w:val="2"/>
        <w:spacing w:line="360" w:lineRule="auto"/>
        <w:ind w:firstLine="480" w:firstLineChars="200"/>
        <w:jc w:val="both"/>
        <w:rPr>
          <w:color w:val="auto"/>
          <w:highlight w:val="none"/>
        </w:rPr>
      </w:pPr>
      <w:r>
        <w:rPr>
          <w:rFonts w:hint="eastAsia"/>
          <w:color w:val="auto"/>
          <w:highlight w:val="none"/>
        </w:rPr>
        <w:t>投标人按照招标文件要求填写的“开标一览表</w:t>
      </w:r>
      <w:r>
        <w:rPr>
          <w:color w:val="auto"/>
          <w:highlight w:val="none"/>
        </w:rPr>
        <w:t>”</w:t>
      </w:r>
      <w:r>
        <w:rPr>
          <w:rFonts w:hint="eastAsia"/>
          <w:color w:val="auto"/>
          <w:highlight w:val="none"/>
        </w:rPr>
        <w:t>及“报价明细表”。本次招标报价要求：</w:t>
      </w:r>
    </w:p>
    <w:p>
      <w:pPr>
        <w:pStyle w:val="2"/>
        <w:spacing w:line="360" w:lineRule="auto"/>
        <w:ind w:firstLine="480" w:firstLineChars="200"/>
        <w:jc w:val="both"/>
        <w:rPr>
          <w:color w:val="auto"/>
          <w:highlight w:val="none"/>
        </w:rPr>
      </w:pPr>
      <w:r>
        <w:rPr>
          <w:rFonts w:hint="eastAsia"/>
          <w:color w:val="auto"/>
          <w:highlight w:val="none"/>
        </w:rPr>
        <w:t>投标人的报价是投标人响应招标项目要求的全部工作内容的价格体现，包括投标人完成本项目所需的一切费用</w:t>
      </w:r>
      <w:r>
        <w:rPr>
          <w:rFonts w:hint="eastAsia"/>
          <w:b/>
          <w:color w:val="auto"/>
          <w:highlight w:val="none"/>
        </w:rPr>
        <w:t>（实质性要求）</w:t>
      </w:r>
      <w:r>
        <w:rPr>
          <w:rFonts w:hint="eastAsia"/>
          <w:color w:val="auto"/>
          <w:highlight w:val="none"/>
        </w:rPr>
        <w:t>。</w:t>
      </w:r>
    </w:p>
    <w:p>
      <w:pPr>
        <w:pStyle w:val="2"/>
        <w:spacing w:line="360" w:lineRule="auto"/>
        <w:ind w:firstLine="480" w:firstLineChars="200"/>
        <w:jc w:val="both"/>
        <w:rPr>
          <w:color w:val="auto"/>
          <w:highlight w:val="none"/>
        </w:rPr>
      </w:pPr>
      <w:r>
        <w:rPr>
          <w:rFonts w:hint="eastAsia"/>
          <w:color w:val="auto"/>
          <w:highlight w:val="none"/>
        </w:rPr>
        <w:t>投标人每种货物只允许有一个报价，并且在合同履行过程中是固定不变的，任何有选择或可调整的报价将不予接受，并按无效投标处理</w:t>
      </w:r>
      <w:r>
        <w:rPr>
          <w:rFonts w:hint="eastAsia"/>
          <w:b/>
          <w:color w:val="auto"/>
          <w:highlight w:val="none"/>
        </w:rPr>
        <w:t>（实质性要求）</w:t>
      </w:r>
      <w:r>
        <w:rPr>
          <w:rFonts w:hint="eastAsia"/>
          <w:color w:val="auto"/>
          <w:highlight w:val="none"/>
        </w:rPr>
        <w:t>。</w:t>
      </w:r>
    </w:p>
    <w:p>
      <w:pPr>
        <w:pStyle w:val="2"/>
        <w:spacing w:line="360" w:lineRule="auto"/>
        <w:ind w:firstLine="482" w:firstLineChars="200"/>
        <w:jc w:val="both"/>
        <w:rPr>
          <w:rFonts w:hint="eastAsia" w:eastAsia="宋体"/>
          <w:b/>
          <w:color w:val="auto"/>
          <w:highlight w:val="none"/>
          <w:lang w:eastAsia="zh-CN"/>
        </w:rPr>
      </w:pPr>
      <w:r>
        <w:rPr>
          <w:rFonts w:hint="eastAsia"/>
          <w:b/>
          <w:color w:val="auto"/>
          <w:highlight w:val="none"/>
        </w:rPr>
        <w:t xml:space="preserve">14.2 </w:t>
      </w:r>
      <w:r>
        <w:rPr>
          <w:rFonts w:hint="eastAsia"/>
          <w:b/>
          <w:color w:val="auto"/>
          <w:highlight w:val="none"/>
          <w:lang w:eastAsia="zh-CN"/>
        </w:rPr>
        <w:t>资格响应部分。</w:t>
      </w:r>
    </w:p>
    <w:p>
      <w:pPr>
        <w:pStyle w:val="2"/>
        <w:spacing w:line="360" w:lineRule="auto"/>
        <w:ind w:firstLine="480" w:firstLineChars="200"/>
        <w:jc w:val="both"/>
        <w:rPr>
          <w:color w:val="auto"/>
          <w:highlight w:val="none"/>
        </w:rPr>
      </w:pPr>
      <w:r>
        <w:rPr>
          <w:rFonts w:hint="eastAsia"/>
          <w:color w:val="auto"/>
          <w:highlight w:val="none"/>
        </w:rPr>
        <w:t>投标人按照招标文件要求提供的有关证明材料及</w:t>
      </w:r>
      <w:r>
        <w:rPr>
          <w:rFonts w:hint="eastAsia"/>
          <w:color w:val="auto"/>
          <w:highlight w:val="none"/>
          <w:lang w:eastAsia="zh-CN"/>
        </w:rPr>
        <w:t>相关</w:t>
      </w:r>
      <w:r>
        <w:rPr>
          <w:rFonts w:hint="eastAsia"/>
          <w:color w:val="auto"/>
          <w:highlight w:val="none"/>
        </w:rPr>
        <w:t>承诺。包括以下内容：</w:t>
      </w:r>
    </w:p>
    <w:p>
      <w:pPr>
        <w:autoSpaceDE/>
        <w:autoSpaceDN/>
        <w:spacing w:line="360" w:lineRule="auto"/>
        <w:ind w:firstLine="480" w:firstLineChars="200"/>
        <w:jc w:val="both"/>
        <w:rPr>
          <w:rFonts w:hint="eastAsia" w:eastAsia="宋体"/>
          <w:color w:val="auto"/>
          <w:sz w:val="24"/>
          <w:szCs w:val="24"/>
          <w:highlight w:val="none"/>
          <w:lang w:eastAsia="zh-CN"/>
        </w:rPr>
      </w:pPr>
      <w:r>
        <w:rPr>
          <w:rFonts w:hint="eastAsia"/>
          <w:color w:val="auto"/>
          <w:sz w:val="24"/>
          <w:szCs w:val="24"/>
          <w:highlight w:val="none"/>
        </w:rPr>
        <w:t>（1）法定代表人授权书</w:t>
      </w:r>
      <w:r>
        <w:rPr>
          <w:rFonts w:hint="eastAsia"/>
          <w:color w:val="auto"/>
          <w:sz w:val="24"/>
          <w:szCs w:val="24"/>
          <w:highlight w:val="none"/>
          <w:lang w:eastAsia="zh-CN"/>
        </w:rPr>
        <w:t>；</w:t>
      </w:r>
    </w:p>
    <w:p>
      <w:pPr>
        <w:autoSpaceDE/>
        <w:autoSpaceDN/>
        <w:spacing w:line="360" w:lineRule="auto"/>
        <w:ind w:firstLine="480" w:firstLineChars="200"/>
        <w:jc w:val="both"/>
        <w:rPr>
          <w:rFonts w:hint="eastAsia" w:eastAsia="宋体"/>
          <w:color w:val="auto"/>
          <w:sz w:val="24"/>
          <w:szCs w:val="24"/>
          <w:highlight w:val="none"/>
          <w:lang w:eastAsia="zh-CN"/>
        </w:rPr>
      </w:pPr>
      <w:r>
        <w:rPr>
          <w:rFonts w:hint="eastAsia"/>
          <w:color w:val="auto"/>
          <w:sz w:val="24"/>
          <w:szCs w:val="24"/>
          <w:highlight w:val="none"/>
        </w:rPr>
        <w:t>（2）法定代表人身份证明书</w:t>
      </w:r>
      <w:r>
        <w:rPr>
          <w:rFonts w:hint="eastAsia"/>
          <w:color w:val="auto"/>
          <w:sz w:val="24"/>
          <w:szCs w:val="24"/>
          <w:highlight w:val="none"/>
          <w:lang w:eastAsia="zh-CN"/>
        </w:rPr>
        <w:t>；</w:t>
      </w:r>
    </w:p>
    <w:p>
      <w:pPr>
        <w:autoSpaceDE/>
        <w:autoSpaceDN/>
        <w:spacing w:line="360" w:lineRule="auto"/>
        <w:ind w:firstLine="480" w:firstLineChars="200"/>
        <w:jc w:val="both"/>
        <w:rPr>
          <w:rFonts w:hint="eastAsia" w:eastAsia="宋体"/>
          <w:color w:val="auto"/>
          <w:sz w:val="24"/>
          <w:szCs w:val="24"/>
          <w:highlight w:val="none"/>
          <w:lang w:eastAsia="zh-CN"/>
        </w:rPr>
      </w:pPr>
      <w:r>
        <w:rPr>
          <w:rFonts w:hint="eastAsia"/>
          <w:color w:val="auto"/>
          <w:sz w:val="24"/>
          <w:szCs w:val="24"/>
          <w:highlight w:val="none"/>
        </w:rPr>
        <w:t>（</w:t>
      </w:r>
      <w:r>
        <w:rPr>
          <w:rFonts w:hint="eastAsia"/>
          <w:color w:val="auto"/>
          <w:sz w:val="24"/>
          <w:szCs w:val="24"/>
          <w:highlight w:val="none"/>
          <w:lang w:val="en-US" w:eastAsia="zh-CN"/>
        </w:rPr>
        <w:t>3</w:t>
      </w:r>
      <w:r>
        <w:rPr>
          <w:rFonts w:hint="eastAsia"/>
          <w:color w:val="auto"/>
          <w:sz w:val="24"/>
          <w:szCs w:val="24"/>
          <w:highlight w:val="none"/>
        </w:rPr>
        <w:t>）投标人基本情况表</w:t>
      </w:r>
      <w:r>
        <w:rPr>
          <w:rFonts w:hint="eastAsia"/>
          <w:color w:val="auto"/>
          <w:sz w:val="24"/>
          <w:szCs w:val="24"/>
          <w:highlight w:val="none"/>
          <w:lang w:eastAsia="zh-CN"/>
        </w:rPr>
        <w:t>；</w:t>
      </w:r>
    </w:p>
    <w:p>
      <w:pPr>
        <w:autoSpaceDE/>
        <w:autoSpaceDN/>
        <w:spacing w:line="360" w:lineRule="auto"/>
        <w:ind w:firstLine="480" w:firstLineChars="200"/>
        <w:jc w:val="both"/>
        <w:rPr>
          <w:rFonts w:hint="eastAsia" w:eastAsia="宋体"/>
          <w:color w:val="auto"/>
          <w:sz w:val="24"/>
          <w:szCs w:val="24"/>
          <w:highlight w:val="none"/>
          <w:lang w:eastAsia="zh-CN"/>
        </w:rPr>
      </w:pPr>
      <w:r>
        <w:rPr>
          <w:rFonts w:hint="eastAsia"/>
          <w:color w:val="auto"/>
          <w:sz w:val="24"/>
          <w:szCs w:val="24"/>
          <w:highlight w:val="none"/>
        </w:rPr>
        <w:t>（</w:t>
      </w:r>
      <w:r>
        <w:rPr>
          <w:rFonts w:hint="eastAsia"/>
          <w:color w:val="auto"/>
          <w:sz w:val="24"/>
          <w:szCs w:val="24"/>
          <w:highlight w:val="none"/>
          <w:lang w:val="en-US" w:eastAsia="zh-CN"/>
        </w:rPr>
        <w:t>4</w:t>
      </w:r>
      <w:r>
        <w:rPr>
          <w:rFonts w:hint="eastAsia"/>
          <w:color w:val="auto"/>
          <w:sz w:val="24"/>
          <w:szCs w:val="24"/>
          <w:highlight w:val="none"/>
        </w:rPr>
        <w:t>）承诺函</w:t>
      </w:r>
      <w:r>
        <w:rPr>
          <w:rFonts w:hint="eastAsia"/>
          <w:color w:val="auto"/>
          <w:sz w:val="24"/>
          <w:szCs w:val="24"/>
          <w:highlight w:val="none"/>
          <w:lang w:eastAsia="zh-CN"/>
        </w:rPr>
        <w:t>；</w:t>
      </w:r>
    </w:p>
    <w:p>
      <w:pPr>
        <w:autoSpaceDE/>
        <w:autoSpaceDN/>
        <w:spacing w:line="360" w:lineRule="auto"/>
        <w:ind w:firstLine="480" w:firstLineChars="200"/>
        <w:jc w:val="both"/>
        <w:rPr>
          <w:rFonts w:hint="eastAsia" w:eastAsia="宋体"/>
          <w:color w:val="auto"/>
          <w:sz w:val="24"/>
          <w:szCs w:val="24"/>
          <w:highlight w:val="none"/>
          <w:lang w:eastAsia="zh-CN"/>
        </w:rPr>
      </w:pPr>
      <w:r>
        <w:rPr>
          <w:rFonts w:hint="eastAsia"/>
          <w:color w:val="auto"/>
          <w:sz w:val="24"/>
          <w:szCs w:val="24"/>
          <w:highlight w:val="none"/>
        </w:rPr>
        <w:t>（</w:t>
      </w:r>
      <w:r>
        <w:rPr>
          <w:rFonts w:hint="eastAsia"/>
          <w:color w:val="auto"/>
          <w:sz w:val="24"/>
          <w:szCs w:val="24"/>
          <w:highlight w:val="none"/>
          <w:lang w:val="en-US" w:eastAsia="zh-CN"/>
        </w:rPr>
        <w:t>5</w:t>
      </w:r>
      <w:r>
        <w:rPr>
          <w:rFonts w:hint="eastAsia"/>
          <w:color w:val="auto"/>
          <w:sz w:val="24"/>
          <w:szCs w:val="24"/>
          <w:highlight w:val="none"/>
        </w:rPr>
        <w:t>）履行合同所必须的设备和专业技术能力的承诺函</w:t>
      </w:r>
      <w:r>
        <w:rPr>
          <w:rFonts w:hint="eastAsia"/>
          <w:color w:val="auto"/>
          <w:sz w:val="24"/>
          <w:szCs w:val="24"/>
          <w:highlight w:val="none"/>
          <w:lang w:eastAsia="zh-CN"/>
        </w:rPr>
        <w:t>；</w:t>
      </w:r>
    </w:p>
    <w:p>
      <w:pPr>
        <w:autoSpaceDE/>
        <w:autoSpaceDN/>
        <w:spacing w:line="360" w:lineRule="auto"/>
        <w:ind w:firstLine="480" w:firstLineChars="200"/>
        <w:jc w:val="both"/>
        <w:rPr>
          <w:rFonts w:hint="eastAsia" w:eastAsia="宋体"/>
          <w:color w:val="auto"/>
          <w:sz w:val="24"/>
          <w:szCs w:val="24"/>
          <w:highlight w:val="none"/>
          <w:lang w:eastAsia="zh-CN"/>
        </w:rPr>
      </w:pPr>
      <w:r>
        <w:rPr>
          <w:rFonts w:hint="eastAsia"/>
          <w:color w:val="auto"/>
          <w:sz w:val="24"/>
          <w:szCs w:val="24"/>
          <w:highlight w:val="none"/>
        </w:rPr>
        <w:t>（</w:t>
      </w:r>
      <w:r>
        <w:rPr>
          <w:rFonts w:hint="eastAsia"/>
          <w:color w:val="auto"/>
          <w:sz w:val="24"/>
          <w:szCs w:val="24"/>
          <w:highlight w:val="none"/>
          <w:lang w:val="en-US" w:eastAsia="zh-CN"/>
        </w:rPr>
        <w:t>6</w:t>
      </w:r>
      <w:r>
        <w:rPr>
          <w:rFonts w:hint="eastAsia"/>
          <w:color w:val="auto"/>
          <w:sz w:val="24"/>
          <w:szCs w:val="24"/>
          <w:highlight w:val="none"/>
        </w:rPr>
        <w:t>）参加政府采购活动前三年内，在经营活动中没有重大违法记录承诺函</w:t>
      </w:r>
      <w:r>
        <w:rPr>
          <w:rFonts w:hint="eastAsia"/>
          <w:color w:val="auto"/>
          <w:sz w:val="24"/>
          <w:szCs w:val="24"/>
          <w:highlight w:val="none"/>
          <w:lang w:eastAsia="zh-CN"/>
        </w:rPr>
        <w:t>；</w:t>
      </w:r>
    </w:p>
    <w:p>
      <w:pPr>
        <w:autoSpaceDE/>
        <w:autoSpaceDN/>
        <w:spacing w:line="360" w:lineRule="auto"/>
        <w:ind w:firstLine="480" w:firstLineChars="200"/>
        <w:jc w:val="both"/>
        <w:rPr>
          <w:rFonts w:hint="eastAsia" w:eastAsia="宋体"/>
          <w:color w:val="auto"/>
          <w:sz w:val="24"/>
          <w:szCs w:val="24"/>
          <w:highlight w:val="none"/>
          <w:lang w:eastAsia="zh-CN"/>
        </w:rPr>
      </w:pPr>
      <w:r>
        <w:rPr>
          <w:rFonts w:hint="eastAsia"/>
          <w:color w:val="auto"/>
          <w:sz w:val="24"/>
          <w:szCs w:val="24"/>
          <w:highlight w:val="none"/>
        </w:rPr>
        <w:t>（</w:t>
      </w:r>
      <w:r>
        <w:rPr>
          <w:rFonts w:hint="eastAsia"/>
          <w:color w:val="auto"/>
          <w:sz w:val="24"/>
          <w:szCs w:val="24"/>
          <w:highlight w:val="none"/>
          <w:lang w:val="en-US" w:eastAsia="zh-CN"/>
        </w:rPr>
        <w:t>7</w:t>
      </w:r>
      <w:r>
        <w:rPr>
          <w:rFonts w:hint="eastAsia"/>
          <w:color w:val="auto"/>
          <w:sz w:val="24"/>
          <w:szCs w:val="24"/>
          <w:highlight w:val="none"/>
        </w:rPr>
        <w:t>）投标人其他资格、资质性及其他类似效力要求的相关证明材料</w:t>
      </w:r>
      <w:r>
        <w:rPr>
          <w:rFonts w:hint="eastAsia"/>
          <w:color w:val="auto"/>
          <w:sz w:val="24"/>
          <w:szCs w:val="24"/>
          <w:highlight w:val="none"/>
          <w:lang w:eastAsia="zh-CN"/>
        </w:rPr>
        <w:t>；</w:t>
      </w:r>
    </w:p>
    <w:p>
      <w:pPr>
        <w:autoSpaceDE/>
        <w:autoSpaceDN/>
        <w:spacing w:line="360" w:lineRule="auto"/>
        <w:ind w:firstLine="480" w:firstLineChars="200"/>
        <w:jc w:val="both"/>
        <w:rPr>
          <w:rFonts w:hint="eastAsia" w:eastAsia="宋体"/>
          <w:color w:val="auto"/>
          <w:sz w:val="24"/>
          <w:szCs w:val="24"/>
          <w:highlight w:val="none"/>
          <w:lang w:eastAsia="zh-CN"/>
        </w:rPr>
      </w:pPr>
      <w:r>
        <w:rPr>
          <w:rFonts w:hint="eastAsia"/>
          <w:color w:val="auto"/>
          <w:sz w:val="24"/>
          <w:szCs w:val="24"/>
          <w:highlight w:val="none"/>
        </w:rPr>
        <w:t>（</w:t>
      </w:r>
      <w:r>
        <w:rPr>
          <w:rFonts w:hint="eastAsia"/>
          <w:color w:val="auto"/>
          <w:sz w:val="24"/>
          <w:szCs w:val="24"/>
          <w:highlight w:val="none"/>
          <w:lang w:val="en-US" w:eastAsia="zh-CN"/>
        </w:rPr>
        <w:t>8</w:t>
      </w:r>
      <w:r>
        <w:rPr>
          <w:rFonts w:hint="eastAsia"/>
          <w:color w:val="auto"/>
          <w:sz w:val="24"/>
          <w:szCs w:val="24"/>
          <w:highlight w:val="none"/>
        </w:rPr>
        <w:t>）投标产品其他资格、资质性及其他类似效力要求相关证明材料</w:t>
      </w:r>
      <w:r>
        <w:rPr>
          <w:rFonts w:hint="eastAsia"/>
          <w:color w:val="auto"/>
          <w:sz w:val="24"/>
          <w:szCs w:val="24"/>
          <w:highlight w:val="none"/>
          <w:lang w:eastAsia="zh-CN"/>
        </w:rPr>
        <w:t>。</w:t>
      </w:r>
    </w:p>
    <w:p>
      <w:pPr>
        <w:autoSpaceDE/>
        <w:autoSpaceDN/>
        <w:spacing w:line="360" w:lineRule="auto"/>
        <w:ind w:firstLine="482" w:firstLineChars="200"/>
        <w:jc w:val="both"/>
        <w:rPr>
          <w:rFonts w:hint="eastAsia"/>
          <w:b/>
          <w:bCs/>
          <w:color w:val="auto"/>
          <w:sz w:val="24"/>
          <w:szCs w:val="24"/>
          <w:highlight w:val="none"/>
        </w:rPr>
      </w:pPr>
      <w:r>
        <w:rPr>
          <w:rFonts w:hint="eastAsia"/>
          <w:b/>
          <w:bCs/>
          <w:color w:val="auto"/>
          <w:sz w:val="24"/>
          <w:szCs w:val="24"/>
          <w:highlight w:val="none"/>
        </w:rPr>
        <w:t xml:space="preserve">14.3 </w:t>
      </w:r>
      <w:r>
        <w:rPr>
          <w:rFonts w:hint="eastAsia"/>
          <w:b/>
          <w:bCs/>
          <w:color w:val="auto"/>
          <w:sz w:val="24"/>
          <w:szCs w:val="24"/>
          <w:highlight w:val="none"/>
          <w:lang w:eastAsia="zh-CN"/>
        </w:rPr>
        <w:t>其他响应性部</w:t>
      </w:r>
      <w:r>
        <w:rPr>
          <w:rFonts w:hint="eastAsia"/>
          <w:b/>
          <w:bCs/>
          <w:color w:val="auto"/>
          <w:sz w:val="24"/>
          <w:szCs w:val="24"/>
          <w:highlight w:val="none"/>
        </w:rPr>
        <w:t>分。</w:t>
      </w:r>
    </w:p>
    <w:p>
      <w:pPr>
        <w:autoSpaceDE/>
        <w:autoSpaceDN/>
        <w:spacing w:line="360" w:lineRule="auto"/>
        <w:ind w:firstLine="480" w:firstLineChars="200"/>
        <w:jc w:val="both"/>
        <w:rPr>
          <w:rFonts w:hint="eastAsia"/>
          <w:color w:val="auto"/>
          <w:sz w:val="24"/>
          <w:szCs w:val="24"/>
          <w:highlight w:val="none"/>
        </w:rPr>
      </w:pPr>
      <w:r>
        <w:rPr>
          <w:rFonts w:hint="eastAsia"/>
          <w:color w:val="auto"/>
          <w:sz w:val="24"/>
          <w:szCs w:val="24"/>
          <w:highlight w:val="none"/>
        </w:rPr>
        <w:t>投标人按照招标文件要求提供的有关证明材料及</w:t>
      </w:r>
      <w:r>
        <w:rPr>
          <w:rFonts w:hint="eastAsia"/>
          <w:color w:val="auto"/>
          <w:sz w:val="24"/>
          <w:szCs w:val="24"/>
          <w:highlight w:val="none"/>
          <w:lang w:eastAsia="zh-CN"/>
        </w:rPr>
        <w:t>相关</w:t>
      </w:r>
      <w:r>
        <w:rPr>
          <w:rFonts w:hint="eastAsia"/>
          <w:color w:val="auto"/>
          <w:sz w:val="24"/>
          <w:szCs w:val="24"/>
          <w:highlight w:val="none"/>
        </w:rPr>
        <w:t>承诺。包括以下内容：</w:t>
      </w:r>
    </w:p>
    <w:p>
      <w:pPr>
        <w:autoSpaceDE/>
        <w:autoSpaceDN/>
        <w:spacing w:line="360" w:lineRule="auto"/>
        <w:ind w:firstLine="480" w:firstLineChars="200"/>
        <w:jc w:val="both"/>
        <w:rPr>
          <w:rFonts w:hint="eastAsia" w:eastAsia="宋体"/>
          <w:color w:val="auto"/>
          <w:sz w:val="24"/>
          <w:szCs w:val="24"/>
          <w:highlight w:val="none"/>
          <w:lang w:eastAsia="zh-CN"/>
        </w:rPr>
      </w:pPr>
      <w:r>
        <w:rPr>
          <w:rFonts w:hint="eastAsia"/>
          <w:color w:val="auto"/>
          <w:sz w:val="24"/>
          <w:szCs w:val="24"/>
          <w:highlight w:val="none"/>
        </w:rPr>
        <w:t>（1）投标函</w:t>
      </w:r>
      <w:r>
        <w:rPr>
          <w:rFonts w:hint="eastAsia"/>
          <w:color w:val="auto"/>
          <w:sz w:val="24"/>
          <w:szCs w:val="24"/>
          <w:highlight w:val="none"/>
          <w:lang w:eastAsia="zh-CN"/>
        </w:rPr>
        <w:t>；</w:t>
      </w:r>
    </w:p>
    <w:p>
      <w:pPr>
        <w:autoSpaceDE/>
        <w:autoSpaceDN/>
        <w:spacing w:line="360" w:lineRule="auto"/>
        <w:ind w:firstLine="480" w:firstLineChars="200"/>
        <w:jc w:val="both"/>
        <w:rPr>
          <w:rFonts w:hint="eastAsia" w:eastAsia="宋体"/>
          <w:color w:val="auto"/>
          <w:sz w:val="24"/>
          <w:szCs w:val="24"/>
          <w:highlight w:val="none"/>
          <w:lang w:eastAsia="zh-CN"/>
        </w:rPr>
      </w:pPr>
      <w:r>
        <w:rPr>
          <w:rFonts w:hint="eastAsia"/>
          <w:color w:val="auto"/>
          <w:sz w:val="24"/>
          <w:szCs w:val="24"/>
          <w:highlight w:val="none"/>
        </w:rPr>
        <w:t>（2）开标一览表</w:t>
      </w:r>
      <w:r>
        <w:rPr>
          <w:rFonts w:hint="eastAsia"/>
          <w:color w:val="auto"/>
          <w:sz w:val="24"/>
          <w:szCs w:val="24"/>
          <w:highlight w:val="none"/>
          <w:lang w:eastAsia="zh-CN"/>
        </w:rPr>
        <w:t>；</w:t>
      </w:r>
    </w:p>
    <w:p>
      <w:pPr>
        <w:autoSpaceDE/>
        <w:autoSpaceDN/>
        <w:spacing w:line="360" w:lineRule="auto"/>
        <w:ind w:firstLine="480" w:firstLineChars="200"/>
        <w:jc w:val="both"/>
        <w:rPr>
          <w:rFonts w:hint="eastAsia" w:eastAsia="宋体"/>
          <w:color w:val="auto"/>
          <w:sz w:val="24"/>
          <w:szCs w:val="24"/>
          <w:highlight w:val="none"/>
          <w:lang w:eastAsia="zh-CN"/>
        </w:rPr>
      </w:pPr>
      <w:r>
        <w:rPr>
          <w:rFonts w:hint="eastAsia"/>
          <w:color w:val="auto"/>
          <w:sz w:val="24"/>
          <w:szCs w:val="24"/>
          <w:highlight w:val="none"/>
        </w:rPr>
        <w:t>（3）</w:t>
      </w:r>
      <w:r>
        <w:rPr>
          <w:rFonts w:hint="eastAsia"/>
          <w:color w:val="auto"/>
          <w:sz w:val="24"/>
          <w:szCs w:val="24"/>
          <w:highlight w:val="none"/>
          <w:lang w:val="en-US"/>
        </w:rPr>
        <w:t>技术、服务要求应答表</w:t>
      </w:r>
      <w:r>
        <w:rPr>
          <w:rFonts w:hint="eastAsia"/>
          <w:color w:val="auto"/>
          <w:sz w:val="24"/>
          <w:szCs w:val="24"/>
          <w:highlight w:val="none"/>
          <w:lang w:val="en-US" w:eastAsia="zh-CN"/>
        </w:rPr>
        <w:t>；</w:t>
      </w:r>
    </w:p>
    <w:p>
      <w:pPr>
        <w:autoSpaceDE/>
        <w:autoSpaceDN/>
        <w:spacing w:line="360" w:lineRule="auto"/>
        <w:ind w:firstLine="480" w:firstLineChars="200"/>
        <w:jc w:val="both"/>
        <w:rPr>
          <w:rFonts w:hint="eastAsia" w:eastAsia="宋体"/>
          <w:color w:val="auto"/>
          <w:sz w:val="24"/>
          <w:szCs w:val="24"/>
          <w:highlight w:val="none"/>
          <w:lang w:eastAsia="zh-CN"/>
        </w:rPr>
      </w:pPr>
      <w:r>
        <w:rPr>
          <w:rFonts w:hint="eastAsia"/>
          <w:color w:val="auto"/>
          <w:sz w:val="24"/>
          <w:szCs w:val="24"/>
          <w:highlight w:val="none"/>
        </w:rPr>
        <w:t>（4）</w:t>
      </w:r>
      <w:r>
        <w:rPr>
          <w:rFonts w:hint="eastAsia"/>
          <w:color w:val="auto"/>
          <w:sz w:val="24"/>
          <w:szCs w:val="24"/>
          <w:highlight w:val="none"/>
          <w:lang w:val="en-US"/>
        </w:rPr>
        <w:t>商务应答表</w:t>
      </w:r>
      <w:r>
        <w:rPr>
          <w:rFonts w:hint="eastAsia"/>
          <w:color w:val="auto"/>
          <w:sz w:val="24"/>
          <w:szCs w:val="24"/>
          <w:highlight w:val="none"/>
          <w:lang w:val="en-US" w:eastAsia="zh-CN"/>
        </w:rPr>
        <w:t>；</w:t>
      </w:r>
    </w:p>
    <w:p>
      <w:pPr>
        <w:autoSpaceDE/>
        <w:autoSpaceDN/>
        <w:spacing w:line="360" w:lineRule="auto"/>
        <w:ind w:firstLine="480" w:firstLineChars="200"/>
        <w:jc w:val="both"/>
        <w:rPr>
          <w:rFonts w:hint="eastAsia" w:eastAsia="宋体"/>
          <w:color w:val="auto"/>
          <w:sz w:val="24"/>
          <w:szCs w:val="24"/>
          <w:highlight w:val="none"/>
          <w:lang w:eastAsia="zh-CN"/>
        </w:rPr>
      </w:pPr>
      <w:r>
        <w:rPr>
          <w:rFonts w:hint="eastAsia"/>
          <w:color w:val="auto"/>
          <w:sz w:val="24"/>
          <w:szCs w:val="24"/>
          <w:highlight w:val="none"/>
        </w:rPr>
        <w:t>（5）</w:t>
      </w:r>
      <w:r>
        <w:rPr>
          <w:rFonts w:hint="eastAsia"/>
          <w:color w:val="auto"/>
          <w:sz w:val="24"/>
          <w:szCs w:val="24"/>
          <w:highlight w:val="none"/>
          <w:lang w:val="en-US"/>
        </w:rPr>
        <w:t>投标人类似项目业绩一览表</w:t>
      </w:r>
      <w:r>
        <w:rPr>
          <w:rFonts w:hint="eastAsia"/>
          <w:color w:val="auto"/>
          <w:sz w:val="24"/>
          <w:szCs w:val="24"/>
          <w:highlight w:val="none"/>
          <w:lang w:val="en-US" w:eastAsia="zh-CN"/>
        </w:rPr>
        <w:t>；</w:t>
      </w:r>
    </w:p>
    <w:p>
      <w:pPr>
        <w:autoSpaceDE/>
        <w:autoSpaceDN/>
        <w:spacing w:line="360" w:lineRule="auto"/>
        <w:ind w:firstLine="480" w:firstLineChars="200"/>
        <w:jc w:val="both"/>
        <w:rPr>
          <w:rFonts w:hint="eastAsia" w:eastAsia="宋体"/>
          <w:color w:val="auto"/>
          <w:sz w:val="24"/>
          <w:szCs w:val="24"/>
          <w:highlight w:val="none"/>
          <w:lang w:eastAsia="zh-CN"/>
        </w:rPr>
      </w:pPr>
      <w:r>
        <w:rPr>
          <w:rFonts w:hint="eastAsia"/>
          <w:color w:val="auto"/>
          <w:sz w:val="24"/>
          <w:szCs w:val="24"/>
          <w:highlight w:val="none"/>
        </w:rPr>
        <w:t>（6）</w:t>
      </w:r>
      <w:r>
        <w:rPr>
          <w:rFonts w:hint="eastAsia"/>
          <w:color w:val="auto"/>
          <w:sz w:val="24"/>
          <w:szCs w:val="24"/>
          <w:highlight w:val="none"/>
          <w:lang w:val="en-US"/>
        </w:rPr>
        <w:t>投标人本项目管理、技术、服务人员情况表</w:t>
      </w:r>
      <w:r>
        <w:rPr>
          <w:rFonts w:hint="eastAsia"/>
          <w:color w:val="auto"/>
          <w:sz w:val="24"/>
          <w:szCs w:val="24"/>
          <w:highlight w:val="none"/>
          <w:lang w:val="en-US" w:eastAsia="zh-CN"/>
        </w:rPr>
        <w:t>；</w:t>
      </w:r>
    </w:p>
    <w:p>
      <w:pPr>
        <w:autoSpaceDE/>
        <w:autoSpaceDN/>
        <w:spacing w:line="360" w:lineRule="auto"/>
        <w:ind w:firstLine="480" w:firstLineChars="200"/>
        <w:jc w:val="both"/>
        <w:rPr>
          <w:rFonts w:hint="eastAsia" w:eastAsia="宋体"/>
          <w:color w:val="auto"/>
          <w:sz w:val="24"/>
          <w:szCs w:val="24"/>
          <w:highlight w:val="none"/>
          <w:lang w:val="en-US" w:eastAsia="zh-CN"/>
        </w:rPr>
      </w:pPr>
      <w:r>
        <w:rPr>
          <w:rFonts w:hint="eastAsia"/>
          <w:color w:val="auto"/>
          <w:sz w:val="24"/>
          <w:szCs w:val="24"/>
          <w:highlight w:val="none"/>
        </w:rPr>
        <w:t>（7）</w:t>
      </w:r>
      <w:r>
        <w:rPr>
          <w:rFonts w:hint="eastAsia"/>
          <w:color w:val="auto"/>
          <w:sz w:val="24"/>
          <w:szCs w:val="24"/>
          <w:highlight w:val="none"/>
          <w:lang w:val="en-US"/>
        </w:rPr>
        <w:t>供应商认为需要提供其他材料</w:t>
      </w:r>
      <w:r>
        <w:rPr>
          <w:rFonts w:hint="eastAsia"/>
          <w:color w:val="auto"/>
          <w:sz w:val="24"/>
          <w:szCs w:val="24"/>
          <w:highlight w:val="none"/>
          <w:lang w:val="en-US" w:eastAsia="zh-CN"/>
        </w:rPr>
        <w:t>。</w:t>
      </w:r>
    </w:p>
    <w:p>
      <w:pPr>
        <w:autoSpaceDE/>
        <w:autoSpaceDN/>
        <w:spacing w:line="360" w:lineRule="auto"/>
        <w:jc w:val="both"/>
        <w:rPr>
          <w:rFonts w:cs="Times New Roman"/>
          <w:b/>
          <w:color w:val="auto"/>
          <w:kern w:val="2"/>
          <w:sz w:val="28"/>
          <w:szCs w:val="28"/>
          <w:highlight w:val="none"/>
          <w:lang w:val="en-US"/>
        </w:rPr>
      </w:pPr>
      <w:r>
        <w:rPr>
          <w:rFonts w:hint="eastAsia" w:cs="Times New Roman"/>
          <w:b/>
          <w:color w:val="auto"/>
          <w:kern w:val="2"/>
          <w:sz w:val="28"/>
          <w:szCs w:val="28"/>
          <w:highlight w:val="none"/>
          <w:lang w:val="en-US"/>
        </w:rPr>
        <w:t>15.投标文件格式</w:t>
      </w:r>
    </w:p>
    <w:p>
      <w:pPr>
        <w:pStyle w:val="2"/>
        <w:spacing w:line="360" w:lineRule="auto"/>
        <w:ind w:firstLine="480" w:firstLineChars="200"/>
        <w:jc w:val="both"/>
        <w:rPr>
          <w:color w:val="auto"/>
          <w:highlight w:val="none"/>
        </w:rPr>
      </w:pPr>
      <w:r>
        <w:rPr>
          <w:rFonts w:hint="eastAsia"/>
          <w:color w:val="auto"/>
          <w:highlight w:val="none"/>
          <w:lang w:val="en-US" w:eastAsia="zh-CN"/>
        </w:rPr>
        <w:t>15</w:t>
      </w:r>
      <w:r>
        <w:rPr>
          <w:rFonts w:hint="eastAsia"/>
          <w:color w:val="auto"/>
          <w:highlight w:val="none"/>
        </w:rPr>
        <w:t>.1 投标人应执行招标文件第三章的规定要求。</w:t>
      </w:r>
    </w:p>
    <w:p>
      <w:pPr>
        <w:pStyle w:val="2"/>
        <w:spacing w:line="360" w:lineRule="auto"/>
        <w:ind w:firstLine="480" w:firstLineChars="200"/>
        <w:jc w:val="both"/>
        <w:rPr>
          <w:color w:val="auto"/>
          <w:sz w:val="28"/>
          <w:highlight w:val="none"/>
        </w:rPr>
      </w:pPr>
      <w:r>
        <w:rPr>
          <w:rFonts w:hint="eastAsia"/>
          <w:color w:val="auto"/>
          <w:highlight w:val="none"/>
          <w:lang w:val="en-US" w:eastAsia="zh-CN"/>
        </w:rPr>
        <w:t>15</w:t>
      </w:r>
      <w:r>
        <w:rPr>
          <w:rFonts w:hint="eastAsia"/>
          <w:color w:val="auto"/>
          <w:highlight w:val="none"/>
        </w:rPr>
        <w:t>.2 对于没有格式要求的投标文件由投标人自行编写。</w:t>
      </w:r>
    </w:p>
    <w:p>
      <w:pPr>
        <w:autoSpaceDE/>
        <w:autoSpaceDN/>
        <w:spacing w:line="360" w:lineRule="auto"/>
        <w:jc w:val="both"/>
        <w:rPr>
          <w:b/>
          <w:color w:val="auto"/>
          <w:sz w:val="26"/>
          <w:highlight w:val="none"/>
        </w:rPr>
      </w:pPr>
      <w:r>
        <w:rPr>
          <w:rFonts w:hint="eastAsia" w:cs="Times New Roman"/>
          <w:b/>
          <w:color w:val="auto"/>
          <w:kern w:val="2"/>
          <w:sz w:val="28"/>
          <w:szCs w:val="28"/>
          <w:highlight w:val="none"/>
          <w:lang w:val="en-US"/>
        </w:rPr>
        <w:t>16.投标保证金（实质性要求）</w:t>
      </w:r>
    </w:p>
    <w:p>
      <w:pPr>
        <w:pStyle w:val="2"/>
        <w:spacing w:line="360" w:lineRule="auto"/>
        <w:ind w:firstLine="480" w:firstLineChars="200"/>
        <w:jc w:val="both"/>
        <w:rPr>
          <w:b w:val="0"/>
          <w:bCs w:val="0"/>
          <w:color w:val="auto"/>
          <w:sz w:val="27"/>
          <w:highlight w:val="none"/>
        </w:rPr>
      </w:pPr>
      <w:r>
        <w:rPr>
          <w:rFonts w:hint="eastAsia"/>
          <w:b w:val="0"/>
          <w:bCs w:val="0"/>
          <w:color w:val="auto"/>
          <w:highlight w:val="none"/>
          <w:lang w:val="zh-CN"/>
        </w:rPr>
        <w:t>本项目不收取保证金</w:t>
      </w:r>
      <w:r>
        <w:rPr>
          <w:rFonts w:hint="eastAsia"/>
          <w:b w:val="0"/>
          <w:bCs w:val="0"/>
          <w:color w:val="auto"/>
          <w:highlight w:val="none"/>
        </w:rPr>
        <w:t>。</w:t>
      </w:r>
    </w:p>
    <w:p>
      <w:pPr>
        <w:autoSpaceDE/>
        <w:autoSpaceDN/>
        <w:spacing w:line="360" w:lineRule="auto"/>
        <w:jc w:val="both"/>
        <w:rPr>
          <w:b/>
          <w:color w:val="auto"/>
          <w:sz w:val="27"/>
          <w:highlight w:val="none"/>
        </w:rPr>
      </w:pPr>
      <w:r>
        <w:rPr>
          <w:rFonts w:hint="eastAsia" w:cs="Times New Roman"/>
          <w:b/>
          <w:color w:val="auto"/>
          <w:kern w:val="2"/>
          <w:sz w:val="28"/>
          <w:szCs w:val="28"/>
          <w:highlight w:val="none"/>
          <w:lang w:val="en-US"/>
        </w:rPr>
        <w:t>17.投标有效期（实质性要求）</w:t>
      </w:r>
    </w:p>
    <w:p>
      <w:pPr>
        <w:pStyle w:val="2"/>
        <w:spacing w:line="360" w:lineRule="auto"/>
        <w:ind w:firstLine="480" w:firstLineChars="200"/>
        <w:jc w:val="both"/>
        <w:rPr>
          <w:color w:val="auto"/>
          <w:highlight w:val="none"/>
        </w:rPr>
      </w:pPr>
      <w:r>
        <w:rPr>
          <w:rFonts w:hint="eastAsia"/>
          <w:color w:val="auto"/>
          <w:highlight w:val="none"/>
        </w:rPr>
        <w:t>17.1 本项目投标有效期为投标截止时间届满后</w:t>
      </w:r>
      <w:r>
        <w:rPr>
          <w:color w:val="auto"/>
          <w:highlight w:val="none"/>
        </w:rPr>
        <w:t>90</w:t>
      </w:r>
      <w:r>
        <w:rPr>
          <w:rFonts w:hint="eastAsia"/>
          <w:color w:val="auto"/>
          <w:highlight w:val="none"/>
        </w:rPr>
        <w:t>天。投标人投标文件中必须载明投标有效期，投标文件中载明的投标有效期可以长于招标文件规定的期限，但不得短于招标文件规定的期限。否则，其投标文件将作为无效投标处理。</w:t>
      </w:r>
    </w:p>
    <w:p>
      <w:pPr>
        <w:pStyle w:val="2"/>
        <w:spacing w:line="360" w:lineRule="auto"/>
        <w:ind w:firstLine="480" w:firstLineChars="200"/>
        <w:jc w:val="both"/>
        <w:rPr>
          <w:color w:val="auto"/>
          <w:highlight w:val="none"/>
        </w:rPr>
      </w:pPr>
      <w:r>
        <w:rPr>
          <w:rFonts w:hint="eastAsia"/>
          <w:color w:val="auto"/>
          <w:highlight w:val="none"/>
        </w:rPr>
        <w:t>17.2 因不可抗力事件，采购人可于投标有效期届满之前与投标人协商延长投标有效期。投标人拒绝延长投标有效期的，不得再参与该项目后续采购活动，但由此给投标人造成的损失，采购人可以自主决定是否可以给予适当补偿。投标人同意延长投标有效期的，不能修改投标文件。</w:t>
      </w:r>
    </w:p>
    <w:p>
      <w:pPr>
        <w:pStyle w:val="2"/>
        <w:spacing w:line="360" w:lineRule="auto"/>
        <w:ind w:firstLine="480" w:firstLineChars="200"/>
        <w:jc w:val="both"/>
        <w:rPr>
          <w:color w:val="auto"/>
          <w:highlight w:val="none"/>
        </w:rPr>
      </w:pPr>
      <w:r>
        <w:rPr>
          <w:rFonts w:hint="eastAsia"/>
          <w:color w:val="auto"/>
          <w:highlight w:val="none"/>
        </w:rPr>
        <w:t>17.3 因采购人采购需求作出必要调整，采购人可于投标有效期届满之前与投标人协商延长投标有效期。投标人拒绝延长投标有效期的，不得再参与该项目后续采购活动，但由此给投标人造成的损失，采购人应当予以赔偿或者合理补偿。投标人同意延长投标有效期的，不能修改投标文件。</w:t>
      </w:r>
    </w:p>
    <w:p>
      <w:pPr>
        <w:autoSpaceDE/>
        <w:autoSpaceDN/>
        <w:spacing w:line="360" w:lineRule="auto"/>
        <w:jc w:val="both"/>
        <w:rPr>
          <w:b/>
          <w:color w:val="auto"/>
          <w:sz w:val="26"/>
          <w:highlight w:val="none"/>
        </w:rPr>
      </w:pPr>
      <w:r>
        <w:rPr>
          <w:rFonts w:hint="eastAsia" w:cs="Times New Roman"/>
          <w:b/>
          <w:color w:val="auto"/>
          <w:kern w:val="2"/>
          <w:sz w:val="28"/>
          <w:szCs w:val="28"/>
          <w:highlight w:val="none"/>
          <w:lang w:val="en-US"/>
        </w:rPr>
        <w:t>18.投标文件的印制和签署</w:t>
      </w:r>
    </w:p>
    <w:p>
      <w:pPr>
        <w:pStyle w:val="2"/>
        <w:spacing w:line="360" w:lineRule="auto"/>
        <w:ind w:firstLine="480" w:firstLineChars="200"/>
        <w:jc w:val="both"/>
        <w:rPr>
          <w:rFonts w:hint="eastAsia"/>
          <w:color w:val="auto"/>
          <w:highlight w:val="none"/>
        </w:rPr>
      </w:pPr>
      <w:r>
        <w:rPr>
          <w:rFonts w:hint="eastAsia"/>
          <w:color w:val="auto"/>
          <w:highlight w:val="none"/>
        </w:rPr>
        <w:t>18.1 投标文件分为资格性</w:t>
      </w:r>
      <w:r>
        <w:rPr>
          <w:rFonts w:hint="eastAsia"/>
          <w:color w:val="auto"/>
          <w:highlight w:val="none"/>
          <w:lang w:val="en-US" w:eastAsia="zh-CN"/>
        </w:rPr>
        <w:t>响应</w:t>
      </w:r>
      <w:r>
        <w:rPr>
          <w:rFonts w:hint="eastAsia"/>
          <w:color w:val="auto"/>
          <w:highlight w:val="none"/>
        </w:rPr>
        <w:t>文件和其他响应文件两部分，两部分应分册装订。资格性</w:t>
      </w:r>
      <w:r>
        <w:rPr>
          <w:rFonts w:hint="eastAsia"/>
          <w:color w:val="auto"/>
          <w:highlight w:val="none"/>
          <w:lang w:val="en-US" w:eastAsia="zh-CN"/>
        </w:rPr>
        <w:t>响应</w:t>
      </w:r>
      <w:r>
        <w:rPr>
          <w:rFonts w:hint="eastAsia"/>
          <w:color w:val="auto"/>
          <w:highlight w:val="none"/>
        </w:rPr>
        <w:t>文件包括招标文件第五章要求的证明材料，其他响应文件包括投标人响应招标文件全部要求的证明材料（资格证明材料除外）。资格性</w:t>
      </w:r>
      <w:r>
        <w:rPr>
          <w:rFonts w:hint="eastAsia"/>
          <w:color w:val="auto"/>
          <w:highlight w:val="none"/>
          <w:lang w:val="en-US" w:eastAsia="zh-CN"/>
        </w:rPr>
        <w:t>响应</w:t>
      </w:r>
      <w:r>
        <w:rPr>
          <w:rFonts w:hint="eastAsia"/>
          <w:color w:val="auto"/>
          <w:highlight w:val="none"/>
        </w:rPr>
        <w:t>文件用于采购人或采购代理机构资格审查，其他响应文件用于评</w:t>
      </w:r>
      <w:r>
        <w:rPr>
          <w:rFonts w:hint="eastAsia"/>
          <w:color w:val="auto"/>
          <w:highlight w:val="none"/>
          <w:lang w:val="en-US" w:eastAsia="zh-CN"/>
        </w:rPr>
        <w:t>审</w:t>
      </w:r>
      <w:r>
        <w:rPr>
          <w:rFonts w:hint="eastAsia"/>
          <w:color w:val="auto"/>
          <w:highlight w:val="none"/>
        </w:rPr>
        <w:t>委员会评审。</w:t>
      </w:r>
    </w:p>
    <w:p>
      <w:pPr>
        <w:pStyle w:val="2"/>
        <w:spacing w:line="360" w:lineRule="auto"/>
        <w:ind w:firstLine="480" w:firstLineChars="200"/>
        <w:jc w:val="both"/>
        <w:rPr>
          <w:color w:val="auto"/>
          <w:highlight w:val="none"/>
        </w:rPr>
      </w:pPr>
      <w:r>
        <w:rPr>
          <w:rFonts w:hint="eastAsia"/>
          <w:color w:val="auto"/>
          <w:highlight w:val="none"/>
        </w:rPr>
        <w:t>18.2 投标人应按</w:t>
      </w:r>
      <w:r>
        <w:rPr>
          <w:color w:val="auto"/>
          <w:highlight w:val="none"/>
        </w:rPr>
        <w:t>18.1</w:t>
      </w:r>
      <w:r>
        <w:rPr>
          <w:rFonts w:hint="eastAsia"/>
          <w:color w:val="auto"/>
          <w:highlight w:val="none"/>
        </w:rPr>
        <w:t>准备两部分</w:t>
      </w:r>
      <w:r>
        <w:rPr>
          <w:rFonts w:hint="eastAsia"/>
          <w:color w:val="auto"/>
          <w:highlight w:val="none"/>
          <w:lang w:val="en-US" w:eastAsia="zh-CN"/>
        </w:rPr>
        <w:t>响应</w:t>
      </w:r>
      <w:r>
        <w:rPr>
          <w:rFonts w:hint="eastAsia"/>
          <w:color w:val="auto"/>
          <w:highlight w:val="none"/>
        </w:rPr>
        <w:t>文件，每部分含正本</w:t>
      </w:r>
      <w:r>
        <w:rPr>
          <w:color w:val="auto"/>
          <w:highlight w:val="none"/>
        </w:rPr>
        <w:t>1</w:t>
      </w:r>
      <w:r>
        <w:rPr>
          <w:rFonts w:hint="eastAsia"/>
          <w:color w:val="auto"/>
          <w:highlight w:val="none"/>
        </w:rPr>
        <w:t>份、副本</w:t>
      </w:r>
      <w:r>
        <w:rPr>
          <w:rFonts w:hint="eastAsia"/>
          <w:color w:val="auto"/>
          <w:highlight w:val="none"/>
          <w:lang w:val="en-US" w:eastAsia="zh-CN"/>
        </w:rPr>
        <w:t>4</w:t>
      </w:r>
      <w:r>
        <w:rPr>
          <w:rFonts w:hint="eastAsia"/>
          <w:color w:val="auto"/>
          <w:highlight w:val="none"/>
        </w:rPr>
        <w:t>份和相应的电子文档</w:t>
      </w:r>
      <w:r>
        <w:rPr>
          <w:rFonts w:hint="eastAsia"/>
          <w:color w:val="auto"/>
          <w:highlight w:val="none"/>
          <w:lang w:eastAsia="zh-CN"/>
        </w:rPr>
        <w:t>（</w:t>
      </w:r>
      <w:r>
        <w:rPr>
          <w:rFonts w:hint="eastAsia"/>
          <w:color w:val="auto"/>
          <w:highlight w:val="none"/>
          <w:lang w:val="en-US" w:eastAsia="zh-CN"/>
        </w:rPr>
        <w:t>U盘</w:t>
      </w:r>
      <w:r>
        <w:rPr>
          <w:rFonts w:hint="eastAsia"/>
          <w:color w:val="auto"/>
          <w:highlight w:val="none"/>
          <w:lang w:eastAsia="zh-CN"/>
        </w:rPr>
        <w:t>）</w:t>
      </w:r>
      <w:r>
        <w:rPr>
          <w:rFonts w:hint="eastAsia"/>
          <w:color w:val="auto"/>
          <w:highlight w:val="none"/>
        </w:rPr>
        <w:t xml:space="preserve"> 1 份，以及用于开标唱标单独额外密封提交的“开标一览表”</w:t>
      </w:r>
      <w:r>
        <w:rPr>
          <w:color w:val="auto"/>
          <w:highlight w:val="none"/>
        </w:rPr>
        <w:t>1</w:t>
      </w:r>
      <w:r>
        <w:rPr>
          <w:rFonts w:hint="eastAsia"/>
          <w:color w:val="auto"/>
          <w:highlight w:val="none"/>
        </w:rPr>
        <w:t>份。投标文件的正本和副本应在其封面右上角清楚地标明“正本”或“副本”字样。若正本和副本有不一致的内容，以正本书面投标文件为准。</w:t>
      </w:r>
    </w:p>
    <w:p>
      <w:pPr>
        <w:pStyle w:val="2"/>
        <w:spacing w:line="360" w:lineRule="auto"/>
        <w:ind w:firstLine="480" w:firstLineChars="200"/>
        <w:jc w:val="both"/>
        <w:rPr>
          <w:color w:val="auto"/>
          <w:highlight w:val="none"/>
        </w:rPr>
      </w:pPr>
      <w:r>
        <w:rPr>
          <w:rFonts w:hint="eastAsia"/>
          <w:color w:val="auto"/>
          <w:highlight w:val="none"/>
        </w:rPr>
        <w:t>18.3 “开标一览表”除单独密封提交外，还应编制于其他响应文件正本内。单独密封提交的“开标一览表”必须与“其他响应文件正本”中的开标一览表保持一致，否则视为选择性报价，做无效投标处理。</w:t>
      </w:r>
    </w:p>
    <w:p>
      <w:pPr>
        <w:pStyle w:val="2"/>
        <w:spacing w:line="360" w:lineRule="auto"/>
        <w:ind w:firstLine="480" w:firstLineChars="200"/>
        <w:jc w:val="both"/>
        <w:rPr>
          <w:color w:val="auto"/>
          <w:highlight w:val="none"/>
        </w:rPr>
      </w:pPr>
      <w:r>
        <w:rPr>
          <w:rFonts w:hint="eastAsia"/>
          <w:color w:val="auto"/>
          <w:highlight w:val="none"/>
        </w:rPr>
        <w:t>18.4 投标文件的正本需打印或用不褪色、不变质的墨水书写，并由投标人的法定代表人</w:t>
      </w:r>
      <w:r>
        <w:rPr>
          <w:color w:val="auto"/>
          <w:highlight w:val="none"/>
        </w:rPr>
        <w:t>/</w:t>
      </w:r>
      <w:r>
        <w:rPr>
          <w:rFonts w:hint="eastAsia"/>
          <w:color w:val="auto"/>
          <w:highlight w:val="none"/>
        </w:rPr>
        <w:t>单位负责人或其授权代表在规定签章处签字或盖章。投标文件副本可采用正本的复印件，电子文档采用</w:t>
      </w:r>
      <w:r>
        <w:rPr>
          <w:color w:val="auto"/>
          <w:highlight w:val="none"/>
        </w:rPr>
        <w:t>U</w:t>
      </w:r>
      <w:r>
        <w:rPr>
          <w:rFonts w:hint="eastAsia"/>
          <w:color w:val="auto"/>
          <w:highlight w:val="none"/>
        </w:rPr>
        <w:t>盘制作。用于开标唱标单独提交的“开标一览表”应为原件。</w:t>
      </w:r>
    </w:p>
    <w:p>
      <w:pPr>
        <w:pStyle w:val="2"/>
        <w:spacing w:line="360" w:lineRule="auto"/>
        <w:ind w:firstLine="480" w:firstLineChars="200"/>
        <w:jc w:val="both"/>
        <w:rPr>
          <w:color w:val="auto"/>
          <w:highlight w:val="none"/>
        </w:rPr>
      </w:pPr>
      <w:r>
        <w:rPr>
          <w:rFonts w:hint="eastAsia"/>
          <w:color w:val="auto"/>
          <w:highlight w:val="none"/>
        </w:rPr>
        <w:t>18.5 投标文件的打印和书写应清楚工整，任何行间插字、涂改或增删，必须由投标人的法定代表人</w:t>
      </w:r>
      <w:r>
        <w:rPr>
          <w:color w:val="auto"/>
          <w:highlight w:val="none"/>
        </w:rPr>
        <w:t>/</w:t>
      </w:r>
      <w:r>
        <w:rPr>
          <w:rFonts w:hint="eastAsia"/>
          <w:color w:val="auto"/>
          <w:highlight w:val="none"/>
        </w:rPr>
        <w:t>单位负责人或其授权代表签字或盖个人印鉴。</w:t>
      </w:r>
    </w:p>
    <w:p>
      <w:pPr>
        <w:pStyle w:val="2"/>
        <w:spacing w:line="360" w:lineRule="auto"/>
        <w:ind w:firstLine="480" w:firstLineChars="200"/>
        <w:jc w:val="both"/>
        <w:rPr>
          <w:color w:val="auto"/>
          <w:highlight w:val="none"/>
        </w:rPr>
      </w:pPr>
      <w:r>
        <w:rPr>
          <w:rFonts w:hint="eastAsia"/>
          <w:color w:val="auto"/>
          <w:highlight w:val="none"/>
        </w:rPr>
        <w:t>18.6 投标文件正本和副本应当采取胶装方式装订成册，不得散装或者合页装订。</w:t>
      </w:r>
    </w:p>
    <w:p>
      <w:pPr>
        <w:pStyle w:val="2"/>
        <w:spacing w:line="360" w:lineRule="auto"/>
        <w:ind w:firstLine="480" w:firstLineChars="200"/>
        <w:jc w:val="both"/>
        <w:rPr>
          <w:color w:val="auto"/>
          <w:highlight w:val="none"/>
        </w:rPr>
      </w:pPr>
      <w:r>
        <w:rPr>
          <w:rFonts w:hint="eastAsia"/>
          <w:color w:val="auto"/>
          <w:highlight w:val="none"/>
        </w:rPr>
        <w:t>18.7 投标文件应根据招标文件的要求制作，签署、盖章和内容应完整。</w:t>
      </w:r>
    </w:p>
    <w:p>
      <w:pPr>
        <w:pStyle w:val="2"/>
        <w:spacing w:line="360" w:lineRule="auto"/>
        <w:ind w:firstLine="480" w:firstLineChars="200"/>
        <w:jc w:val="both"/>
        <w:rPr>
          <w:color w:val="auto"/>
          <w:highlight w:val="none"/>
        </w:rPr>
      </w:pPr>
      <w:r>
        <w:rPr>
          <w:rFonts w:hint="eastAsia"/>
          <w:color w:val="auto"/>
          <w:highlight w:val="none"/>
        </w:rPr>
        <w:t>18.8 投标文件统一用</w:t>
      </w:r>
      <w:r>
        <w:rPr>
          <w:color w:val="auto"/>
          <w:highlight w:val="none"/>
        </w:rPr>
        <w:t>A4</w:t>
      </w:r>
      <w:r>
        <w:rPr>
          <w:rFonts w:hint="eastAsia"/>
          <w:color w:val="auto"/>
          <w:highlight w:val="none"/>
        </w:rPr>
        <w:t>幅面纸印制，逐页编码。</w:t>
      </w:r>
    </w:p>
    <w:p>
      <w:pPr>
        <w:autoSpaceDE/>
        <w:autoSpaceDN/>
        <w:spacing w:line="360" w:lineRule="auto"/>
        <w:jc w:val="both"/>
        <w:rPr>
          <w:b/>
          <w:color w:val="auto"/>
          <w:sz w:val="27"/>
          <w:highlight w:val="none"/>
        </w:rPr>
      </w:pPr>
      <w:r>
        <w:rPr>
          <w:rFonts w:hint="eastAsia" w:cs="Times New Roman"/>
          <w:b/>
          <w:color w:val="auto"/>
          <w:kern w:val="2"/>
          <w:sz w:val="28"/>
          <w:szCs w:val="28"/>
          <w:highlight w:val="none"/>
          <w:lang w:val="en-US"/>
        </w:rPr>
        <w:t>19.投标文件的密封和标注</w:t>
      </w:r>
    </w:p>
    <w:p>
      <w:pPr>
        <w:pStyle w:val="2"/>
        <w:spacing w:line="360" w:lineRule="auto"/>
        <w:ind w:firstLine="480" w:firstLineChars="200"/>
        <w:jc w:val="both"/>
        <w:rPr>
          <w:color w:val="auto"/>
          <w:highlight w:val="none"/>
        </w:rPr>
      </w:pPr>
      <w:r>
        <w:rPr>
          <w:rFonts w:hint="eastAsia"/>
          <w:color w:val="auto"/>
          <w:highlight w:val="none"/>
        </w:rPr>
        <w:t>19.1 投标人应在资格性</w:t>
      </w:r>
      <w:r>
        <w:rPr>
          <w:rFonts w:hint="eastAsia"/>
          <w:color w:val="auto"/>
          <w:highlight w:val="none"/>
          <w:lang w:val="en-US" w:eastAsia="zh-CN"/>
        </w:rPr>
        <w:t>响应</w:t>
      </w:r>
      <w:r>
        <w:rPr>
          <w:rFonts w:hint="eastAsia"/>
          <w:color w:val="auto"/>
          <w:highlight w:val="none"/>
        </w:rPr>
        <w:t>文件</w:t>
      </w:r>
      <w:r>
        <w:rPr>
          <w:color w:val="auto"/>
          <w:highlight w:val="none"/>
        </w:rPr>
        <w:t>/</w:t>
      </w:r>
      <w:r>
        <w:rPr>
          <w:rFonts w:hint="eastAsia"/>
          <w:color w:val="auto"/>
          <w:highlight w:val="none"/>
        </w:rPr>
        <w:t>其他响应文件正本和所有副本的封面上注明“资格性</w:t>
      </w:r>
      <w:r>
        <w:rPr>
          <w:rFonts w:hint="eastAsia"/>
          <w:color w:val="auto"/>
          <w:highlight w:val="none"/>
          <w:lang w:val="en-US" w:eastAsia="zh-CN"/>
        </w:rPr>
        <w:t>响应</w:t>
      </w:r>
      <w:r>
        <w:rPr>
          <w:rFonts w:hint="eastAsia"/>
          <w:color w:val="auto"/>
          <w:highlight w:val="none"/>
        </w:rPr>
        <w:t>文件</w:t>
      </w:r>
      <w:r>
        <w:rPr>
          <w:color w:val="auto"/>
          <w:highlight w:val="none"/>
        </w:rPr>
        <w:t>/</w:t>
      </w:r>
      <w:r>
        <w:rPr>
          <w:rFonts w:hint="eastAsia"/>
          <w:color w:val="auto"/>
          <w:highlight w:val="none"/>
        </w:rPr>
        <w:t>其他响应文件、正本</w:t>
      </w:r>
      <w:r>
        <w:rPr>
          <w:color w:val="auto"/>
          <w:highlight w:val="none"/>
        </w:rPr>
        <w:t>/</w:t>
      </w:r>
      <w:r>
        <w:rPr>
          <w:rFonts w:hint="eastAsia"/>
          <w:color w:val="auto"/>
          <w:highlight w:val="none"/>
        </w:rPr>
        <w:t>副本、投标人名称、招标编号、项目名称及分包号（如有分包）”。</w:t>
      </w:r>
    </w:p>
    <w:p>
      <w:pPr>
        <w:pStyle w:val="2"/>
        <w:spacing w:line="360" w:lineRule="auto"/>
        <w:ind w:firstLine="480" w:firstLineChars="200"/>
        <w:jc w:val="both"/>
        <w:rPr>
          <w:color w:val="auto"/>
          <w:highlight w:val="none"/>
        </w:rPr>
      </w:pPr>
      <w:r>
        <w:rPr>
          <w:rFonts w:hint="eastAsia"/>
          <w:color w:val="auto"/>
          <w:highlight w:val="none"/>
        </w:rPr>
        <w:t>19.2 投标文件包括资格性</w:t>
      </w:r>
      <w:r>
        <w:rPr>
          <w:rFonts w:hint="eastAsia"/>
          <w:color w:val="auto"/>
          <w:highlight w:val="none"/>
          <w:lang w:val="en-US" w:eastAsia="zh-CN"/>
        </w:rPr>
        <w:t>响应</w:t>
      </w:r>
      <w:r>
        <w:rPr>
          <w:rFonts w:hint="eastAsia"/>
          <w:color w:val="auto"/>
          <w:highlight w:val="none"/>
        </w:rPr>
        <w:t>文件正本及副本、其他响应文件正本及副本、电子文档和用于开标唱标单独提交的“开标一览表”四部分。投标文件的四部分应当单独密封。</w:t>
      </w:r>
    </w:p>
    <w:p>
      <w:pPr>
        <w:pStyle w:val="2"/>
        <w:spacing w:line="360" w:lineRule="auto"/>
        <w:ind w:firstLine="480" w:firstLineChars="200"/>
        <w:jc w:val="both"/>
        <w:rPr>
          <w:color w:val="auto"/>
          <w:highlight w:val="none"/>
        </w:rPr>
      </w:pPr>
      <w:r>
        <w:rPr>
          <w:rFonts w:hint="eastAsia"/>
          <w:color w:val="auto"/>
          <w:highlight w:val="none"/>
        </w:rPr>
        <w:t>19.3 投标文件的密封袋上应当注明投标人名称、招标编号、项目名称及分包号，（如有分包）、正本</w:t>
      </w:r>
      <w:r>
        <w:rPr>
          <w:color w:val="auto"/>
          <w:highlight w:val="none"/>
        </w:rPr>
        <w:t>/</w:t>
      </w:r>
      <w:r>
        <w:rPr>
          <w:rFonts w:hint="eastAsia"/>
          <w:color w:val="auto"/>
          <w:highlight w:val="none"/>
        </w:rPr>
        <w:t>副本。</w:t>
      </w:r>
    </w:p>
    <w:p>
      <w:pPr>
        <w:pStyle w:val="2"/>
        <w:spacing w:line="360" w:lineRule="auto"/>
        <w:ind w:firstLine="480" w:firstLineChars="200"/>
        <w:jc w:val="both"/>
        <w:rPr>
          <w:color w:val="auto"/>
          <w:highlight w:val="none"/>
        </w:rPr>
      </w:pPr>
      <w:r>
        <w:rPr>
          <w:rFonts w:hint="eastAsia"/>
          <w:color w:val="auto"/>
          <w:highlight w:val="none"/>
        </w:rPr>
        <w:t>19.4 资格性</w:t>
      </w:r>
      <w:r>
        <w:rPr>
          <w:rFonts w:hint="eastAsia"/>
          <w:color w:val="auto"/>
          <w:highlight w:val="none"/>
          <w:lang w:val="en-US" w:eastAsia="zh-CN"/>
        </w:rPr>
        <w:t>响应</w:t>
      </w:r>
      <w:r>
        <w:rPr>
          <w:rFonts w:hint="eastAsia"/>
          <w:color w:val="auto"/>
          <w:highlight w:val="none"/>
        </w:rPr>
        <w:t>文件一套包装</w:t>
      </w:r>
      <w:r>
        <w:rPr>
          <w:color w:val="auto"/>
          <w:highlight w:val="none"/>
        </w:rPr>
        <w:t>(</w:t>
      </w:r>
      <w:r>
        <w:rPr>
          <w:rFonts w:hint="eastAsia"/>
          <w:color w:val="auto"/>
          <w:highlight w:val="none"/>
        </w:rPr>
        <w:t>含正副本</w:t>
      </w:r>
      <w:r>
        <w:rPr>
          <w:color w:val="auto"/>
          <w:highlight w:val="none"/>
        </w:rPr>
        <w:t>)</w:t>
      </w:r>
      <w:r>
        <w:rPr>
          <w:rFonts w:hint="eastAsia"/>
          <w:color w:val="auto"/>
          <w:highlight w:val="none"/>
        </w:rPr>
        <w:t>，其他响应文件一套包装</w:t>
      </w:r>
      <w:r>
        <w:rPr>
          <w:color w:val="auto"/>
          <w:highlight w:val="none"/>
        </w:rPr>
        <w:t>(</w:t>
      </w:r>
      <w:r>
        <w:rPr>
          <w:rFonts w:hint="eastAsia"/>
          <w:color w:val="auto"/>
          <w:highlight w:val="none"/>
        </w:rPr>
        <w:t>含正副本</w:t>
      </w:r>
      <w:r>
        <w:rPr>
          <w:color w:val="auto"/>
          <w:highlight w:val="none"/>
        </w:rPr>
        <w:t>)</w:t>
      </w:r>
      <w:r>
        <w:rPr>
          <w:rFonts w:hint="eastAsia"/>
          <w:color w:val="auto"/>
          <w:highlight w:val="none"/>
        </w:rPr>
        <w:t>，电子文档一套包装，用于开标唱标单独提交的“开标一览表”一套包装。如果资格性</w:t>
      </w:r>
      <w:r>
        <w:rPr>
          <w:rFonts w:hint="eastAsia"/>
          <w:color w:val="auto"/>
          <w:highlight w:val="none"/>
          <w:lang w:val="en-US" w:eastAsia="zh-CN"/>
        </w:rPr>
        <w:t>响应</w:t>
      </w:r>
      <w:r>
        <w:rPr>
          <w:rFonts w:hint="eastAsia"/>
          <w:color w:val="auto"/>
          <w:highlight w:val="none"/>
        </w:rPr>
        <w:t>文件或其他响应文件过厚，可以多套密封，但须在每套密封上注明“共</w:t>
      </w:r>
      <w:r>
        <w:rPr>
          <w:color w:val="auto"/>
          <w:highlight w:val="none"/>
        </w:rPr>
        <w:t>X</w:t>
      </w:r>
      <w:r>
        <w:rPr>
          <w:rFonts w:hint="eastAsia"/>
          <w:color w:val="auto"/>
          <w:highlight w:val="none"/>
        </w:rPr>
        <w:t>套，此为第</w:t>
      </w:r>
      <w:r>
        <w:rPr>
          <w:color w:val="auto"/>
          <w:highlight w:val="none"/>
        </w:rPr>
        <w:t>X</w:t>
      </w:r>
      <w:r>
        <w:rPr>
          <w:rFonts w:hint="eastAsia"/>
          <w:color w:val="auto"/>
          <w:highlight w:val="none"/>
        </w:rPr>
        <w:t>套”。</w:t>
      </w:r>
    </w:p>
    <w:p>
      <w:pPr>
        <w:pStyle w:val="2"/>
        <w:spacing w:line="360" w:lineRule="auto"/>
        <w:ind w:firstLine="480" w:firstLineChars="200"/>
        <w:jc w:val="both"/>
        <w:rPr>
          <w:color w:val="auto"/>
          <w:sz w:val="25"/>
          <w:highlight w:val="none"/>
        </w:rPr>
      </w:pPr>
      <w:r>
        <w:rPr>
          <w:rFonts w:hint="eastAsia"/>
          <w:color w:val="auto"/>
          <w:highlight w:val="none"/>
        </w:rPr>
        <w:t>19.5 所有外层密封袋的封口处应粘贴牢固，并加盖密封章（投标人公章）。</w:t>
      </w:r>
    </w:p>
    <w:p>
      <w:pPr>
        <w:autoSpaceDE/>
        <w:autoSpaceDN/>
        <w:spacing w:line="360" w:lineRule="auto"/>
        <w:jc w:val="both"/>
        <w:rPr>
          <w:rFonts w:cs="Times New Roman"/>
          <w:b/>
          <w:color w:val="auto"/>
          <w:kern w:val="2"/>
          <w:sz w:val="28"/>
          <w:szCs w:val="28"/>
          <w:highlight w:val="none"/>
          <w:lang w:val="en-US"/>
        </w:rPr>
      </w:pPr>
      <w:r>
        <w:rPr>
          <w:rFonts w:hint="eastAsia" w:cs="Times New Roman"/>
          <w:b/>
          <w:color w:val="auto"/>
          <w:kern w:val="2"/>
          <w:sz w:val="28"/>
          <w:szCs w:val="28"/>
          <w:highlight w:val="none"/>
          <w:lang w:val="en-US"/>
        </w:rPr>
        <w:t>20.投标文件的递交</w:t>
      </w:r>
    </w:p>
    <w:p>
      <w:pPr>
        <w:pStyle w:val="2"/>
        <w:spacing w:line="360" w:lineRule="auto"/>
        <w:ind w:firstLine="480" w:firstLineChars="200"/>
        <w:jc w:val="both"/>
        <w:rPr>
          <w:color w:val="auto"/>
          <w:highlight w:val="none"/>
        </w:rPr>
      </w:pPr>
      <w:r>
        <w:rPr>
          <w:rFonts w:hint="eastAsia"/>
          <w:color w:val="auto"/>
          <w:highlight w:val="none"/>
        </w:rPr>
        <w:t>20.1 投标人应在招标文件规定的投标截止时间前，将投标文件按招标文件的规定密封后送达开标地点。投标截止时间以后送达的投标文件将不予接收，招标采购单位将告知投标人不予接收的原因。</w:t>
      </w:r>
    </w:p>
    <w:p>
      <w:pPr>
        <w:pStyle w:val="2"/>
        <w:spacing w:line="360" w:lineRule="auto"/>
        <w:ind w:firstLine="480" w:firstLineChars="200"/>
        <w:jc w:val="both"/>
        <w:rPr>
          <w:color w:val="auto"/>
          <w:highlight w:val="none"/>
        </w:rPr>
      </w:pPr>
      <w:r>
        <w:rPr>
          <w:rFonts w:hint="eastAsia"/>
          <w:color w:val="auto"/>
          <w:highlight w:val="none"/>
        </w:rPr>
        <w:t>20.2 递交投标文件时，报名供应商名称和招标文件的文号、分包号应当与投标供应商名称和招标文件的文号、分包号一致。但是，投标文件实质内容报名供应商名称和招标文件的文号、分包号一致，只是封面文字错误的，可以在评标过程中当面予以澄清，以有效的澄清材料作为认定投标文件是否有效的依据。</w:t>
      </w:r>
    </w:p>
    <w:p>
      <w:pPr>
        <w:pStyle w:val="2"/>
        <w:spacing w:line="360" w:lineRule="auto"/>
        <w:ind w:firstLine="480" w:firstLineChars="200"/>
        <w:jc w:val="both"/>
        <w:rPr>
          <w:color w:val="auto"/>
          <w:sz w:val="27"/>
          <w:highlight w:val="none"/>
        </w:rPr>
      </w:pPr>
      <w:r>
        <w:rPr>
          <w:rFonts w:hint="eastAsia"/>
          <w:color w:val="auto"/>
          <w:highlight w:val="none"/>
        </w:rPr>
        <w:t>20.3 本次招标不接收邮寄的投标文件。</w:t>
      </w:r>
    </w:p>
    <w:p>
      <w:pPr>
        <w:autoSpaceDE/>
        <w:autoSpaceDN/>
        <w:spacing w:line="360" w:lineRule="auto"/>
        <w:jc w:val="both"/>
        <w:rPr>
          <w:rFonts w:cs="Times New Roman"/>
          <w:b/>
          <w:color w:val="auto"/>
          <w:kern w:val="2"/>
          <w:sz w:val="28"/>
          <w:szCs w:val="28"/>
          <w:highlight w:val="none"/>
          <w:lang w:val="en-US"/>
        </w:rPr>
      </w:pPr>
      <w:r>
        <w:rPr>
          <w:rFonts w:hint="eastAsia" w:cs="Times New Roman"/>
          <w:b/>
          <w:color w:val="auto"/>
          <w:kern w:val="2"/>
          <w:sz w:val="28"/>
          <w:szCs w:val="28"/>
          <w:highlight w:val="none"/>
          <w:lang w:val="en-US"/>
        </w:rPr>
        <w:t>21.投标文件的修改和撤回</w:t>
      </w:r>
    </w:p>
    <w:p>
      <w:pPr>
        <w:pStyle w:val="2"/>
        <w:spacing w:line="360" w:lineRule="auto"/>
        <w:ind w:firstLine="480" w:firstLineChars="200"/>
        <w:jc w:val="both"/>
        <w:rPr>
          <w:color w:val="auto"/>
          <w:highlight w:val="none"/>
        </w:rPr>
      </w:pPr>
      <w:r>
        <w:rPr>
          <w:rFonts w:hint="eastAsia"/>
          <w:color w:val="auto"/>
          <w:highlight w:val="none"/>
        </w:rPr>
        <w:t>21.1 投标人在递交了投标文件后，可以修改或撤回其投标文件，但必须在规定的投标截止时间前，以书面形式通知采购代理机构。</w:t>
      </w:r>
    </w:p>
    <w:p>
      <w:pPr>
        <w:pStyle w:val="2"/>
        <w:spacing w:line="360" w:lineRule="auto"/>
        <w:ind w:firstLine="480" w:firstLineChars="200"/>
        <w:jc w:val="both"/>
        <w:rPr>
          <w:color w:val="auto"/>
          <w:highlight w:val="none"/>
        </w:rPr>
      </w:pPr>
      <w:r>
        <w:rPr>
          <w:rFonts w:hint="eastAsia"/>
          <w:color w:val="auto"/>
          <w:highlight w:val="none"/>
        </w:rPr>
        <w:t>21.2 投标人的修改书或撤回通知书，应由其法定代表人或授权代表签署并盖单位印章。修改书应按投标须知第</w:t>
      </w:r>
      <w:r>
        <w:rPr>
          <w:color w:val="auto"/>
          <w:highlight w:val="none"/>
        </w:rPr>
        <w:t>19</w:t>
      </w:r>
      <w:r>
        <w:rPr>
          <w:rFonts w:hint="eastAsia"/>
          <w:color w:val="auto"/>
          <w:highlight w:val="none"/>
        </w:rPr>
        <w:t>条规定进行密封和标注，并在密封袋上标注“修改”字样。</w:t>
      </w:r>
    </w:p>
    <w:p>
      <w:pPr>
        <w:pStyle w:val="2"/>
        <w:spacing w:line="360" w:lineRule="auto"/>
        <w:ind w:firstLine="480" w:firstLineChars="200"/>
        <w:jc w:val="both"/>
        <w:rPr>
          <w:color w:val="auto"/>
          <w:sz w:val="34"/>
          <w:highlight w:val="none"/>
        </w:rPr>
      </w:pPr>
      <w:r>
        <w:rPr>
          <w:rFonts w:hint="eastAsia"/>
          <w:color w:val="auto"/>
          <w:highlight w:val="none"/>
        </w:rPr>
        <w:t>21.3 在投标截止时间之后，投标人不得对其递交的投标文件做任何修改，撤回投标的，将按照有关规定进行相应处理。</w:t>
      </w:r>
    </w:p>
    <w:p>
      <w:pPr>
        <w:pStyle w:val="5"/>
        <w:bidi w:val="0"/>
        <w:rPr>
          <w:color w:val="auto"/>
          <w:highlight w:val="none"/>
          <w:lang w:val="en-US"/>
        </w:rPr>
      </w:pPr>
      <w:r>
        <w:rPr>
          <w:rFonts w:hint="eastAsia"/>
          <w:color w:val="auto"/>
          <w:highlight w:val="none"/>
          <w:lang w:val="en-US"/>
        </w:rPr>
        <w:t>五、开标和中标</w:t>
      </w:r>
    </w:p>
    <w:p>
      <w:pPr>
        <w:autoSpaceDE/>
        <w:autoSpaceDN/>
        <w:spacing w:line="360" w:lineRule="auto"/>
        <w:jc w:val="both"/>
        <w:rPr>
          <w:b/>
          <w:color w:val="auto"/>
          <w:sz w:val="40"/>
          <w:highlight w:val="none"/>
        </w:rPr>
      </w:pPr>
      <w:r>
        <w:rPr>
          <w:rFonts w:hint="eastAsia" w:cs="Times New Roman"/>
          <w:b/>
          <w:color w:val="auto"/>
          <w:kern w:val="2"/>
          <w:sz w:val="28"/>
          <w:szCs w:val="28"/>
          <w:highlight w:val="none"/>
          <w:lang w:val="en-US"/>
        </w:rPr>
        <w:t>22.开标</w:t>
      </w:r>
    </w:p>
    <w:p>
      <w:pPr>
        <w:pStyle w:val="2"/>
        <w:spacing w:line="360" w:lineRule="auto"/>
        <w:ind w:firstLine="480" w:firstLineChars="200"/>
        <w:jc w:val="both"/>
        <w:rPr>
          <w:color w:val="auto"/>
          <w:highlight w:val="none"/>
        </w:rPr>
      </w:pPr>
      <w:r>
        <w:rPr>
          <w:rFonts w:hint="eastAsia"/>
          <w:color w:val="auto"/>
          <w:highlight w:val="none"/>
        </w:rPr>
        <w:t>22.1 开标在招标文件规定的时间和地点公开进行，采购人、投标人须派代表参加并签到以证明其出席。开标由采购代理机构主持，采购人、投标人代表参加。评标专家不参加开标活动。</w:t>
      </w:r>
    </w:p>
    <w:p>
      <w:pPr>
        <w:pStyle w:val="2"/>
        <w:spacing w:line="360" w:lineRule="auto"/>
        <w:ind w:firstLine="480" w:firstLineChars="200"/>
        <w:jc w:val="both"/>
        <w:rPr>
          <w:color w:val="auto"/>
          <w:highlight w:val="none"/>
        </w:rPr>
      </w:pPr>
      <w:r>
        <w:rPr>
          <w:rFonts w:hint="eastAsia"/>
          <w:color w:val="auto"/>
          <w:highlight w:val="none"/>
        </w:rPr>
        <w:t>22.2 开标时，可能根据具体情况邀请有关监督管理部门对开标活动进行现场监督。</w:t>
      </w:r>
    </w:p>
    <w:p>
      <w:pPr>
        <w:pStyle w:val="2"/>
        <w:spacing w:line="360" w:lineRule="auto"/>
        <w:ind w:firstLine="480" w:firstLineChars="200"/>
        <w:jc w:val="both"/>
        <w:rPr>
          <w:color w:val="auto"/>
          <w:highlight w:val="none"/>
        </w:rPr>
      </w:pPr>
      <w:r>
        <w:rPr>
          <w:rFonts w:hint="eastAsia"/>
          <w:color w:val="auto"/>
          <w:highlight w:val="none"/>
        </w:rPr>
        <w:t>22.3 开标时，由投标人或者其推选的代表先检查其自己递交的投标文件的密封情况，经确认无误后，由招标工作人员将投标人单独递交的“开标一览表”当众拆封，并由唱标人员按照招标文件规定的内容进行宣读。</w:t>
      </w:r>
    </w:p>
    <w:p>
      <w:pPr>
        <w:pStyle w:val="2"/>
        <w:spacing w:line="360" w:lineRule="auto"/>
        <w:ind w:firstLine="480" w:firstLineChars="200"/>
        <w:jc w:val="both"/>
        <w:rPr>
          <w:color w:val="auto"/>
          <w:highlight w:val="none"/>
        </w:rPr>
      </w:pPr>
      <w:r>
        <w:rPr>
          <w:rFonts w:hint="eastAsia"/>
          <w:color w:val="auto"/>
          <w:highlight w:val="none"/>
        </w:rPr>
        <w:t>投标人或者其推选的代表确认投标文件情况，仅限于确认其自己递交的投标</w:t>
      </w:r>
      <w:r>
        <w:rPr>
          <w:rFonts w:hint="eastAsia"/>
          <w:color w:val="auto"/>
          <w:spacing w:val="-8"/>
          <w:highlight w:val="none"/>
        </w:rPr>
        <w:t>文件的密封情况，不代表对其他投标人的投标文件的密封情况确认。投标人或者</w:t>
      </w:r>
      <w:r>
        <w:rPr>
          <w:rFonts w:hint="eastAsia"/>
          <w:color w:val="auto"/>
          <w:spacing w:val="-12"/>
          <w:highlight w:val="none"/>
        </w:rPr>
        <w:t>其推选的代表对其他投标人的投标文件密封情况有异议的，可以当场反映开标主</w:t>
      </w:r>
      <w:r>
        <w:rPr>
          <w:rFonts w:hint="eastAsia"/>
          <w:color w:val="auto"/>
          <w:spacing w:val="-15"/>
          <w:highlight w:val="none"/>
        </w:rPr>
        <w:t>持人或者现场监督人员，要求开标现场记</w:t>
      </w:r>
      <w:r>
        <w:rPr>
          <w:rFonts w:hint="eastAsia"/>
          <w:color w:val="auto"/>
          <w:highlight w:val="none"/>
        </w:rPr>
        <w:t>录人员予以记录，并在评标时予以认定处理，但不得干扰、阻挠开标工作的正常进行。</w:t>
      </w:r>
    </w:p>
    <w:p>
      <w:pPr>
        <w:pStyle w:val="2"/>
        <w:spacing w:line="360" w:lineRule="auto"/>
        <w:ind w:firstLine="480" w:firstLineChars="200"/>
        <w:jc w:val="both"/>
        <w:rPr>
          <w:color w:val="auto"/>
          <w:highlight w:val="none"/>
        </w:rPr>
      </w:pPr>
      <w:r>
        <w:rPr>
          <w:rFonts w:hint="eastAsia"/>
          <w:color w:val="auto"/>
          <w:highlight w:val="none"/>
        </w:rPr>
        <w:t>22.4 开标时，“开标一览表”中的大写金额与小写金额不一致的，以大写金额为准；总价金额与按单价计算的汇总金额不一致的，以单价计算的汇总金额为准；单价金额有明显小数点错误的，以总价为准，并修改单价。</w:t>
      </w:r>
    </w:p>
    <w:p>
      <w:pPr>
        <w:pStyle w:val="2"/>
        <w:spacing w:line="360" w:lineRule="auto"/>
        <w:ind w:firstLine="480" w:firstLineChars="200"/>
        <w:jc w:val="both"/>
        <w:rPr>
          <w:color w:val="auto"/>
          <w:highlight w:val="none"/>
        </w:rPr>
      </w:pPr>
      <w:r>
        <w:rPr>
          <w:rFonts w:hint="eastAsia"/>
          <w:color w:val="auto"/>
          <w:highlight w:val="none"/>
        </w:rPr>
        <w:t>22.5 投标文件中相关内容与“开标一览表”不一致的，以“开标一览表”为准。对不同文字文本投标文件的解释发生异议的，以中文文本为准。</w:t>
      </w:r>
    </w:p>
    <w:p>
      <w:pPr>
        <w:pStyle w:val="2"/>
        <w:spacing w:line="360" w:lineRule="auto"/>
        <w:ind w:firstLine="480" w:firstLineChars="200"/>
        <w:jc w:val="both"/>
        <w:rPr>
          <w:color w:val="auto"/>
          <w:highlight w:val="none"/>
        </w:rPr>
      </w:pPr>
      <w:r>
        <w:rPr>
          <w:rFonts w:hint="eastAsia"/>
          <w:color w:val="auto"/>
          <w:highlight w:val="none"/>
        </w:rPr>
        <w:t>22.6 所有投标唱标完毕，如投标人代表对宣读的“开标一览表”上的内容有异议的，应在获得开标会主持人同意后当场提出。如确实属于唱标人员宣读错了的，经现场监督人员核实后，当场予以更正。</w:t>
      </w:r>
    </w:p>
    <w:p>
      <w:pPr>
        <w:pStyle w:val="2"/>
        <w:spacing w:line="360" w:lineRule="auto"/>
        <w:ind w:firstLine="480" w:firstLineChars="200"/>
        <w:jc w:val="both"/>
        <w:rPr>
          <w:color w:val="auto"/>
          <w:sz w:val="22"/>
          <w:highlight w:val="none"/>
        </w:rPr>
      </w:pPr>
      <w:r>
        <w:rPr>
          <w:rFonts w:hint="eastAsia"/>
          <w:color w:val="auto"/>
          <w:highlight w:val="none"/>
        </w:rPr>
        <w:t>22.7 投标人未参加开标的，视同认可开标结果。</w:t>
      </w:r>
    </w:p>
    <w:p>
      <w:pPr>
        <w:autoSpaceDE/>
        <w:autoSpaceDN/>
        <w:spacing w:line="360" w:lineRule="auto"/>
        <w:jc w:val="both"/>
        <w:rPr>
          <w:b/>
          <w:color w:val="auto"/>
          <w:highlight w:val="none"/>
        </w:rPr>
      </w:pPr>
      <w:r>
        <w:rPr>
          <w:rFonts w:hint="eastAsia" w:cs="Times New Roman"/>
          <w:b/>
          <w:color w:val="auto"/>
          <w:kern w:val="2"/>
          <w:sz w:val="28"/>
          <w:szCs w:val="28"/>
          <w:highlight w:val="none"/>
          <w:lang w:val="en-US"/>
        </w:rPr>
        <w:t>23.开标程序</w:t>
      </w:r>
    </w:p>
    <w:p>
      <w:pPr>
        <w:pStyle w:val="2"/>
        <w:spacing w:line="360" w:lineRule="auto"/>
        <w:ind w:firstLine="480" w:firstLineChars="200"/>
        <w:jc w:val="both"/>
        <w:rPr>
          <w:color w:val="auto"/>
          <w:highlight w:val="none"/>
        </w:rPr>
      </w:pPr>
      <w:r>
        <w:rPr>
          <w:rFonts w:hint="eastAsia"/>
          <w:color w:val="auto"/>
          <w:highlight w:val="none"/>
        </w:rPr>
        <w:t>23.1 开标会主持人按照招标文件规定的开标时间宣布开标，按照规定要求主持开标会。开标将按以下程序进行：</w:t>
      </w:r>
    </w:p>
    <w:p>
      <w:pPr>
        <w:pStyle w:val="2"/>
        <w:spacing w:line="360" w:lineRule="auto"/>
        <w:ind w:firstLine="480" w:firstLineChars="200"/>
        <w:jc w:val="both"/>
        <w:rPr>
          <w:color w:val="auto"/>
          <w:highlight w:val="none"/>
        </w:rPr>
      </w:pPr>
      <w:r>
        <w:rPr>
          <w:rFonts w:hint="eastAsia"/>
          <w:color w:val="auto"/>
          <w:highlight w:val="none"/>
        </w:rPr>
        <w:t>（1）宣布开标会开始。当众宣布参加开标会主持人、唱标人、会议记录人以及根据情况邀请的现场监督人等工作人员，根据“供应商签到表”宣布参加投标的供应商名单（投标人未参加开标的，视同认可开标结果）。</w:t>
      </w:r>
    </w:p>
    <w:p>
      <w:pPr>
        <w:pStyle w:val="2"/>
        <w:spacing w:line="360" w:lineRule="auto"/>
        <w:ind w:firstLine="480" w:firstLineChars="200"/>
        <w:jc w:val="both"/>
        <w:rPr>
          <w:color w:val="auto"/>
          <w:highlight w:val="none"/>
        </w:rPr>
      </w:pPr>
      <w:r>
        <w:rPr>
          <w:rFonts w:hint="eastAsia"/>
          <w:color w:val="auto"/>
          <w:highlight w:val="none"/>
        </w:rPr>
        <w:t>（2）根据投标人或者其推选的代表对投标文件密封的检查结果，当众宣布投标文件的密封情况。</w:t>
      </w:r>
    </w:p>
    <w:p>
      <w:pPr>
        <w:pStyle w:val="2"/>
        <w:spacing w:line="360" w:lineRule="auto"/>
        <w:ind w:firstLine="480" w:firstLineChars="200"/>
        <w:jc w:val="both"/>
        <w:rPr>
          <w:color w:val="auto"/>
          <w:highlight w:val="none"/>
        </w:rPr>
      </w:pPr>
      <w:r>
        <w:rPr>
          <w:rFonts w:hint="eastAsia"/>
          <w:color w:val="auto"/>
          <w:highlight w:val="none"/>
        </w:rPr>
        <w:t>（3）开标唱标。主持人宣布开标后，由现场工作人员按任意顺序对投标人的“开标一览表”当众进行拆封，由唱标人员宣读投标人名称、投标价格（价格折扣）、或招标文件允许提供的备选投标方案和投标文件的其他主要内容。未宣读的投标价格（价格折扣）或招标文件允许提供的备选投标方案等实质内容，评标时不予承认。同时，做好开标记录。唱标人员在唱标过程中，如遇有字迹不清楚或有明显错误的，应即刻报告主持人，经现场核实后，主持人立即请投标人代表现场进行澄清或确认。唱标完毕后投标人或者其推选的代表需现场对开标记录进行签字确认，投标人或者其推选的代表对唱标内容有异议的，可以当场提出，并要求会议记录人在开标记录中予以记录，或者另行提供书面异议资料，不签字又不提出异议的，视同认可唱标内容和结果，且不得干扰、阻挠开（唱）标、评标工作。</w:t>
      </w:r>
    </w:p>
    <w:p>
      <w:pPr>
        <w:pStyle w:val="2"/>
        <w:spacing w:line="360" w:lineRule="auto"/>
        <w:ind w:firstLine="480" w:firstLineChars="200"/>
        <w:jc w:val="both"/>
        <w:rPr>
          <w:color w:val="auto"/>
          <w:highlight w:val="none"/>
        </w:rPr>
      </w:pPr>
      <w:r>
        <w:rPr>
          <w:rFonts w:hint="eastAsia"/>
          <w:color w:val="auto"/>
          <w:highlight w:val="none"/>
        </w:rPr>
        <w:t>（4）宣布开标会结束。主持人宣布开标会结束。所有投标人代表应立即退场（招标文件要求有演示、介绍等的除外）。同时所有投标人应保持通讯设备的畅通，以方便在评标过程中评标委员会要求投标人对投标文件的必要澄清、说明和纠正。评标结果投标人在</w:t>
      </w:r>
      <w:r>
        <w:rPr>
          <w:rFonts w:hint="eastAsia"/>
          <w:color w:val="auto"/>
          <w:highlight w:val="none"/>
          <w:lang w:eastAsia="zh-CN"/>
        </w:rPr>
        <w:t>中国政府采购网</w:t>
      </w:r>
      <w:r>
        <w:rPr>
          <w:rFonts w:hint="eastAsia"/>
          <w:color w:val="auto"/>
          <w:highlight w:val="none"/>
        </w:rPr>
        <w:t>上查询。</w:t>
      </w:r>
    </w:p>
    <w:p>
      <w:pPr>
        <w:autoSpaceDE/>
        <w:autoSpaceDN/>
        <w:spacing w:line="360" w:lineRule="auto"/>
        <w:jc w:val="both"/>
        <w:rPr>
          <w:color w:val="auto"/>
          <w:sz w:val="24"/>
          <w:highlight w:val="none"/>
        </w:rPr>
      </w:pPr>
      <w:r>
        <w:rPr>
          <w:rFonts w:hint="eastAsia" w:cs="Times New Roman"/>
          <w:b/>
          <w:color w:val="auto"/>
          <w:kern w:val="2"/>
          <w:sz w:val="28"/>
          <w:szCs w:val="28"/>
          <w:highlight w:val="none"/>
          <w:lang w:val="en-US"/>
        </w:rPr>
        <w:t>24.开评标过程存档</w:t>
      </w:r>
    </w:p>
    <w:p>
      <w:pPr>
        <w:pStyle w:val="2"/>
        <w:spacing w:line="360" w:lineRule="auto"/>
        <w:ind w:firstLine="480" w:firstLineChars="200"/>
        <w:jc w:val="both"/>
        <w:rPr>
          <w:color w:val="auto"/>
          <w:highlight w:val="none"/>
        </w:rPr>
      </w:pPr>
      <w:r>
        <w:rPr>
          <w:rFonts w:hint="eastAsia"/>
          <w:color w:val="auto"/>
          <w:highlight w:val="none"/>
        </w:rPr>
        <w:t>开标和评标过程进行全过程电子监控，并将电子监控资料存储介质留存归档。</w:t>
      </w:r>
    </w:p>
    <w:p>
      <w:pPr>
        <w:autoSpaceDE/>
        <w:autoSpaceDN/>
        <w:spacing w:line="360" w:lineRule="auto"/>
        <w:jc w:val="both"/>
        <w:rPr>
          <w:color w:val="auto"/>
          <w:sz w:val="24"/>
          <w:highlight w:val="none"/>
        </w:rPr>
      </w:pPr>
      <w:r>
        <w:rPr>
          <w:rFonts w:hint="eastAsia" w:cs="Times New Roman"/>
          <w:b/>
          <w:color w:val="auto"/>
          <w:kern w:val="2"/>
          <w:sz w:val="28"/>
          <w:szCs w:val="28"/>
          <w:highlight w:val="none"/>
          <w:lang w:val="en-US"/>
        </w:rPr>
        <w:t>25.评标情况公告</w:t>
      </w:r>
    </w:p>
    <w:p>
      <w:pPr>
        <w:pStyle w:val="2"/>
        <w:spacing w:line="360" w:lineRule="auto"/>
        <w:ind w:firstLine="480" w:firstLineChars="200"/>
        <w:jc w:val="both"/>
        <w:rPr>
          <w:color w:val="auto"/>
          <w:sz w:val="21"/>
          <w:highlight w:val="none"/>
        </w:rPr>
      </w:pPr>
      <w:r>
        <w:rPr>
          <w:rFonts w:hint="eastAsia"/>
          <w:color w:val="auto"/>
          <w:highlight w:val="none"/>
        </w:rPr>
        <w:t>所有供应商投标文件资格性、符合性检查情况、采用综合评分法时的总得分和分项汇总得分情况、评标结果等将在</w:t>
      </w:r>
      <w:r>
        <w:rPr>
          <w:rFonts w:hint="eastAsia"/>
          <w:color w:val="auto"/>
          <w:highlight w:val="none"/>
          <w:lang w:eastAsia="zh-CN"/>
        </w:rPr>
        <w:t>中国政府采购网</w:t>
      </w:r>
      <w:r>
        <w:rPr>
          <w:rFonts w:hint="eastAsia"/>
          <w:color w:val="auto"/>
          <w:highlight w:val="none"/>
        </w:rPr>
        <w:t>上</w:t>
      </w:r>
      <w:r>
        <w:rPr>
          <w:rFonts w:hint="eastAsia"/>
          <w:color w:val="auto"/>
          <w:highlight w:val="none"/>
          <w:lang w:val="en-US" w:eastAsia="zh-CN"/>
        </w:rPr>
        <w:t>中标（成交）</w:t>
      </w:r>
      <w:r>
        <w:rPr>
          <w:rFonts w:hint="eastAsia"/>
          <w:color w:val="auto"/>
          <w:highlight w:val="none"/>
        </w:rPr>
        <w:t>公告栏中予以公告。</w:t>
      </w:r>
    </w:p>
    <w:p>
      <w:pPr>
        <w:autoSpaceDE/>
        <w:autoSpaceDN/>
        <w:spacing w:line="360" w:lineRule="auto"/>
        <w:jc w:val="both"/>
        <w:rPr>
          <w:color w:val="auto"/>
          <w:sz w:val="24"/>
          <w:szCs w:val="24"/>
          <w:highlight w:val="none"/>
        </w:rPr>
      </w:pPr>
      <w:r>
        <w:rPr>
          <w:rFonts w:hint="eastAsia" w:cs="Times New Roman"/>
          <w:b/>
          <w:color w:val="auto"/>
          <w:kern w:val="2"/>
          <w:sz w:val="28"/>
          <w:szCs w:val="28"/>
          <w:highlight w:val="none"/>
          <w:lang w:val="en-US"/>
        </w:rPr>
        <w:t>26.中标通知书</w:t>
      </w:r>
    </w:p>
    <w:p>
      <w:pPr>
        <w:pStyle w:val="2"/>
        <w:spacing w:line="360" w:lineRule="auto"/>
        <w:ind w:firstLine="480" w:firstLineChars="200"/>
        <w:jc w:val="both"/>
        <w:rPr>
          <w:color w:val="auto"/>
          <w:highlight w:val="none"/>
        </w:rPr>
      </w:pPr>
      <w:r>
        <w:rPr>
          <w:rFonts w:hint="eastAsia"/>
          <w:color w:val="auto"/>
          <w:highlight w:val="none"/>
        </w:rPr>
        <w:t>26.1 中标通知书为签订政府采购合同的依据之一，是合同的有效组成部分。</w:t>
      </w:r>
    </w:p>
    <w:p>
      <w:pPr>
        <w:pStyle w:val="2"/>
        <w:spacing w:line="360" w:lineRule="auto"/>
        <w:ind w:firstLine="480" w:firstLineChars="200"/>
        <w:jc w:val="both"/>
        <w:rPr>
          <w:color w:val="auto"/>
          <w:highlight w:val="none"/>
        </w:rPr>
      </w:pPr>
      <w:r>
        <w:rPr>
          <w:rFonts w:hint="eastAsia"/>
          <w:color w:val="auto"/>
          <w:highlight w:val="none"/>
        </w:rPr>
        <w:t>26.2 投标人中标后，拒绝领取中标通知书的，招标采购单位将于中标供应商确定之日起两个工作日内采取邮寄、快递方式按照投标人投标文件中的地址发出中标通知书。</w:t>
      </w:r>
    </w:p>
    <w:p>
      <w:pPr>
        <w:pStyle w:val="2"/>
        <w:spacing w:line="360" w:lineRule="auto"/>
        <w:ind w:firstLine="480" w:firstLineChars="200"/>
        <w:jc w:val="both"/>
        <w:rPr>
          <w:color w:val="auto"/>
          <w:highlight w:val="none"/>
        </w:rPr>
      </w:pPr>
      <w:r>
        <w:rPr>
          <w:rFonts w:hint="eastAsia"/>
          <w:color w:val="auto"/>
          <w:highlight w:val="none"/>
        </w:rPr>
        <w:t>26.3 中标通知书对采购人和中标人均具有法律效力。中标通知书发出后，采购人改变中标结果，或者中标人无正当理由放弃中标的，应当承担相应的法律责任。</w:t>
      </w:r>
    </w:p>
    <w:p>
      <w:pPr>
        <w:pStyle w:val="2"/>
        <w:spacing w:line="360" w:lineRule="auto"/>
        <w:ind w:firstLine="480" w:firstLineChars="200"/>
        <w:jc w:val="both"/>
        <w:rPr>
          <w:color w:val="auto"/>
          <w:highlight w:val="none"/>
        </w:rPr>
      </w:pPr>
      <w:r>
        <w:rPr>
          <w:rFonts w:hint="eastAsia"/>
          <w:color w:val="auto"/>
          <w:highlight w:val="none"/>
        </w:rPr>
        <w:t>26.4 中标人的投标文件本应作为无效投标处理或者有政府采购法律法规规章制度规定的中标无效情形的，招标采购单位在取得有权主体的认定以后，将宣布发出的中标通知书无效，并收回发出的中标通知书（中标人也应当缴回），依法重新确定中标人或者重新开展采购活动。</w:t>
      </w:r>
    </w:p>
    <w:p>
      <w:pPr>
        <w:pStyle w:val="2"/>
        <w:spacing w:line="360" w:lineRule="auto"/>
        <w:ind w:firstLine="480" w:firstLineChars="200"/>
        <w:jc w:val="both"/>
        <w:rPr>
          <w:color w:val="auto"/>
          <w:sz w:val="23"/>
          <w:highlight w:val="none"/>
        </w:rPr>
      </w:pPr>
      <w:r>
        <w:rPr>
          <w:rFonts w:hint="eastAsia"/>
          <w:color w:val="auto"/>
          <w:highlight w:val="none"/>
        </w:rPr>
        <w:t>26.5 中标公告发出后，中标供应商自行领取中标通知书的，可凭有效身份证明证件到采购代理机构处办理中标通知书领取事宜，并带领取人身份证原件。（详见须知附表中联系方式）</w:t>
      </w:r>
    </w:p>
    <w:p>
      <w:pPr>
        <w:pStyle w:val="5"/>
        <w:bidi w:val="0"/>
        <w:rPr>
          <w:color w:val="auto"/>
          <w:highlight w:val="none"/>
        </w:rPr>
      </w:pPr>
      <w:r>
        <w:rPr>
          <w:rFonts w:hint="eastAsia"/>
          <w:color w:val="auto"/>
          <w:highlight w:val="none"/>
          <w:lang w:val="en-US"/>
        </w:rPr>
        <w:t>六、签订及履行合同和验收</w:t>
      </w:r>
    </w:p>
    <w:p>
      <w:pPr>
        <w:autoSpaceDE/>
        <w:autoSpaceDN/>
        <w:spacing w:line="360" w:lineRule="auto"/>
        <w:jc w:val="both"/>
        <w:rPr>
          <w:b/>
          <w:color w:val="auto"/>
          <w:highlight w:val="none"/>
        </w:rPr>
      </w:pPr>
      <w:r>
        <w:rPr>
          <w:rFonts w:hint="eastAsia" w:cs="Times New Roman"/>
          <w:b/>
          <w:color w:val="auto"/>
          <w:kern w:val="2"/>
          <w:sz w:val="28"/>
          <w:szCs w:val="28"/>
          <w:highlight w:val="none"/>
          <w:lang w:val="en-US"/>
        </w:rPr>
        <w:t>27.签订合同</w:t>
      </w:r>
    </w:p>
    <w:p>
      <w:pPr>
        <w:pStyle w:val="2"/>
        <w:spacing w:line="360" w:lineRule="auto"/>
        <w:ind w:firstLine="480" w:firstLineChars="200"/>
        <w:jc w:val="both"/>
        <w:rPr>
          <w:color w:val="auto"/>
          <w:highlight w:val="none"/>
        </w:rPr>
      </w:pPr>
      <w:r>
        <w:rPr>
          <w:rFonts w:hint="eastAsia"/>
          <w:color w:val="auto"/>
          <w:highlight w:val="none"/>
        </w:rPr>
        <w:t>27.1 中标人应在中标通知书发出之日起三十日内与采购人签订采购合同。由于中标人的原因逾期未与采购人签订采购合同的，将视为放弃中标，取消其中标资格并将按相关规定进行处理（非中标人原因逾期签订的采购合同，在按照送达时应附书面情况说明）。</w:t>
      </w:r>
    </w:p>
    <w:p>
      <w:pPr>
        <w:pStyle w:val="2"/>
        <w:spacing w:line="360" w:lineRule="auto"/>
        <w:ind w:firstLine="480" w:firstLineChars="200"/>
        <w:jc w:val="both"/>
        <w:rPr>
          <w:color w:val="auto"/>
          <w:highlight w:val="none"/>
        </w:rPr>
      </w:pPr>
      <w:r>
        <w:rPr>
          <w:rFonts w:hint="eastAsia"/>
          <w:color w:val="auto"/>
          <w:highlight w:val="none"/>
        </w:rPr>
        <w:t>27.2 采购人不得向中标人提出任何不合理的要求，作为签订合同的条件，不得与中标人私下订立背离合同实质性内容的任何协议，所签订的合同不得对招标文件和中标人投标文件确定的事项进行修改。</w:t>
      </w:r>
    </w:p>
    <w:p>
      <w:pPr>
        <w:pStyle w:val="2"/>
        <w:spacing w:line="360" w:lineRule="auto"/>
        <w:ind w:firstLine="480" w:firstLineChars="200"/>
        <w:jc w:val="both"/>
        <w:rPr>
          <w:color w:val="auto"/>
          <w:highlight w:val="none"/>
        </w:rPr>
      </w:pPr>
      <w:r>
        <w:rPr>
          <w:rFonts w:hint="eastAsia"/>
          <w:color w:val="auto"/>
          <w:highlight w:val="none"/>
        </w:rPr>
        <w:t>27.3 中标人因不可抗力原因不能履行采购合同或放弃中标的，采购人可以与排在中标人之后第一位的中标候选人签订采购合同，以此类推；也可以重新开展政府采购活动。</w:t>
      </w:r>
    </w:p>
    <w:p>
      <w:pPr>
        <w:pStyle w:val="2"/>
        <w:spacing w:line="360" w:lineRule="auto"/>
        <w:ind w:firstLine="480" w:firstLineChars="200"/>
        <w:jc w:val="both"/>
        <w:rPr>
          <w:color w:val="auto"/>
          <w:sz w:val="22"/>
          <w:highlight w:val="none"/>
        </w:rPr>
      </w:pPr>
      <w:r>
        <w:rPr>
          <w:rFonts w:hint="eastAsia"/>
          <w:color w:val="auto"/>
          <w:highlight w:val="none"/>
        </w:rPr>
        <w:t>27.4 中标人在合同签订之后</w:t>
      </w:r>
      <w:r>
        <w:rPr>
          <w:color w:val="auto"/>
          <w:highlight w:val="none"/>
        </w:rPr>
        <w:t>3</w:t>
      </w:r>
      <w:r>
        <w:rPr>
          <w:rFonts w:hint="eastAsia"/>
          <w:color w:val="auto"/>
          <w:highlight w:val="none"/>
        </w:rPr>
        <w:t>个工作日内，将签订的合同（一式两份）送采购代理机构。中标人应及时到采购代理机构办理（详见须知附表中联系方式）。</w:t>
      </w:r>
    </w:p>
    <w:p>
      <w:pPr>
        <w:autoSpaceDE/>
        <w:autoSpaceDN/>
        <w:spacing w:line="360" w:lineRule="auto"/>
        <w:jc w:val="both"/>
        <w:rPr>
          <w:b/>
          <w:color w:val="auto"/>
          <w:highlight w:val="none"/>
        </w:rPr>
      </w:pPr>
      <w:r>
        <w:rPr>
          <w:rFonts w:hint="eastAsia" w:cs="Times New Roman"/>
          <w:b/>
          <w:color w:val="auto"/>
          <w:kern w:val="2"/>
          <w:sz w:val="28"/>
          <w:szCs w:val="28"/>
          <w:highlight w:val="none"/>
          <w:lang w:val="en-US"/>
        </w:rPr>
        <w:t>28.合同分包（实质性要求）</w:t>
      </w:r>
    </w:p>
    <w:p>
      <w:pPr>
        <w:pStyle w:val="2"/>
        <w:spacing w:line="360" w:lineRule="auto"/>
        <w:ind w:firstLine="480" w:firstLineChars="200"/>
        <w:jc w:val="both"/>
        <w:rPr>
          <w:color w:val="auto"/>
          <w:highlight w:val="none"/>
        </w:rPr>
      </w:pPr>
      <w:r>
        <w:rPr>
          <w:rFonts w:hint="eastAsia"/>
          <w:color w:val="auto"/>
          <w:highlight w:val="none"/>
        </w:rPr>
        <w:t>28.1 经采购人同意，中标人可以依法采取分包方式履行合同。这种要求应当在合同签订之前征得采购人同意，并且分包供应商履行的分包项目的品牌、规格型号及技术要求等，必须与中标的一致。</w:t>
      </w:r>
    </w:p>
    <w:p>
      <w:pPr>
        <w:pStyle w:val="2"/>
        <w:spacing w:line="360" w:lineRule="auto"/>
        <w:ind w:firstLine="480" w:firstLineChars="200"/>
        <w:jc w:val="both"/>
        <w:rPr>
          <w:color w:val="auto"/>
          <w:highlight w:val="none"/>
        </w:rPr>
      </w:pPr>
      <w:r>
        <w:rPr>
          <w:rFonts w:hint="eastAsia"/>
          <w:color w:val="auto"/>
          <w:highlight w:val="none"/>
        </w:rPr>
        <w:t>分包履行合同的部分应当为采购项目的非主体、非关键性工作，不属于中标人的主要合同义务。</w:t>
      </w:r>
    </w:p>
    <w:p>
      <w:pPr>
        <w:pStyle w:val="2"/>
        <w:spacing w:line="360" w:lineRule="auto"/>
        <w:ind w:firstLine="480" w:firstLineChars="200"/>
        <w:jc w:val="both"/>
        <w:rPr>
          <w:color w:val="auto"/>
          <w:highlight w:val="none"/>
        </w:rPr>
      </w:pPr>
      <w:r>
        <w:rPr>
          <w:rFonts w:hint="eastAsia"/>
          <w:color w:val="auto"/>
          <w:highlight w:val="none"/>
        </w:rPr>
        <w:t>28.2 采购合同实行分包履行的，中标人就采购项目和分包项目向采购人负责，分包供应商就分包项目承担责任。</w:t>
      </w:r>
    </w:p>
    <w:p>
      <w:pPr>
        <w:pStyle w:val="2"/>
        <w:spacing w:line="360" w:lineRule="auto"/>
        <w:ind w:firstLine="480" w:firstLineChars="200"/>
        <w:jc w:val="both"/>
        <w:rPr>
          <w:color w:val="auto"/>
          <w:highlight w:val="none"/>
        </w:rPr>
      </w:pPr>
      <w:r>
        <w:rPr>
          <w:rFonts w:hint="eastAsia"/>
          <w:color w:val="auto"/>
          <w:highlight w:val="none"/>
        </w:rPr>
        <w:t>28.3 中小企业依据《</w:t>
      </w:r>
      <w:r>
        <w:rPr>
          <w:rFonts w:hint="eastAsia"/>
          <w:color w:val="auto"/>
          <w:highlight w:val="none"/>
          <w:lang w:eastAsia="zh-CN"/>
        </w:rPr>
        <w:t>政府采购促进中小企业发展管理办法</w:t>
      </w:r>
      <w:r>
        <w:rPr>
          <w:rFonts w:hint="eastAsia"/>
          <w:color w:val="auto"/>
          <w:highlight w:val="none"/>
        </w:rPr>
        <w:t>》（财库</w:t>
      </w:r>
      <w:r>
        <w:rPr>
          <w:color w:val="auto"/>
          <w:highlight w:val="none"/>
        </w:rPr>
        <w:t>[20</w:t>
      </w:r>
      <w:r>
        <w:rPr>
          <w:rFonts w:hint="eastAsia"/>
          <w:color w:val="auto"/>
          <w:highlight w:val="none"/>
          <w:lang w:val="en-US" w:eastAsia="zh-CN"/>
        </w:rPr>
        <w:t>20</w:t>
      </w:r>
      <w:r>
        <w:rPr>
          <w:color w:val="auto"/>
          <w:highlight w:val="none"/>
        </w:rPr>
        <w:t>]</w:t>
      </w:r>
      <w:r>
        <w:rPr>
          <w:rFonts w:hint="eastAsia"/>
          <w:color w:val="auto"/>
          <w:highlight w:val="none"/>
          <w:lang w:val="en-US" w:eastAsia="zh-CN"/>
        </w:rPr>
        <w:t>46</w:t>
      </w:r>
      <w:r>
        <w:rPr>
          <w:rFonts w:hint="eastAsia"/>
          <w:color w:val="auto"/>
          <w:highlight w:val="none"/>
        </w:rPr>
        <w:t>号）规定的政策获取政府采购合同后，小型、微型企业不得分包或转包给大型、中型企业，中型企业不得分包或转包给大型企业。</w:t>
      </w:r>
    </w:p>
    <w:p>
      <w:pPr>
        <w:autoSpaceDE/>
        <w:autoSpaceDN/>
        <w:spacing w:line="360" w:lineRule="auto"/>
        <w:jc w:val="both"/>
        <w:rPr>
          <w:b/>
          <w:color w:val="auto"/>
          <w:highlight w:val="none"/>
        </w:rPr>
      </w:pPr>
      <w:r>
        <w:rPr>
          <w:rFonts w:hint="eastAsia" w:cs="Times New Roman"/>
          <w:b/>
          <w:color w:val="auto"/>
          <w:kern w:val="2"/>
          <w:sz w:val="28"/>
          <w:szCs w:val="28"/>
          <w:highlight w:val="none"/>
          <w:lang w:val="en-US"/>
        </w:rPr>
        <w:t>29.合同转包（实质性要求）</w:t>
      </w:r>
    </w:p>
    <w:p>
      <w:pPr>
        <w:pStyle w:val="2"/>
        <w:spacing w:line="360" w:lineRule="auto"/>
        <w:ind w:firstLine="480" w:firstLineChars="200"/>
        <w:jc w:val="both"/>
        <w:rPr>
          <w:color w:val="auto"/>
          <w:highlight w:val="none"/>
        </w:rPr>
      </w:pPr>
      <w:r>
        <w:rPr>
          <w:rFonts w:hint="eastAsia"/>
          <w:color w:val="auto"/>
          <w:highlight w:val="none"/>
        </w:rPr>
        <w:t>本采购项目严禁中标人将任何政府采购合同义务转包</w:t>
      </w:r>
      <w:r>
        <w:rPr>
          <w:rFonts w:hint="eastAsia"/>
          <w:color w:val="auto"/>
          <w:highlight w:val="none"/>
          <w:lang w:eastAsia="zh-CN"/>
        </w:rPr>
        <w:t>（</w:t>
      </w:r>
      <w:r>
        <w:rPr>
          <w:rFonts w:hint="eastAsia"/>
          <w:color w:val="auto"/>
          <w:highlight w:val="none"/>
          <w:lang w:val="en-US" w:eastAsia="zh-CN"/>
        </w:rPr>
        <w:t>单独提供承诺函</w:t>
      </w:r>
      <w:r>
        <w:rPr>
          <w:rFonts w:hint="eastAsia"/>
          <w:color w:val="auto"/>
          <w:highlight w:val="none"/>
          <w:lang w:eastAsia="zh-CN"/>
        </w:rPr>
        <w:t>）</w:t>
      </w:r>
      <w:r>
        <w:rPr>
          <w:rFonts w:hint="eastAsia"/>
          <w:color w:val="auto"/>
          <w:highlight w:val="none"/>
        </w:rPr>
        <w:t>。本项目所称转包，是指中标人将政府采购合同义务转让给第三人，并退出现有政府采购合同当事人双方的权利义务关系，受让人（即第三人）成为政府采购合同的另一方当事人的行为。</w:t>
      </w:r>
    </w:p>
    <w:p>
      <w:pPr>
        <w:pStyle w:val="2"/>
        <w:spacing w:line="360" w:lineRule="auto"/>
        <w:ind w:firstLine="480" w:firstLineChars="200"/>
        <w:jc w:val="both"/>
        <w:rPr>
          <w:color w:val="auto"/>
          <w:highlight w:val="none"/>
        </w:rPr>
      </w:pPr>
      <w:r>
        <w:rPr>
          <w:rFonts w:hint="eastAsia"/>
          <w:color w:val="auto"/>
          <w:highlight w:val="none"/>
        </w:rPr>
        <w:t>中标人转包的，视同拒绝履行政府采购合同义务，将依法追究法律责任。</w:t>
      </w:r>
    </w:p>
    <w:p>
      <w:pPr>
        <w:autoSpaceDE/>
        <w:autoSpaceDN/>
        <w:spacing w:line="360" w:lineRule="auto"/>
        <w:jc w:val="both"/>
        <w:rPr>
          <w:rFonts w:cs="Times New Roman"/>
          <w:b/>
          <w:color w:val="auto"/>
          <w:kern w:val="2"/>
          <w:sz w:val="28"/>
          <w:szCs w:val="28"/>
          <w:highlight w:val="none"/>
          <w:lang w:val="en-US"/>
        </w:rPr>
      </w:pPr>
      <w:r>
        <w:rPr>
          <w:rFonts w:cs="Times New Roman"/>
          <w:b/>
          <w:color w:val="auto"/>
          <w:kern w:val="2"/>
          <w:sz w:val="28"/>
          <w:szCs w:val="28"/>
          <w:highlight w:val="none"/>
          <w:lang w:val="en-US"/>
        </w:rPr>
        <w:t>30</w:t>
      </w:r>
      <w:r>
        <w:rPr>
          <w:rFonts w:hint="eastAsia" w:cs="Times New Roman"/>
          <w:b/>
          <w:color w:val="auto"/>
          <w:kern w:val="2"/>
          <w:sz w:val="28"/>
          <w:szCs w:val="28"/>
          <w:highlight w:val="none"/>
          <w:lang w:val="en-US"/>
        </w:rPr>
        <w:t>．补充合同</w:t>
      </w:r>
    </w:p>
    <w:p>
      <w:pPr>
        <w:pStyle w:val="2"/>
        <w:spacing w:line="360" w:lineRule="auto"/>
        <w:ind w:firstLine="480" w:firstLineChars="200"/>
        <w:jc w:val="both"/>
        <w:rPr>
          <w:color w:val="auto"/>
          <w:highlight w:val="none"/>
        </w:rPr>
      </w:pPr>
      <w:r>
        <w:rPr>
          <w:rFonts w:hint="eastAsia"/>
          <w:color w:val="auto"/>
          <w:highlight w:val="none"/>
        </w:rPr>
        <w:t>采购合同履行过程中，采购人需要追加与合同标的相同的货物或者服务的，在不改变合同其他条款的前提下，可以与中标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p>
    <w:p>
      <w:pPr>
        <w:autoSpaceDE/>
        <w:autoSpaceDN/>
        <w:spacing w:line="360" w:lineRule="auto"/>
        <w:jc w:val="both"/>
        <w:rPr>
          <w:color w:val="auto"/>
          <w:highlight w:val="none"/>
        </w:rPr>
      </w:pPr>
      <w:r>
        <w:rPr>
          <w:rFonts w:hint="eastAsia" w:cs="Times New Roman"/>
          <w:b/>
          <w:color w:val="auto"/>
          <w:kern w:val="2"/>
          <w:sz w:val="28"/>
          <w:szCs w:val="28"/>
          <w:highlight w:val="none"/>
          <w:lang w:val="en-US"/>
        </w:rPr>
        <w:t>3</w:t>
      </w:r>
      <w:r>
        <w:rPr>
          <w:rFonts w:hint="eastAsia" w:cs="Times New Roman"/>
          <w:b/>
          <w:color w:val="auto"/>
          <w:kern w:val="2"/>
          <w:sz w:val="28"/>
          <w:szCs w:val="28"/>
          <w:highlight w:val="none"/>
          <w:lang w:val="en-US" w:eastAsia="zh-CN"/>
        </w:rPr>
        <w:t>1</w:t>
      </w:r>
      <w:r>
        <w:rPr>
          <w:rFonts w:hint="eastAsia" w:cs="Times New Roman"/>
          <w:b/>
          <w:color w:val="auto"/>
          <w:kern w:val="2"/>
          <w:sz w:val="28"/>
          <w:szCs w:val="28"/>
          <w:highlight w:val="none"/>
          <w:lang w:val="en-US"/>
        </w:rPr>
        <w:t>.履约保证金（实质性要求）</w:t>
      </w:r>
    </w:p>
    <w:p>
      <w:pPr>
        <w:autoSpaceDE/>
        <w:autoSpaceDN/>
        <w:spacing w:line="360" w:lineRule="auto"/>
        <w:ind w:firstLine="480" w:firstLineChars="200"/>
        <w:jc w:val="both"/>
        <w:rPr>
          <w:rFonts w:hint="eastAsia"/>
          <w:color w:val="auto"/>
          <w:highlight w:val="none"/>
          <w:lang w:val="en-US" w:eastAsia="zh-CN"/>
        </w:rPr>
      </w:pPr>
      <w:r>
        <w:rPr>
          <w:rFonts w:hint="eastAsia"/>
          <w:color w:val="auto"/>
          <w:highlight w:val="none"/>
          <w:lang w:val="en-US" w:eastAsia="zh-CN"/>
        </w:rPr>
        <w:t>本项目不收取履约保证金。</w:t>
      </w:r>
    </w:p>
    <w:p>
      <w:pPr>
        <w:autoSpaceDE/>
        <w:autoSpaceDN/>
        <w:spacing w:line="360" w:lineRule="auto"/>
        <w:jc w:val="both"/>
        <w:rPr>
          <w:color w:val="auto"/>
          <w:sz w:val="24"/>
          <w:highlight w:val="none"/>
        </w:rPr>
      </w:pPr>
      <w:r>
        <w:rPr>
          <w:rFonts w:hint="eastAsia" w:cs="Times New Roman"/>
          <w:b/>
          <w:color w:val="auto"/>
          <w:kern w:val="2"/>
          <w:sz w:val="28"/>
          <w:szCs w:val="28"/>
          <w:highlight w:val="none"/>
          <w:lang w:val="en-US"/>
        </w:rPr>
        <w:t>3</w:t>
      </w:r>
      <w:r>
        <w:rPr>
          <w:rFonts w:hint="eastAsia" w:cs="Times New Roman"/>
          <w:b/>
          <w:color w:val="auto"/>
          <w:kern w:val="2"/>
          <w:sz w:val="28"/>
          <w:szCs w:val="28"/>
          <w:highlight w:val="none"/>
          <w:lang w:val="en-US" w:eastAsia="zh-CN"/>
        </w:rPr>
        <w:t>2</w:t>
      </w:r>
      <w:r>
        <w:rPr>
          <w:rFonts w:hint="eastAsia" w:cs="Times New Roman"/>
          <w:b/>
          <w:color w:val="auto"/>
          <w:kern w:val="2"/>
          <w:sz w:val="28"/>
          <w:szCs w:val="28"/>
          <w:highlight w:val="none"/>
          <w:lang w:val="en-US"/>
        </w:rPr>
        <w:t>.履行合同</w:t>
      </w:r>
    </w:p>
    <w:p>
      <w:pPr>
        <w:pStyle w:val="2"/>
        <w:spacing w:line="360" w:lineRule="auto"/>
        <w:ind w:firstLine="480" w:firstLineChars="200"/>
        <w:jc w:val="both"/>
        <w:rPr>
          <w:color w:val="auto"/>
          <w:highlight w:val="none"/>
        </w:rPr>
      </w:pPr>
      <w:r>
        <w:rPr>
          <w:rFonts w:hint="eastAsia"/>
          <w:color w:val="auto"/>
          <w:highlight w:val="none"/>
        </w:rPr>
        <w:t>3</w:t>
      </w:r>
      <w:r>
        <w:rPr>
          <w:rFonts w:hint="eastAsia"/>
          <w:color w:val="auto"/>
          <w:highlight w:val="none"/>
          <w:lang w:val="en-US" w:eastAsia="zh-CN"/>
        </w:rPr>
        <w:t>2</w:t>
      </w:r>
      <w:r>
        <w:rPr>
          <w:rFonts w:hint="eastAsia"/>
          <w:color w:val="auto"/>
          <w:highlight w:val="none"/>
        </w:rPr>
        <w:t>.1 中标人与采购人签订合同后，合同双方应严格执行合同条款，履行合同规定的义务，保证合同的顺利完成。</w:t>
      </w:r>
    </w:p>
    <w:p>
      <w:pPr>
        <w:pStyle w:val="2"/>
        <w:spacing w:line="360" w:lineRule="auto"/>
        <w:ind w:firstLine="480" w:firstLineChars="200"/>
        <w:jc w:val="both"/>
        <w:rPr>
          <w:color w:val="auto"/>
          <w:highlight w:val="none"/>
        </w:rPr>
      </w:pPr>
      <w:r>
        <w:rPr>
          <w:rFonts w:hint="eastAsia"/>
          <w:color w:val="auto"/>
          <w:highlight w:val="none"/>
        </w:rPr>
        <w:t>3</w:t>
      </w:r>
      <w:r>
        <w:rPr>
          <w:rFonts w:hint="eastAsia"/>
          <w:color w:val="auto"/>
          <w:highlight w:val="none"/>
          <w:lang w:val="en-US" w:eastAsia="zh-CN"/>
        </w:rPr>
        <w:t>2</w:t>
      </w:r>
      <w:r>
        <w:rPr>
          <w:rFonts w:hint="eastAsia"/>
          <w:color w:val="auto"/>
          <w:highlight w:val="none"/>
        </w:rPr>
        <w:t>.2 在合同履行过程中，如发生合同纠纷，合同双方应按照《</w:t>
      </w:r>
      <w:r>
        <w:rPr>
          <w:rFonts w:hint="eastAsia"/>
          <w:color w:val="auto"/>
          <w:highlight w:val="none"/>
          <w:lang w:val="en-US" w:eastAsia="zh-CN"/>
        </w:rPr>
        <w:t>中华人民共和国民法典</w:t>
      </w:r>
      <w:r>
        <w:rPr>
          <w:rFonts w:hint="eastAsia"/>
          <w:color w:val="auto"/>
          <w:highlight w:val="none"/>
        </w:rPr>
        <w:t>》的有关规定进行处理。</w:t>
      </w:r>
    </w:p>
    <w:p>
      <w:pPr>
        <w:autoSpaceDE/>
        <w:autoSpaceDN/>
        <w:spacing w:line="360" w:lineRule="auto"/>
        <w:jc w:val="both"/>
        <w:rPr>
          <w:color w:val="auto"/>
          <w:sz w:val="24"/>
          <w:highlight w:val="none"/>
        </w:rPr>
      </w:pPr>
      <w:r>
        <w:rPr>
          <w:rFonts w:hint="eastAsia" w:cs="Times New Roman"/>
          <w:b/>
          <w:color w:val="auto"/>
          <w:kern w:val="2"/>
          <w:sz w:val="28"/>
          <w:szCs w:val="28"/>
          <w:highlight w:val="none"/>
          <w:lang w:val="en-US"/>
        </w:rPr>
        <w:t>3</w:t>
      </w:r>
      <w:r>
        <w:rPr>
          <w:rFonts w:hint="eastAsia" w:cs="Times New Roman"/>
          <w:b/>
          <w:color w:val="auto"/>
          <w:kern w:val="2"/>
          <w:sz w:val="28"/>
          <w:szCs w:val="28"/>
          <w:highlight w:val="none"/>
          <w:lang w:val="en-US" w:eastAsia="zh-CN"/>
        </w:rPr>
        <w:t>3</w:t>
      </w:r>
      <w:r>
        <w:rPr>
          <w:rFonts w:hint="eastAsia" w:cs="Times New Roman"/>
          <w:b/>
          <w:color w:val="auto"/>
          <w:kern w:val="2"/>
          <w:sz w:val="28"/>
          <w:szCs w:val="28"/>
          <w:highlight w:val="none"/>
          <w:lang w:val="en-US"/>
        </w:rPr>
        <w:t>.验收</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本项目采购人将严格按照政府《财政部关于进一步加强政府采购需求和履约验收管理的指导意见》（财库〔2016〕205号）等相关规定进行验收。</w:t>
      </w:r>
    </w:p>
    <w:p>
      <w:pPr>
        <w:autoSpaceDE/>
        <w:autoSpaceDN/>
        <w:spacing w:line="360" w:lineRule="auto"/>
        <w:jc w:val="both"/>
        <w:rPr>
          <w:color w:val="auto"/>
          <w:sz w:val="24"/>
          <w:highlight w:val="none"/>
        </w:rPr>
      </w:pPr>
      <w:r>
        <w:rPr>
          <w:rFonts w:hint="eastAsia" w:cs="Times New Roman"/>
          <w:b/>
          <w:color w:val="auto"/>
          <w:kern w:val="2"/>
          <w:sz w:val="28"/>
          <w:szCs w:val="28"/>
          <w:highlight w:val="none"/>
          <w:lang w:val="en-US"/>
        </w:rPr>
        <w:t>3</w:t>
      </w:r>
      <w:r>
        <w:rPr>
          <w:rFonts w:hint="eastAsia" w:cs="Times New Roman"/>
          <w:b/>
          <w:color w:val="auto"/>
          <w:kern w:val="2"/>
          <w:sz w:val="28"/>
          <w:szCs w:val="28"/>
          <w:highlight w:val="none"/>
          <w:lang w:val="en-US" w:eastAsia="zh-CN"/>
        </w:rPr>
        <w:t>4</w:t>
      </w:r>
      <w:r>
        <w:rPr>
          <w:rFonts w:hint="eastAsia" w:cs="Times New Roman"/>
          <w:b/>
          <w:color w:val="auto"/>
          <w:kern w:val="2"/>
          <w:sz w:val="28"/>
          <w:szCs w:val="28"/>
          <w:highlight w:val="none"/>
          <w:lang w:val="en-US"/>
        </w:rPr>
        <w:t>.资金支付</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合同签订后，货款结算方式：按月实际用量结算，次月收到发票及相关凭证后30日内，支付上月结算货款。（付款前，乙方须向甲方出具合法有效完整的发票及凭证资料后进行支付结算，付款方式均采用公对公的银行转账，甲方接受转账的开户信息以合同载明的为准。如因乙方未按照要求提供合法有效的发票导致逾期付款的，不视为甲方违约，甲方不承担任何责任。）。</w:t>
      </w:r>
    </w:p>
    <w:p>
      <w:pPr>
        <w:pStyle w:val="5"/>
        <w:bidi w:val="0"/>
        <w:rPr>
          <w:color w:val="auto"/>
          <w:highlight w:val="none"/>
        </w:rPr>
      </w:pPr>
      <w:r>
        <w:rPr>
          <w:rFonts w:hint="eastAsia"/>
          <w:color w:val="auto"/>
          <w:highlight w:val="none"/>
          <w:lang w:val="en-US"/>
        </w:rPr>
        <w:t>七、投标纪律要求</w:t>
      </w:r>
    </w:p>
    <w:p>
      <w:pPr>
        <w:autoSpaceDE/>
        <w:autoSpaceDN/>
        <w:spacing w:line="360" w:lineRule="auto"/>
        <w:jc w:val="both"/>
        <w:rPr>
          <w:b/>
          <w:color w:val="auto"/>
          <w:sz w:val="26"/>
          <w:highlight w:val="none"/>
        </w:rPr>
      </w:pPr>
      <w:r>
        <w:rPr>
          <w:rFonts w:hint="eastAsia" w:cs="Times New Roman"/>
          <w:b/>
          <w:color w:val="auto"/>
          <w:kern w:val="2"/>
          <w:sz w:val="28"/>
          <w:szCs w:val="28"/>
          <w:highlight w:val="none"/>
          <w:lang w:val="en-US"/>
        </w:rPr>
        <w:t>3</w:t>
      </w:r>
      <w:r>
        <w:rPr>
          <w:rFonts w:hint="eastAsia" w:cs="Times New Roman"/>
          <w:b/>
          <w:color w:val="auto"/>
          <w:kern w:val="2"/>
          <w:sz w:val="28"/>
          <w:szCs w:val="28"/>
          <w:highlight w:val="none"/>
          <w:lang w:val="en-US" w:eastAsia="zh-CN"/>
        </w:rPr>
        <w:t>5</w:t>
      </w:r>
      <w:r>
        <w:rPr>
          <w:rFonts w:hint="eastAsia" w:cs="Times New Roman"/>
          <w:b/>
          <w:color w:val="auto"/>
          <w:kern w:val="2"/>
          <w:sz w:val="28"/>
          <w:szCs w:val="28"/>
          <w:highlight w:val="none"/>
          <w:lang w:val="en-US"/>
        </w:rPr>
        <w:t>.投标人不得具有的情形</w:t>
      </w:r>
    </w:p>
    <w:p>
      <w:pPr>
        <w:pStyle w:val="2"/>
        <w:spacing w:line="360" w:lineRule="auto"/>
        <w:ind w:firstLine="480" w:firstLineChars="200"/>
        <w:jc w:val="both"/>
        <w:rPr>
          <w:color w:val="auto"/>
          <w:highlight w:val="none"/>
        </w:rPr>
      </w:pPr>
      <w:r>
        <w:rPr>
          <w:rFonts w:hint="eastAsia"/>
          <w:color w:val="auto"/>
          <w:highlight w:val="none"/>
        </w:rPr>
        <w:t>投标人参加本项目投标不得有下列情形：</w:t>
      </w:r>
    </w:p>
    <w:p>
      <w:pPr>
        <w:pStyle w:val="2"/>
        <w:spacing w:line="360" w:lineRule="auto"/>
        <w:ind w:firstLine="480" w:firstLineChars="200"/>
        <w:jc w:val="both"/>
        <w:rPr>
          <w:color w:val="auto"/>
          <w:highlight w:val="none"/>
        </w:rPr>
      </w:pPr>
      <w:r>
        <w:rPr>
          <w:rFonts w:hint="eastAsia"/>
          <w:color w:val="auto"/>
          <w:highlight w:val="none"/>
        </w:rPr>
        <w:t>（1）提供虚假材料谋取中标；</w:t>
      </w:r>
    </w:p>
    <w:p>
      <w:pPr>
        <w:pStyle w:val="2"/>
        <w:spacing w:line="360" w:lineRule="auto"/>
        <w:ind w:firstLine="480" w:firstLineChars="200"/>
        <w:jc w:val="both"/>
        <w:rPr>
          <w:color w:val="auto"/>
          <w:highlight w:val="none"/>
        </w:rPr>
      </w:pPr>
      <w:r>
        <w:rPr>
          <w:rFonts w:hint="eastAsia"/>
          <w:color w:val="auto"/>
          <w:highlight w:val="none"/>
        </w:rPr>
        <w:t>（2）采取不正当手段诋毁、排挤其他投标人；</w:t>
      </w:r>
    </w:p>
    <w:p>
      <w:pPr>
        <w:pStyle w:val="2"/>
        <w:spacing w:line="360" w:lineRule="auto"/>
        <w:ind w:firstLine="480" w:firstLineChars="200"/>
        <w:jc w:val="both"/>
        <w:rPr>
          <w:color w:val="auto"/>
          <w:highlight w:val="none"/>
        </w:rPr>
      </w:pPr>
      <w:r>
        <w:rPr>
          <w:rFonts w:hint="eastAsia"/>
          <w:color w:val="auto"/>
          <w:highlight w:val="none"/>
        </w:rPr>
        <w:t>（3）与招标采购单位、其他投标人恶意串通；</w:t>
      </w:r>
    </w:p>
    <w:p>
      <w:pPr>
        <w:pStyle w:val="2"/>
        <w:spacing w:line="360" w:lineRule="auto"/>
        <w:ind w:firstLine="480" w:firstLineChars="200"/>
        <w:jc w:val="both"/>
        <w:rPr>
          <w:color w:val="auto"/>
          <w:highlight w:val="none"/>
        </w:rPr>
      </w:pPr>
      <w:r>
        <w:rPr>
          <w:rFonts w:hint="eastAsia"/>
          <w:color w:val="auto"/>
          <w:highlight w:val="none"/>
        </w:rPr>
        <w:t>（4）向招标采购单位、评标委员会成员行贿或者提供其他不正当利益；</w:t>
      </w:r>
    </w:p>
    <w:p>
      <w:pPr>
        <w:pStyle w:val="2"/>
        <w:spacing w:line="360" w:lineRule="auto"/>
        <w:ind w:firstLine="480" w:firstLineChars="200"/>
        <w:jc w:val="both"/>
        <w:rPr>
          <w:color w:val="auto"/>
          <w:highlight w:val="none"/>
        </w:rPr>
      </w:pPr>
      <w:r>
        <w:rPr>
          <w:rFonts w:hint="eastAsia"/>
          <w:color w:val="auto"/>
          <w:highlight w:val="none"/>
        </w:rPr>
        <w:t>（5）在招标过程中与招标采购单位进行协商谈判；</w:t>
      </w:r>
    </w:p>
    <w:p>
      <w:pPr>
        <w:pStyle w:val="2"/>
        <w:spacing w:line="360" w:lineRule="auto"/>
        <w:ind w:firstLine="480" w:firstLineChars="200"/>
        <w:jc w:val="both"/>
        <w:rPr>
          <w:color w:val="auto"/>
          <w:highlight w:val="none"/>
        </w:rPr>
      </w:pPr>
      <w:r>
        <w:rPr>
          <w:rFonts w:hint="eastAsia"/>
          <w:color w:val="auto"/>
          <w:highlight w:val="none"/>
        </w:rPr>
        <w:t>（6）中标或者成交后无正当理由拒不与采购人签订政府采购合同；</w:t>
      </w:r>
    </w:p>
    <w:p>
      <w:pPr>
        <w:pStyle w:val="2"/>
        <w:spacing w:line="360" w:lineRule="auto"/>
        <w:ind w:firstLine="480" w:firstLineChars="200"/>
        <w:jc w:val="both"/>
        <w:rPr>
          <w:color w:val="auto"/>
          <w:highlight w:val="none"/>
        </w:rPr>
      </w:pPr>
      <w:r>
        <w:rPr>
          <w:rFonts w:hint="eastAsia"/>
          <w:color w:val="auto"/>
          <w:highlight w:val="none"/>
        </w:rPr>
        <w:t>（7）未按照采购文件确定的事项签订政府采购合同；</w:t>
      </w:r>
    </w:p>
    <w:p>
      <w:pPr>
        <w:pStyle w:val="2"/>
        <w:spacing w:line="360" w:lineRule="auto"/>
        <w:ind w:firstLine="480" w:firstLineChars="200"/>
        <w:jc w:val="both"/>
        <w:rPr>
          <w:color w:val="auto"/>
          <w:highlight w:val="none"/>
        </w:rPr>
      </w:pPr>
      <w:r>
        <w:rPr>
          <w:rFonts w:hint="eastAsia"/>
          <w:color w:val="auto"/>
          <w:highlight w:val="none"/>
        </w:rPr>
        <w:t>（8）将政府采购合同转包或者违规分包；</w:t>
      </w:r>
    </w:p>
    <w:p>
      <w:pPr>
        <w:pStyle w:val="2"/>
        <w:spacing w:line="360" w:lineRule="auto"/>
        <w:ind w:firstLine="480" w:firstLineChars="200"/>
        <w:jc w:val="both"/>
        <w:rPr>
          <w:color w:val="auto"/>
          <w:highlight w:val="none"/>
        </w:rPr>
      </w:pPr>
      <w:r>
        <w:rPr>
          <w:rFonts w:hint="eastAsia"/>
          <w:color w:val="auto"/>
          <w:highlight w:val="none"/>
        </w:rPr>
        <w:t>（9）提供假冒伪劣产品；</w:t>
      </w:r>
    </w:p>
    <w:p>
      <w:pPr>
        <w:pStyle w:val="2"/>
        <w:spacing w:line="360" w:lineRule="auto"/>
        <w:ind w:firstLine="480" w:firstLineChars="200"/>
        <w:jc w:val="both"/>
        <w:rPr>
          <w:color w:val="auto"/>
          <w:highlight w:val="none"/>
        </w:rPr>
      </w:pPr>
      <w:r>
        <w:rPr>
          <w:rFonts w:hint="eastAsia"/>
          <w:color w:val="auto"/>
          <w:highlight w:val="none"/>
        </w:rPr>
        <w:t>（10）擅自变更、中止或者终止政府采购合同；</w:t>
      </w:r>
    </w:p>
    <w:p>
      <w:pPr>
        <w:pStyle w:val="2"/>
        <w:spacing w:line="360" w:lineRule="auto"/>
        <w:ind w:firstLine="480" w:firstLineChars="200"/>
        <w:jc w:val="both"/>
        <w:rPr>
          <w:color w:val="auto"/>
          <w:highlight w:val="none"/>
        </w:rPr>
      </w:pPr>
      <w:r>
        <w:rPr>
          <w:rFonts w:hint="eastAsia"/>
          <w:color w:val="auto"/>
          <w:highlight w:val="none"/>
        </w:rPr>
        <w:t>（10）拒绝有关部门的监督检查或者向监督检查部门提供虚假情况；</w:t>
      </w:r>
    </w:p>
    <w:p>
      <w:pPr>
        <w:pStyle w:val="2"/>
        <w:spacing w:line="360" w:lineRule="auto"/>
        <w:ind w:firstLine="480" w:firstLineChars="200"/>
        <w:jc w:val="both"/>
        <w:rPr>
          <w:color w:val="auto"/>
          <w:highlight w:val="none"/>
        </w:rPr>
      </w:pPr>
      <w:r>
        <w:rPr>
          <w:rFonts w:hint="eastAsia"/>
          <w:color w:val="auto"/>
          <w:highlight w:val="none"/>
        </w:rPr>
        <w:t>（12）法律法规规定的其他情形。</w:t>
      </w:r>
    </w:p>
    <w:p>
      <w:pPr>
        <w:pStyle w:val="2"/>
        <w:spacing w:line="360" w:lineRule="auto"/>
        <w:ind w:firstLine="480" w:firstLineChars="200"/>
        <w:jc w:val="both"/>
        <w:rPr>
          <w:color w:val="auto"/>
          <w:highlight w:val="none"/>
        </w:rPr>
      </w:pPr>
      <w:r>
        <w:rPr>
          <w:rFonts w:hint="eastAsia"/>
          <w:color w:val="auto"/>
          <w:highlight w:val="none"/>
        </w:rPr>
        <w:t>投标人有上述情形的，按照规定追究法律责任，具备（</w:t>
      </w:r>
      <w:r>
        <w:rPr>
          <w:color w:val="auto"/>
          <w:highlight w:val="none"/>
        </w:rPr>
        <w:t>1</w:t>
      </w:r>
      <w:r>
        <w:rPr>
          <w:rFonts w:hint="eastAsia"/>
          <w:color w:val="auto"/>
          <w:highlight w:val="none"/>
        </w:rPr>
        <w:t>）</w:t>
      </w:r>
      <w:r>
        <w:rPr>
          <w:color w:val="auto"/>
          <w:highlight w:val="none"/>
        </w:rPr>
        <w:t>-</w:t>
      </w:r>
      <w:r>
        <w:rPr>
          <w:rFonts w:hint="eastAsia"/>
          <w:color w:val="auto"/>
          <w:highlight w:val="none"/>
        </w:rPr>
        <w:t>（</w:t>
      </w:r>
      <w:r>
        <w:rPr>
          <w:color w:val="auto"/>
          <w:highlight w:val="none"/>
        </w:rPr>
        <w:t>10</w:t>
      </w:r>
      <w:r>
        <w:rPr>
          <w:rFonts w:hint="eastAsia"/>
          <w:color w:val="auto"/>
          <w:highlight w:val="none"/>
        </w:rPr>
        <w:t>）条情形之一的，同时将取消中标资格或者认定中标无效。</w:t>
      </w:r>
    </w:p>
    <w:p>
      <w:pPr>
        <w:pStyle w:val="5"/>
        <w:bidi w:val="0"/>
        <w:rPr>
          <w:color w:val="auto"/>
          <w:highlight w:val="none"/>
        </w:rPr>
      </w:pPr>
      <w:r>
        <w:rPr>
          <w:rFonts w:hint="eastAsia"/>
          <w:color w:val="auto"/>
          <w:highlight w:val="none"/>
          <w:lang w:val="en-US"/>
        </w:rPr>
        <w:t>八、询问、质疑和投诉</w:t>
      </w:r>
    </w:p>
    <w:p>
      <w:pPr>
        <w:pStyle w:val="2"/>
        <w:spacing w:line="360" w:lineRule="auto"/>
        <w:ind w:firstLine="480" w:firstLineChars="200"/>
        <w:jc w:val="both"/>
        <w:rPr>
          <w:bCs/>
          <w:color w:val="auto"/>
          <w:sz w:val="35"/>
          <w:highlight w:val="none"/>
        </w:rPr>
      </w:pPr>
      <w:r>
        <w:rPr>
          <w:rFonts w:hint="eastAsia"/>
          <w:bCs/>
          <w:color w:val="auto"/>
          <w:highlight w:val="none"/>
        </w:rPr>
        <w:t>3</w:t>
      </w:r>
      <w:r>
        <w:rPr>
          <w:rFonts w:hint="eastAsia"/>
          <w:bCs/>
          <w:color w:val="auto"/>
          <w:highlight w:val="none"/>
          <w:lang w:val="en-US" w:eastAsia="zh-CN"/>
        </w:rPr>
        <w:t>6</w:t>
      </w:r>
      <w:r>
        <w:rPr>
          <w:rFonts w:hint="eastAsia"/>
          <w:bCs/>
          <w:color w:val="auto"/>
          <w:highlight w:val="none"/>
        </w:rPr>
        <w:t>.询问、质疑、投诉的接收和处理严格按照《中华人共和国政府采购法》、《中华人民共和国政府采购法实施条例》、《政府采购货物和服务招标投标管理办法》、《政府采购供应商投诉处理办法》、《财政部关于加强政府采购供应商投诉受理审查工作的通知》和《四川省政府采购供应商投诉处理工作规程》的规定办理（详细规定请在</w:t>
      </w:r>
      <w:r>
        <w:rPr>
          <w:rFonts w:hint="eastAsia"/>
          <w:bCs/>
          <w:color w:val="auto"/>
          <w:highlight w:val="none"/>
          <w:lang w:eastAsia="zh-CN"/>
        </w:rPr>
        <w:t>中国政府采购网</w:t>
      </w:r>
      <w:r>
        <w:rPr>
          <w:rFonts w:hint="eastAsia"/>
          <w:bCs/>
          <w:color w:val="auto"/>
          <w:highlight w:val="none"/>
        </w:rPr>
        <w:t>政策法规模块查询）。</w:t>
      </w:r>
    </w:p>
    <w:p>
      <w:pPr>
        <w:pStyle w:val="5"/>
        <w:bidi w:val="0"/>
        <w:rPr>
          <w:color w:val="auto"/>
          <w:highlight w:val="none"/>
          <w:lang w:val="en-US"/>
        </w:rPr>
      </w:pPr>
      <w:r>
        <w:rPr>
          <w:rFonts w:hint="eastAsia"/>
          <w:color w:val="auto"/>
          <w:highlight w:val="none"/>
          <w:lang w:val="en-US"/>
        </w:rPr>
        <w:t>九、其他</w:t>
      </w:r>
    </w:p>
    <w:p>
      <w:pPr>
        <w:wordWrap w:val="0"/>
        <w:autoSpaceDE/>
        <w:autoSpaceDN/>
        <w:ind w:firstLine="480" w:firstLineChars="200"/>
        <w:jc w:val="left"/>
        <w:rPr>
          <w:rFonts w:hint="eastAsia"/>
          <w:bCs/>
          <w:color w:val="auto"/>
          <w:highlight w:val="none"/>
        </w:rPr>
      </w:pPr>
      <w:r>
        <w:rPr>
          <w:rFonts w:hint="eastAsia"/>
          <w:bCs/>
          <w:color w:val="auto"/>
          <w:highlight w:val="none"/>
        </w:rPr>
        <w:t>3</w:t>
      </w:r>
      <w:r>
        <w:rPr>
          <w:rFonts w:hint="eastAsia"/>
          <w:bCs/>
          <w:color w:val="auto"/>
          <w:highlight w:val="none"/>
          <w:lang w:val="en-US" w:eastAsia="zh-CN"/>
        </w:rPr>
        <w:t>7</w:t>
      </w:r>
      <w:r>
        <w:rPr>
          <w:rFonts w:hint="eastAsia"/>
          <w:bCs/>
          <w:color w:val="auto"/>
          <w:highlight w:val="none"/>
        </w:rPr>
        <w:t>.本招标文件中所引相关法律制度规定，在政府采购中有变化的，按照变化后的相关法律制度规定执行。本章和第七章中“</w:t>
      </w:r>
      <w:r>
        <w:rPr>
          <w:bCs/>
          <w:color w:val="auto"/>
          <w:highlight w:val="none"/>
        </w:rPr>
        <w:t>1.</w:t>
      </w:r>
      <w:r>
        <w:rPr>
          <w:rFonts w:hint="eastAsia"/>
          <w:bCs/>
          <w:color w:val="auto"/>
          <w:highlight w:val="none"/>
        </w:rPr>
        <w:t>总则、</w:t>
      </w:r>
      <w:r>
        <w:rPr>
          <w:bCs/>
          <w:color w:val="auto"/>
          <w:highlight w:val="none"/>
        </w:rPr>
        <w:t>2.</w:t>
      </w:r>
      <w:r>
        <w:rPr>
          <w:rFonts w:hint="eastAsia"/>
          <w:bCs/>
          <w:color w:val="auto"/>
          <w:highlight w:val="none"/>
        </w:rPr>
        <w:t>评标方法、</w:t>
      </w:r>
      <w:r>
        <w:rPr>
          <w:bCs/>
          <w:color w:val="auto"/>
          <w:highlight w:val="none"/>
        </w:rPr>
        <w:t>3.</w:t>
      </w:r>
      <w:r>
        <w:rPr>
          <w:rFonts w:hint="eastAsia"/>
          <w:bCs/>
          <w:color w:val="auto"/>
          <w:highlight w:val="none"/>
        </w:rPr>
        <w:t>评标程序”规定的内容条款，在本项目投标截止时间届满后，因相关法律制度规定的变化导致不符合相关法律制度规定的，直接按照变化后的相关法律制度规定执行，本招标文件不再做调整。</w:t>
      </w:r>
    </w:p>
    <w:p>
      <w:pPr>
        <w:wordWrap w:val="0"/>
        <w:autoSpaceDE/>
        <w:autoSpaceDN/>
        <w:ind w:firstLine="480" w:firstLineChars="200"/>
        <w:jc w:val="left"/>
        <w:rPr>
          <w:rFonts w:hint="eastAsia" w:cs="Times New Roman"/>
          <w:color w:val="auto"/>
          <w:kern w:val="2"/>
          <w:szCs w:val="24"/>
          <w:highlight w:val="none"/>
          <w:lang w:val="en-US"/>
        </w:rPr>
      </w:pPr>
      <w:r>
        <w:rPr>
          <w:rFonts w:hint="eastAsia" w:cs="宋体"/>
          <w:color w:val="auto"/>
          <w:kern w:val="2"/>
          <w:szCs w:val="24"/>
          <w:highlight w:val="none"/>
          <w:lang w:val="en-US" w:eastAsia="zh-CN"/>
        </w:rPr>
        <w:t>38</w:t>
      </w:r>
      <w:r>
        <w:rPr>
          <w:rFonts w:cs="宋体"/>
          <w:color w:val="auto"/>
          <w:kern w:val="2"/>
          <w:szCs w:val="24"/>
          <w:highlight w:val="none"/>
          <w:lang w:val="en-US"/>
        </w:rPr>
        <w:t>.</w:t>
      </w:r>
      <w:r>
        <w:rPr>
          <w:rFonts w:hint="eastAsia" w:cs="Times New Roman"/>
          <w:color w:val="auto"/>
          <w:kern w:val="2"/>
          <w:szCs w:val="24"/>
          <w:highlight w:val="none"/>
          <w:lang w:val="en-US"/>
        </w:rPr>
        <w:t>（实质性要求）</w:t>
      </w:r>
      <w:r>
        <w:rPr>
          <w:rFonts w:cs="Times New Roman"/>
          <w:color w:val="auto"/>
          <w:kern w:val="2"/>
          <w:szCs w:val="24"/>
          <w:highlight w:val="none"/>
          <w:lang w:val="en-US"/>
        </w:rPr>
        <w:t>国家</w:t>
      </w:r>
      <w:r>
        <w:rPr>
          <w:rFonts w:hint="eastAsia" w:cs="Times New Roman"/>
          <w:color w:val="auto"/>
          <w:kern w:val="2"/>
          <w:szCs w:val="24"/>
          <w:highlight w:val="none"/>
          <w:lang w:val="en-US"/>
        </w:rPr>
        <w:t>或行业主管部门</w:t>
      </w:r>
      <w:r>
        <w:rPr>
          <w:rFonts w:cs="Times New Roman"/>
          <w:color w:val="auto"/>
          <w:kern w:val="2"/>
          <w:szCs w:val="24"/>
          <w:highlight w:val="none"/>
          <w:lang w:val="en-US"/>
        </w:rPr>
        <w:t>对</w:t>
      </w:r>
      <w:r>
        <w:rPr>
          <w:rFonts w:hint="eastAsia" w:cs="Times New Roman"/>
          <w:color w:val="auto"/>
          <w:kern w:val="2"/>
          <w:szCs w:val="24"/>
          <w:highlight w:val="none"/>
          <w:lang w:val="en-US"/>
        </w:rPr>
        <w:t>供应商和采购产品的</w:t>
      </w:r>
      <w:r>
        <w:rPr>
          <w:rFonts w:cs="Times New Roman"/>
          <w:color w:val="auto"/>
          <w:kern w:val="2"/>
          <w:szCs w:val="24"/>
          <w:highlight w:val="none"/>
          <w:lang w:val="en-US"/>
        </w:rPr>
        <w:t>技术</w:t>
      </w:r>
      <w:r>
        <w:rPr>
          <w:rFonts w:hint="eastAsia" w:cs="Times New Roman"/>
          <w:color w:val="auto"/>
          <w:kern w:val="2"/>
          <w:szCs w:val="24"/>
          <w:highlight w:val="none"/>
          <w:lang w:val="en-US"/>
        </w:rPr>
        <w:t>标准、</w:t>
      </w:r>
      <w:r>
        <w:rPr>
          <w:rFonts w:cs="Times New Roman"/>
          <w:color w:val="auto"/>
          <w:kern w:val="2"/>
          <w:szCs w:val="24"/>
          <w:highlight w:val="none"/>
          <w:lang w:val="en-US"/>
        </w:rPr>
        <w:t>质量</w:t>
      </w:r>
      <w:r>
        <w:rPr>
          <w:rFonts w:hint="eastAsia" w:cs="Times New Roman"/>
          <w:color w:val="auto"/>
          <w:kern w:val="2"/>
          <w:szCs w:val="24"/>
          <w:highlight w:val="none"/>
          <w:lang w:val="en-US"/>
        </w:rPr>
        <w:t>标准和资格资质条件</w:t>
      </w:r>
      <w:r>
        <w:rPr>
          <w:rFonts w:cs="Times New Roman"/>
          <w:color w:val="auto"/>
          <w:kern w:val="2"/>
          <w:szCs w:val="24"/>
          <w:highlight w:val="none"/>
          <w:lang w:val="en-US"/>
        </w:rPr>
        <w:t>等有</w:t>
      </w:r>
      <w:r>
        <w:rPr>
          <w:rFonts w:hint="eastAsia" w:cs="Times New Roman"/>
          <w:color w:val="auto"/>
          <w:kern w:val="2"/>
          <w:szCs w:val="24"/>
          <w:highlight w:val="none"/>
          <w:lang w:val="en-US"/>
        </w:rPr>
        <w:t>强制性规定</w:t>
      </w:r>
      <w:r>
        <w:rPr>
          <w:rFonts w:cs="Times New Roman"/>
          <w:color w:val="auto"/>
          <w:kern w:val="2"/>
          <w:szCs w:val="24"/>
          <w:highlight w:val="none"/>
          <w:lang w:val="en-US"/>
        </w:rPr>
        <w:t>的</w:t>
      </w:r>
      <w:r>
        <w:rPr>
          <w:rFonts w:hint="eastAsia" w:cs="Times New Roman"/>
          <w:color w:val="auto"/>
          <w:kern w:val="2"/>
          <w:szCs w:val="24"/>
          <w:highlight w:val="none"/>
          <w:lang w:val="en-US"/>
        </w:rPr>
        <w:t>，必须符合其要求。</w:t>
      </w:r>
    </w:p>
    <w:p>
      <w:pPr>
        <w:pStyle w:val="2"/>
        <w:spacing w:line="360" w:lineRule="auto"/>
        <w:ind w:firstLine="180" w:firstLineChars="200"/>
        <w:jc w:val="both"/>
        <w:rPr>
          <w:bCs/>
          <w:color w:val="auto"/>
          <w:sz w:val="9"/>
          <w:highlight w:val="none"/>
        </w:rPr>
      </w:pPr>
    </w:p>
    <w:p>
      <w:pPr>
        <w:widowControl/>
        <w:autoSpaceDE/>
        <w:autoSpaceDN/>
        <w:rPr>
          <w:rFonts w:cs="Times New Roman"/>
          <w:b/>
          <w:color w:val="auto"/>
          <w:kern w:val="2"/>
          <w:sz w:val="36"/>
          <w:szCs w:val="36"/>
          <w:highlight w:val="none"/>
          <w:lang w:val="en-US"/>
        </w:rPr>
      </w:pPr>
      <w:bookmarkStart w:id="10" w:name="_bookmark2"/>
      <w:bookmarkEnd w:id="10"/>
      <w:r>
        <w:rPr>
          <w:rFonts w:cs="Times New Roman"/>
          <w:b/>
          <w:color w:val="auto"/>
          <w:kern w:val="2"/>
          <w:sz w:val="36"/>
          <w:szCs w:val="36"/>
          <w:highlight w:val="none"/>
          <w:lang w:val="en-US"/>
        </w:rPr>
        <w:br w:type="page"/>
      </w:r>
    </w:p>
    <w:p>
      <w:pPr>
        <w:pStyle w:val="4"/>
        <w:bidi w:val="0"/>
        <w:rPr>
          <w:color w:val="auto"/>
          <w:highlight w:val="none"/>
        </w:rPr>
      </w:pPr>
      <w:bookmarkStart w:id="11" w:name="_Toc528098581"/>
      <w:bookmarkStart w:id="12" w:name="_Toc2195"/>
      <w:r>
        <w:rPr>
          <w:rFonts w:hint="eastAsia"/>
          <w:color w:val="auto"/>
          <w:highlight w:val="none"/>
          <w:lang w:val="en-US"/>
        </w:rPr>
        <w:t>第三章  投标文件格式</w:t>
      </w:r>
      <w:bookmarkEnd w:id="11"/>
      <w:bookmarkEnd w:id="12"/>
    </w:p>
    <w:p>
      <w:pPr>
        <w:pStyle w:val="2"/>
        <w:spacing w:line="360" w:lineRule="auto"/>
        <w:ind w:firstLine="480" w:firstLineChars="200"/>
        <w:jc w:val="both"/>
        <w:rPr>
          <w:color w:val="auto"/>
          <w:highlight w:val="none"/>
        </w:rPr>
      </w:pPr>
      <w:r>
        <w:rPr>
          <w:rFonts w:hint="eastAsia"/>
          <w:color w:val="auto"/>
          <w:highlight w:val="none"/>
        </w:rPr>
        <w:t>一、本章所制投标文件格式，</w:t>
      </w:r>
      <w:r>
        <w:rPr>
          <w:rFonts w:hint="eastAsia"/>
          <w:b/>
          <w:color w:val="auto"/>
          <w:highlight w:val="none"/>
        </w:rPr>
        <w:t>除格式中明确将该格式作为实质性要求的，一律不具有强制性</w:t>
      </w:r>
      <w:r>
        <w:rPr>
          <w:rFonts w:hint="eastAsia"/>
          <w:color w:val="auto"/>
          <w:highlight w:val="none"/>
        </w:rPr>
        <w:t>。</w:t>
      </w:r>
    </w:p>
    <w:p>
      <w:pPr>
        <w:pStyle w:val="2"/>
        <w:spacing w:line="360" w:lineRule="auto"/>
        <w:ind w:firstLine="480" w:firstLineChars="200"/>
        <w:jc w:val="both"/>
        <w:rPr>
          <w:color w:val="auto"/>
          <w:highlight w:val="none"/>
        </w:rPr>
      </w:pPr>
      <w:r>
        <w:rPr>
          <w:rFonts w:hint="eastAsia"/>
          <w:color w:val="auto"/>
          <w:highlight w:val="none"/>
        </w:rPr>
        <w:t>二、本章所制投标文件格式有关表格中的备注栏，由投标人根据自身投标情况作解释性说明，不作为必填项；本章所制投标文件格式有关表格下“注”内容，仅作为投标文件的编制说明，投标人可自行决定是否保留在编制的投标文件中，未保留的视为投标人默认接受“注”的内容。</w:t>
      </w:r>
    </w:p>
    <w:p>
      <w:pPr>
        <w:pStyle w:val="2"/>
        <w:spacing w:line="360" w:lineRule="auto"/>
        <w:ind w:firstLine="480" w:firstLineChars="200"/>
        <w:jc w:val="both"/>
        <w:rPr>
          <w:color w:val="auto"/>
          <w:highlight w:val="none"/>
        </w:rPr>
      </w:pPr>
      <w:r>
        <w:rPr>
          <w:rFonts w:hint="eastAsia"/>
          <w:color w:val="auto"/>
          <w:highlight w:val="none"/>
        </w:rPr>
        <w:t>三、本章所制投标文件格式中需要填写的相关内容事项，可能会与本采购项目无关，在不改变投标文件原义、不影响本项目采购需求的情况下，投标人可以不予填写，但应当注明。可能有些内容并未提供相关格式，采购人须自行添加相关内容。</w:t>
      </w:r>
    </w:p>
    <w:p>
      <w:pPr>
        <w:pStyle w:val="2"/>
        <w:spacing w:line="360" w:lineRule="auto"/>
        <w:ind w:firstLine="480" w:firstLineChars="200"/>
        <w:jc w:val="both"/>
        <w:rPr>
          <w:color w:val="auto"/>
          <w:highlight w:val="none"/>
        </w:rPr>
      </w:pPr>
    </w:p>
    <w:p>
      <w:pPr>
        <w:pStyle w:val="2"/>
        <w:spacing w:line="360" w:lineRule="auto"/>
        <w:ind w:firstLine="480" w:firstLineChars="200"/>
        <w:jc w:val="both"/>
        <w:rPr>
          <w:color w:val="auto"/>
          <w:highlight w:val="none"/>
        </w:rPr>
      </w:pPr>
    </w:p>
    <w:p>
      <w:pPr>
        <w:pStyle w:val="2"/>
        <w:spacing w:line="360" w:lineRule="auto"/>
        <w:ind w:firstLine="480" w:firstLineChars="200"/>
        <w:jc w:val="both"/>
        <w:rPr>
          <w:color w:val="auto"/>
          <w:highlight w:val="none"/>
        </w:rPr>
      </w:pPr>
    </w:p>
    <w:p>
      <w:pPr>
        <w:pStyle w:val="2"/>
        <w:spacing w:line="360" w:lineRule="auto"/>
        <w:ind w:firstLine="480" w:firstLineChars="200"/>
        <w:jc w:val="both"/>
        <w:rPr>
          <w:color w:val="auto"/>
          <w:highlight w:val="none"/>
        </w:rPr>
      </w:pPr>
    </w:p>
    <w:p>
      <w:pPr>
        <w:widowControl/>
        <w:autoSpaceDE/>
        <w:autoSpaceDN/>
        <w:rPr>
          <w:color w:val="auto"/>
          <w:sz w:val="24"/>
          <w:szCs w:val="24"/>
          <w:highlight w:val="none"/>
        </w:rPr>
      </w:pPr>
      <w:r>
        <w:rPr>
          <w:color w:val="auto"/>
          <w:highlight w:val="none"/>
        </w:rPr>
        <w:br w:type="page"/>
      </w:r>
    </w:p>
    <w:p>
      <w:pPr>
        <w:pStyle w:val="2"/>
        <w:spacing w:line="360" w:lineRule="auto"/>
        <w:jc w:val="both"/>
        <w:rPr>
          <w:color w:val="auto"/>
          <w:sz w:val="29"/>
          <w:highlight w:val="none"/>
        </w:rPr>
      </w:pPr>
    </w:p>
    <w:p>
      <w:pPr>
        <w:spacing w:before="50"/>
        <w:jc w:val="right"/>
        <w:rPr>
          <w:color w:val="auto"/>
          <w:sz w:val="36"/>
          <w:highlight w:val="none"/>
        </w:rPr>
      </w:pPr>
      <w:r>
        <w:rPr>
          <w:rFonts w:hint="eastAsia"/>
          <w:color w:val="auto"/>
          <w:sz w:val="36"/>
          <w:highlight w:val="none"/>
        </w:rPr>
        <w:t>（正本</w:t>
      </w:r>
      <w:r>
        <w:rPr>
          <w:color w:val="auto"/>
          <w:sz w:val="36"/>
          <w:highlight w:val="none"/>
        </w:rPr>
        <w:t>/</w:t>
      </w:r>
      <w:r>
        <w:rPr>
          <w:rFonts w:hint="eastAsia"/>
          <w:color w:val="auto"/>
          <w:sz w:val="36"/>
          <w:highlight w:val="none"/>
        </w:rPr>
        <w:t>副本）</w:t>
      </w:r>
    </w:p>
    <w:p>
      <w:pPr>
        <w:pStyle w:val="2"/>
        <w:spacing w:line="360" w:lineRule="auto"/>
        <w:jc w:val="both"/>
        <w:rPr>
          <w:color w:val="auto"/>
          <w:sz w:val="36"/>
          <w:highlight w:val="none"/>
        </w:rPr>
      </w:pPr>
    </w:p>
    <w:p>
      <w:pPr>
        <w:pStyle w:val="2"/>
        <w:spacing w:line="360" w:lineRule="auto"/>
        <w:jc w:val="both"/>
        <w:rPr>
          <w:color w:val="auto"/>
          <w:sz w:val="36"/>
          <w:highlight w:val="none"/>
        </w:rPr>
      </w:pPr>
    </w:p>
    <w:p>
      <w:pPr>
        <w:pStyle w:val="2"/>
        <w:ind w:firstLine="1566" w:firstLineChars="300"/>
        <w:rPr>
          <w:color w:val="auto"/>
          <w:sz w:val="52"/>
          <w:szCs w:val="52"/>
          <w:highlight w:val="none"/>
        </w:rPr>
      </w:pPr>
      <w:r>
        <w:rPr>
          <w:rFonts w:hint="eastAsia"/>
          <w:b/>
          <w:color w:val="auto"/>
          <w:sz w:val="52"/>
          <w:szCs w:val="52"/>
          <w:highlight w:val="none"/>
          <w:u w:val="single"/>
          <w:lang w:val="en-US" w:eastAsia="zh-CN"/>
        </w:rPr>
        <w:t xml:space="preserve">                   </w:t>
      </w:r>
      <w:r>
        <w:rPr>
          <w:rFonts w:hint="eastAsia"/>
          <w:b/>
          <w:color w:val="auto"/>
          <w:sz w:val="52"/>
          <w:szCs w:val="52"/>
          <w:highlight w:val="none"/>
          <w:lang w:val="en-US"/>
        </w:rPr>
        <w:t>项目</w:t>
      </w:r>
    </w:p>
    <w:p>
      <w:pPr>
        <w:pStyle w:val="2"/>
        <w:spacing w:line="360" w:lineRule="auto"/>
        <w:jc w:val="both"/>
        <w:rPr>
          <w:color w:val="auto"/>
          <w:sz w:val="36"/>
          <w:highlight w:val="none"/>
        </w:rPr>
      </w:pPr>
    </w:p>
    <w:p>
      <w:pPr>
        <w:pStyle w:val="2"/>
        <w:spacing w:line="360" w:lineRule="auto"/>
        <w:jc w:val="both"/>
        <w:rPr>
          <w:color w:val="auto"/>
          <w:sz w:val="36"/>
          <w:highlight w:val="none"/>
        </w:rPr>
      </w:pPr>
    </w:p>
    <w:p>
      <w:pPr>
        <w:pStyle w:val="2"/>
        <w:spacing w:line="360" w:lineRule="auto"/>
        <w:jc w:val="both"/>
        <w:rPr>
          <w:color w:val="auto"/>
          <w:sz w:val="36"/>
          <w:highlight w:val="none"/>
        </w:rPr>
      </w:pPr>
    </w:p>
    <w:p>
      <w:pPr>
        <w:jc w:val="center"/>
        <w:rPr>
          <w:b/>
          <w:color w:val="auto"/>
          <w:sz w:val="96"/>
          <w:szCs w:val="96"/>
          <w:highlight w:val="none"/>
        </w:rPr>
      </w:pPr>
      <w:r>
        <w:rPr>
          <w:rFonts w:hint="eastAsia"/>
          <w:b/>
          <w:color w:val="auto"/>
          <w:sz w:val="96"/>
          <w:szCs w:val="96"/>
          <w:highlight w:val="none"/>
        </w:rPr>
        <w:t>资格性</w:t>
      </w:r>
      <w:r>
        <w:rPr>
          <w:rFonts w:hint="eastAsia"/>
          <w:b/>
          <w:color w:val="auto"/>
          <w:sz w:val="96"/>
          <w:szCs w:val="96"/>
          <w:highlight w:val="none"/>
          <w:lang w:val="en-US" w:eastAsia="zh-CN"/>
        </w:rPr>
        <w:t>响应</w:t>
      </w:r>
      <w:r>
        <w:rPr>
          <w:rFonts w:hint="eastAsia"/>
          <w:b/>
          <w:color w:val="auto"/>
          <w:sz w:val="96"/>
          <w:szCs w:val="96"/>
          <w:highlight w:val="none"/>
        </w:rPr>
        <w:t>文件</w:t>
      </w:r>
    </w:p>
    <w:p>
      <w:pPr>
        <w:pStyle w:val="2"/>
        <w:spacing w:line="360" w:lineRule="auto"/>
        <w:jc w:val="both"/>
        <w:rPr>
          <w:color w:val="auto"/>
          <w:sz w:val="36"/>
          <w:highlight w:val="none"/>
        </w:rPr>
      </w:pPr>
    </w:p>
    <w:p>
      <w:pPr>
        <w:pStyle w:val="2"/>
        <w:spacing w:line="360" w:lineRule="auto"/>
        <w:jc w:val="both"/>
        <w:rPr>
          <w:color w:val="auto"/>
          <w:sz w:val="36"/>
          <w:highlight w:val="none"/>
        </w:rPr>
      </w:pPr>
    </w:p>
    <w:p>
      <w:pPr>
        <w:pStyle w:val="2"/>
        <w:spacing w:line="360" w:lineRule="auto"/>
        <w:jc w:val="both"/>
        <w:rPr>
          <w:color w:val="auto"/>
          <w:sz w:val="36"/>
          <w:highlight w:val="none"/>
        </w:rPr>
      </w:pPr>
    </w:p>
    <w:p>
      <w:pPr>
        <w:pStyle w:val="2"/>
        <w:spacing w:line="360" w:lineRule="auto"/>
        <w:jc w:val="both"/>
        <w:rPr>
          <w:color w:val="auto"/>
          <w:sz w:val="36"/>
          <w:highlight w:val="none"/>
        </w:rPr>
      </w:pPr>
    </w:p>
    <w:p>
      <w:pPr>
        <w:pStyle w:val="2"/>
        <w:spacing w:line="360" w:lineRule="auto"/>
        <w:ind w:firstLine="643" w:firstLineChars="200"/>
        <w:jc w:val="both"/>
        <w:rPr>
          <w:rFonts w:hint="eastAsia"/>
          <w:b/>
          <w:color w:val="auto"/>
          <w:sz w:val="32"/>
          <w:szCs w:val="32"/>
          <w:highlight w:val="none"/>
        </w:rPr>
      </w:pPr>
      <w:r>
        <w:rPr>
          <w:rFonts w:hint="eastAsia"/>
          <w:b/>
          <w:color w:val="auto"/>
          <w:sz w:val="32"/>
          <w:szCs w:val="32"/>
          <w:highlight w:val="none"/>
        </w:rPr>
        <w:t>项 目 编 号：</w:t>
      </w:r>
      <w:r>
        <w:rPr>
          <w:rFonts w:hint="eastAsia"/>
          <w:b/>
          <w:color w:val="auto"/>
          <w:sz w:val="32"/>
          <w:szCs w:val="32"/>
          <w:highlight w:val="none"/>
          <w:u w:val="single"/>
        </w:rPr>
        <w:t xml:space="preserve">                             </w:t>
      </w:r>
    </w:p>
    <w:p>
      <w:pPr>
        <w:pStyle w:val="2"/>
        <w:spacing w:line="360" w:lineRule="auto"/>
        <w:ind w:firstLine="643" w:firstLineChars="200"/>
        <w:jc w:val="both"/>
        <w:rPr>
          <w:rFonts w:hint="default"/>
          <w:b/>
          <w:color w:val="auto"/>
          <w:sz w:val="32"/>
          <w:szCs w:val="32"/>
          <w:highlight w:val="none"/>
          <w:lang w:val="en-US" w:eastAsia="zh-CN"/>
        </w:rPr>
      </w:pPr>
      <w:r>
        <w:rPr>
          <w:rFonts w:hint="eastAsia"/>
          <w:b/>
          <w:color w:val="auto"/>
          <w:sz w:val="32"/>
          <w:szCs w:val="32"/>
          <w:highlight w:val="none"/>
          <w:lang w:val="en-US" w:eastAsia="zh-CN"/>
        </w:rPr>
        <w:t>包       号:</w:t>
      </w:r>
      <w:r>
        <w:rPr>
          <w:rFonts w:hint="eastAsia"/>
          <w:b/>
          <w:color w:val="auto"/>
          <w:sz w:val="32"/>
          <w:szCs w:val="32"/>
          <w:highlight w:val="none"/>
          <w:u w:val="single"/>
        </w:rPr>
        <w:t xml:space="preserve">                            </w:t>
      </w:r>
    </w:p>
    <w:p>
      <w:pPr>
        <w:pStyle w:val="2"/>
        <w:spacing w:line="360" w:lineRule="auto"/>
        <w:jc w:val="both"/>
        <w:rPr>
          <w:b/>
          <w:color w:val="auto"/>
          <w:sz w:val="32"/>
          <w:szCs w:val="32"/>
          <w:highlight w:val="none"/>
        </w:rPr>
      </w:pPr>
      <w:r>
        <w:rPr>
          <w:rFonts w:hint="eastAsia"/>
          <w:b/>
          <w:color w:val="auto"/>
          <w:sz w:val="32"/>
          <w:szCs w:val="32"/>
          <w:highlight w:val="none"/>
        </w:rPr>
        <w:t xml:space="preserve">    投标人名称 ：</w:t>
      </w:r>
      <w:r>
        <w:rPr>
          <w:rFonts w:hint="eastAsia"/>
          <w:b/>
          <w:color w:val="auto"/>
          <w:sz w:val="32"/>
          <w:szCs w:val="32"/>
          <w:highlight w:val="none"/>
          <w:u w:val="single"/>
        </w:rPr>
        <w:t xml:space="preserve">                            </w:t>
      </w:r>
      <w:r>
        <w:rPr>
          <w:rFonts w:hint="eastAsia"/>
          <w:b/>
          <w:color w:val="auto"/>
          <w:sz w:val="32"/>
          <w:szCs w:val="32"/>
          <w:highlight w:val="none"/>
          <w:lang w:val="en-US"/>
        </w:rPr>
        <w:t>（盖单位章）</w:t>
      </w:r>
    </w:p>
    <w:p>
      <w:pPr>
        <w:pStyle w:val="2"/>
        <w:spacing w:line="360" w:lineRule="auto"/>
        <w:jc w:val="both"/>
        <w:rPr>
          <w:color w:val="auto"/>
          <w:sz w:val="32"/>
          <w:szCs w:val="32"/>
          <w:highlight w:val="none"/>
        </w:rPr>
      </w:pPr>
      <w:r>
        <w:rPr>
          <w:rFonts w:hint="eastAsia"/>
          <w:b/>
          <w:color w:val="auto"/>
          <w:sz w:val="32"/>
          <w:szCs w:val="32"/>
          <w:highlight w:val="none"/>
          <w:lang w:val="en-US"/>
        </w:rPr>
        <w:t xml:space="preserve">    法定代表人或其委托代理人：</w:t>
      </w:r>
      <w:r>
        <w:rPr>
          <w:rFonts w:hint="eastAsia"/>
          <w:b/>
          <w:color w:val="auto"/>
          <w:sz w:val="32"/>
          <w:szCs w:val="32"/>
          <w:highlight w:val="none"/>
          <w:u w:val="single"/>
          <w:lang w:val="en-US"/>
        </w:rPr>
        <w:t xml:space="preserve">           </w:t>
      </w:r>
      <w:r>
        <w:rPr>
          <w:rFonts w:hint="eastAsia"/>
          <w:b/>
          <w:color w:val="auto"/>
          <w:sz w:val="32"/>
          <w:szCs w:val="32"/>
          <w:highlight w:val="none"/>
          <w:lang w:val="en-US"/>
        </w:rPr>
        <w:t>（签字）</w:t>
      </w:r>
    </w:p>
    <w:p>
      <w:pPr>
        <w:pStyle w:val="2"/>
        <w:spacing w:line="360" w:lineRule="auto"/>
        <w:jc w:val="both"/>
        <w:rPr>
          <w:b/>
          <w:color w:val="auto"/>
          <w:sz w:val="32"/>
          <w:szCs w:val="32"/>
          <w:highlight w:val="none"/>
          <w:lang w:val="en-US"/>
        </w:rPr>
      </w:pPr>
      <w:r>
        <w:rPr>
          <w:rFonts w:hint="eastAsia"/>
          <w:b/>
          <w:color w:val="auto"/>
          <w:sz w:val="32"/>
          <w:szCs w:val="32"/>
          <w:highlight w:val="none"/>
          <w:lang w:val="en-US"/>
        </w:rPr>
        <w:t xml:space="preserve">    投 标 时 间：</w:t>
      </w:r>
      <w:r>
        <w:rPr>
          <w:rFonts w:hint="eastAsia"/>
          <w:b/>
          <w:color w:val="auto"/>
          <w:sz w:val="32"/>
          <w:szCs w:val="32"/>
          <w:highlight w:val="none"/>
          <w:u w:val="single"/>
          <w:lang w:val="en-US"/>
        </w:rPr>
        <w:t xml:space="preserve">     </w:t>
      </w:r>
      <w:r>
        <w:rPr>
          <w:rFonts w:hint="eastAsia"/>
          <w:b/>
          <w:color w:val="auto"/>
          <w:sz w:val="32"/>
          <w:szCs w:val="32"/>
          <w:highlight w:val="none"/>
          <w:lang w:val="en-US"/>
        </w:rPr>
        <w:t>年</w:t>
      </w:r>
      <w:r>
        <w:rPr>
          <w:rFonts w:hint="eastAsia"/>
          <w:b/>
          <w:color w:val="auto"/>
          <w:sz w:val="32"/>
          <w:szCs w:val="32"/>
          <w:highlight w:val="none"/>
          <w:u w:val="single"/>
          <w:lang w:val="en-US"/>
        </w:rPr>
        <w:t xml:space="preserve">    </w:t>
      </w:r>
      <w:r>
        <w:rPr>
          <w:rFonts w:hint="eastAsia"/>
          <w:b/>
          <w:color w:val="auto"/>
          <w:sz w:val="32"/>
          <w:szCs w:val="32"/>
          <w:highlight w:val="none"/>
          <w:lang w:val="en-US"/>
        </w:rPr>
        <w:t>月</w:t>
      </w:r>
      <w:r>
        <w:rPr>
          <w:rFonts w:hint="eastAsia"/>
          <w:b/>
          <w:color w:val="auto"/>
          <w:sz w:val="32"/>
          <w:szCs w:val="32"/>
          <w:highlight w:val="none"/>
          <w:u w:val="single"/>
          <w:lang w:val="en-US"/>
        </w:rPr>
        <w:t xml:space="preserve">    </w:t>
      </w:r>
      <w:r>
        <w:rPr>
          <w:rFonts w:hint="eastAsia"/>
          <w:b/>
          <w:color w:val="auto"/>
          <w:sz w:val="32"/>
          <w:szCs w:val="32"/>
          <w:highlight w:val="none"/>
          <w:lang w:val="en-US"/>
        </w:rPr>
        <w:t>日</w:t>
      </w:r>
    </w:p>
    <w:p>
      <w:pPr>
        <w:widowControl/>
        <w:autoSpaceDE/>
        <w:autoSpaceDN/>
        <w:rPr>
          <w:color w:val="auto"/>
          <w:sz w:val="31"/>
          <w:highlight w:val="none"/>
        </w:rPr>
      </w:pPr>
      <w:r>
        <w:rPr>
          <w:color w:val="auto"/>
          <w:sz w:val="31"/>
          <w:highlight w:val="none"/>
        </w:rPr>
        <w:br w:type="page"/>
      </w:r>
    </w:p>
    <w:p>
      <w:pPr>
        <w:pStyle w:val="5"/>
        <w:bidi w:val="0"/>
        <w:rPr>
          <w:color w:val="auto"/>
          <w:highlight w:val="none"/>
        </w:rPr>
      </w:pPr>
      <w:r>
        <w:rPr>
          <w:rFonts w:hint="eastAsia"/>
          <w:color w:val="auto"/>
          <w:highlight w:val="none"/>
        </w:rPr>
        <w:t>一、法定代表人授权书</w:t>
      </w:r>
    </w:p>
    <w:p>
      <w:pPr>
        <w:spacing w:line="360" w:lineRule="auto"/>
        <w:rPr>
          <w:b/>
          <w:color w:val="auto"/>
          <w:sz w:val="24"/>
          <w:highlight w:val="none"/>
        </w:rPr>
      </w:pPr>
      <w:r>
        <w:rPr>
          <w:rFonts w:hint="eastAsia"/>
          <w:b/>
          <w:color w:val="auto"/>
          <w:sz w:val="24"/>
          <w:highlight w:val="none"/>
          <w:u w:val="single"/>
        </w:rPr>
        <w:t xml:space="preserve">               </w:t>
      </w:r>
      <w:r>
        <w:rPr>
          <w:rFonts w:hint="eastAsia"/>
          <w:b/>
          <w:color w:val="auto"/>
          <w:sz w:val="24"/>
          <w:highlight w:val="none"/>
        </w:rPr>
        <w:t>（采购代理机构名称）：</w:t>
      </w:r>
    </w:p>
    <w:p>
      <w:pPr>
        <w:keepNext w:val="0"/>
        <w:keepLines w:val="0"/>
        <w:pageBreakBefore w:val="0"/>
        <w:widowControl w:val="0"/>
        <w:kinsoku/>
        <w:wordWrap w:val="0"/>
        <w:overflowPunct/>
        <w:topLinePunct w:val="0"/>
        <w:autoSpaceDE w:val="0"/>
        <w:autoSpaceDN w:val="0"/>
        <w:bidi w:val="0"/>
        <w:adjustRightInd/>
        <w:snapToGrid/>
        <w:spacing w:line="360" w:lineRule="auto"/>
        <w:ind w:firstLine="480" w:firstLineChars="200"/>
        <w:textAlignment w:val="auto"/>
        <w:rPr>
          <w:color w:val="auto"/>
          <w:sz w:val="24"/>
          <w:highlight w:val="none"/>
        </w:rPr>
      </w:pPr>
      <w:r>
        <w:rPr>
          <w:rFonts w:hint="eastAsia"/>
          <w:color w:val="auto"/>
          <w:sz w:val="24"/>
          <w:highlight w:val="none"/>
        </w:rPr>
        <w:t>本授权声明：</w:t>
      </w:r>
      <w:r>
        <w:rPr>
          <w:rFonts w:hint="eastAsia"/>
          <w:color w:val="auto"/>
          <w:sz w:val="24"/>
          <w:highlight w:val="none"/>
          <w:u w:val="single"/>
        </w:rPr>
        <w:t xml:space="preserve">                    </w:t>
      </w:r>
      <w:r>
        <w:rPr>
          <w:rFonts w:hint="eastAsia"/>
          <w:color w:val="auto"/>
          <w:sz w:val="24"/>
          <w:highlight w:val="none"/>
        </w:rPr>
        <w:t>（单位名称）,</w:t>
      </w:r>
      <w:r>
        <w:rPr>
          <w:rFonts w:hint="eastAsia"/>
          <w:color w:val="auto"/>
          <w:sz w:val="24"/>
          <w:highlight w:val="none"/>
          <w:u w:val="single"/>
        </w:rPr>
        <w:t xml:space="preserve">                    </w:t>
      </w:r>
      <w:r>
        <w:rPr>
          <w:rFonts w:hint="eastAsia"/>
          <w:color w:val="auto"/>
          <w:sz w:val="24"/>
          <w:highlight w:val="none"/>
        </w:rPr>
        <w:t>（法定代表人姓名、职务）授权</w:t>
      </w:r>
      <w:r>
        <w:rPr>
          <w:rFonts w:hint="eastAsia"/>
          <w:color w:val="auto"/>
          <w:sz w:val="24"/>
          <w:highlight w:val="none"/>
          <w:u w:val="single"/>
        </w:rPr>
        <w:t xml:space="preserve">                    </w:t>
      </w:r>
      <w:r>
        <w:rPr>
          <w:rFonts w:hint="eastAsia"/>
          <w:color w:val="auto"/>
          <w:sz w:val="24"/>
          <w:highlight w:val="none"/>
        </w:rPr>
        <w:t>（被授权人姓名、职务）为我方参加“</w:t>
      </w:r>
      <w:r>
        <w:rPr>
          <w:rFonts w:hint="eastAsia"/>
          <w:color w:val="auto"/>
          <w:sz w:val="24"/>
          <w:highlight w:val="none"/>
          <w:u w:val="single"/>
        </w:rPr>
        <w:t xml:space="preserve">               </w:t>
      </w:r>
      <w:r>
        <w:rPr>
          <w:rFonts w:hint="eastAsia"/>
          <w:color w:val="auto"/>
          <w:sz w:val="24"/>
          <w:highlight w:val="none"/>
        </w:rPr>
        <w:t>”项目（采购编号：</w:t>
      </w:r>
      <w:r>
        <w:rPr>
          <w:rFonts w:hint="eastAsia"/>
          <w:color w:val="auto"/>
          <w:sz w:val="24"/>
          <w:highlight w:val="none"/>
          <w:u w:val="single"/>
        </w:rPr>
        <w:t xml:space="preserve">          </w:t>
      </w:r>
      <w:r>
        <w:rPr>
          <w:rFonts w:hint="eastAsia"/>
          <w:color w:val="auto"/>
          <w:sz w:val="24"/>
          <w:highlight w:val="none"/>
        </w:rPr>
        <w:t>）招标采购活动的合法代表，以我方名义全权处理该项目有关投标、报价、签订合同以及执行合同等一切事宜。</w:t>
      </w:r>
    </w:p>
    <w:p>
      <w:pPr>
        <w:spacing w:line="360" w:lineRule="auto"/>
        <w:ind w:firstLine="480" w:firstLineChars="200"/>
        <w:rPr>
          <w:color w:val="auto"/>
          <w:sz w:val="24"/>
          <w:highlight w:val="none"/>
        </w:rPr>
      </w:pPr>
    </w:p>
    <w:p>
      <w:pPr>
        <w:spacing w:line="360" w:lineRule="auto"/>
        <w:ind w:firstLine="480" w:firstLineChars="200"/>
        <w:rPr>
          <w:color w:val="auto"/>
          <w:sz w:val="24"/>
          <w:highlight w:val="none"/>
        </w:rPr>
      </w:pPr>
      <w:r>
        <w:rPr>
          <w:rFonts w:hint="eastAsia"/>
          <w:color w:val="auto"/>
          <w:sz w:val="24"/>
          <w:highlight w:val="none"/>
        </w:rPr>
        <w:t>特此声明。</w:t>
      </w:r>
    </w:p>
    <w:p>
      <w:pPr>
        <w:spacing w:line="360" w:lineRule="auto"/>
        <w:ind w:firstLine="480" w:firstLineChars="200"/>
        <w:rPr>
          <w:color w:val="auto"/>
          <w:sz w:val="24"/>
          <w:highlight w:val="none"/>
        </w:rPr>
      </w:pPr>
    </w:p>
    <w:p>
      <w:pPr>
        <w:spacing w:line="360" w:lineRule="auto"/>
        <w:ind w:firstLine="480" w:firstLineChars="200"/>
        <w:rPr>
          <w:color w:val="auto"/>
          <w:sz w:val="24"/>
          <w:highlight w:val="none"/>
        </w:rPr>
      </w:pPr>
      <w:r>
        <w:rPr>
          <w:rFonts w:hint="eastAsia"/>
          <w:color w:val="auto"/>
          <w:sz w:val="24"/>
          <w:highlight w:val="none"/>
        </w:rPr>
        <w:t>附：法定代表人身份证正反面复印件</w:t>
      </w:r>
    </w:p>
    <w:p>
      <w:pPr>
        <w:spacing w:line="360" w:lineRule="auto"/>
        <w:ind w:firstLine="480" w:firstLineChars="200"/>
        <w:rPr>
          <w:color w:val="auto"/>
          <w:sz w:val="24"/>
          <w:highlight w:val="none"/>
        </w:rPr>
      </w:pPr>
      <w:r>
        <w:rPr>
          <w:rFonts w:hint="eastAsia"/>
          <w:color w:val="auto"/>
          <w:sz w:val="24"/>
          <w:highlight w:val="none"/>
        </w:rPr>
        <w:t xml:space="preserve">    授权代表身份证正反面复印件</w:t>
      </w:r>
    </w:p>
    <w:p>
      <w:pPr>
        <w:spacing w:line="360" w:lineRule="auto"/>
        <w:ind w:firstLine="480" w:firstLineChars="200"/>
        <w:rPr>
          <w:color w:val="auto"/>
          <w:sz w:val="24"/>
          <w:highlight w:val="none"/>
        </w:rPr>
      </w:pPr>
    </w:p>
    <w:p>
      <w:pPr>
        <w:spacing w:line="420" w:lineRule="auto"/>
        <w:ind w:firstLine="480" w:firstLineChars="200"/>
        <w:rPr>
          <w:color w:val="auto"/>
          <w:sz w:val="24"/>
          <w:highlight w:val="none"/>
        </w:rPr>
      </w:pPr>
      <w:r>
        <w:rPr>
          <w:rFonts w:hint="eastAsia"/>
          <w:color w:val="auto"/>
          <w:sz w:val="24"/>
          <w:highlight w:val="none"/>
        </w:rPr>
        <w:t xml:space="preserve">                         供应商名称：</w:t>
      </w:r>
      <w:r>
        <w:rPr>
          <w:rFonts w:hint="eastAsia"/>
          <w:color w:val="auto"/>
          <w:sz w:val="24"/>
          <w:highlight w:val="none"/>
          <w:u w:val="single"/>
        </w:rPr>
        <w:t xml:space="preserve">                    </w:t>
      </w:r>
      <w:r>
        <w:rPr>
          <w:rFonts w:hint="eastAsia"/>
          <w:color w:val="auto"/>
          <w:sz w:val="24"/>
          <w:highlight w:val="none"/>
        </w:rPr>
        <w:t>（盖单位公章）</w:t>
      </w:r>
    </w:p>
    <w:p>
      <w:pPr>
        <w:spacing w:line="420" w:lineRule="auto"/>
        <w:ind w:firstLine="480" w:firstLineChars="200"/>
        <w:rPr>
          <w:color w:val="auto"/>
          <w:sz w:val="24"/>
          <w:highlight w:val="none"/>
        </w:rPr>
      </w:pPr>
      <w:r>
        <w:rPr>
          <w:rFonts w:hint="eastAsia"/>
          <w:color w:val="auto"/>
          <w:sz w:val="24"/>
          <w:highlight w:val="none"/>
        </w:rPr>
        <w:t xml:space="preserve">                         法定代表人：</w:t>
      </w:r>
      <w:r>
        <w:rPr>
          <w:rFonts w:hint="eastAsia"/>
          <w:color w:val="auto"/>
          <w:sz w:val="24"/>
          <w:highlight w:val="none"/>
          <w:u w:val="single"/>
        </w:rPr>
        <w:t xml:space="preserve">                    </w:t>
      </w:r>
      <w:r>
        <w:rPr>
          <w:rFonts w:hint="eastAsia"/>
          <w:color w:val="auto"/>
          <w:sz w:val="24"/>
          <w:highlight w:val="none"/>
        </w:rPr>
        <w:t>（签字或盖章）</w:t>
      </w:r>
    </w:p>
    <w:p>
      <w:pPr>
        <w:spacing w:line="420" w:lineRule="auto"/>
        <w:ind w:firstLine="480" w:firstLineChars="200"/>
        <w:rPr>
          <w:color w:val="auto"/>
          <w:sz w:val="24"/>
          <w:highlight w:val="none"/>
        </w:rPr>
      </w:pPr>
      <w:r>
        <w:rPr>
          <w:rFonts w:hint="eastAsia"/>
          <w:color w:val="auto"/>
          <w:sz w:val="24"/>
          <w:highlight w:val="none"/>
        </w:rPr>
        <w:t xml:space="preserve">                         授 权 代 表：</w:t>
      </w:r>
      <w:r>
        <w:rPr>
          <w:rFonts w:hint="eastAsia"/>
          <w:color w:val="auto"/>
          <w:sz w:val="24"/>
          <w:highlight w:val="none"/>
          <w:u w:val="single"/>
        </w:rPr>
        <w:t xml:space="preserve">                    </w:t>
      </w:r>
      <w:r>
        <w:rPr>
          <w:rFonts w:hint="eastAsia"/>
          <w:color w:val="auto"/>
          <w:sz w:val="24"/>
          <w:highlight w:val="none"/>
        </w:rPr>
        <w:t>（签字）</w:t>
      </w:r>
    </w:p>
    <w:p>
      <w:pPr>
        <w:spacing w:line="420" w:lineRule="auto"/>
        <w:ind w:firstLine="480" w:firstLineChars="200"/>
        <w:rPr>
          <w:color w:val="auto"/>
          <w:sz w:val="24"/>
          <w:highlight w:val="none"/>
        </w:rPr>
      </w:pPr>
      <w:r>
        <w:rPr>
          <w:rFonts w:hint="eastAsia"/>
          <w:color w:val="auto"/>
          <w:sz w:val="24"/>
          <w:highlight w:val="none"/>
        </w:rPr>
        <w:t xml:space="preserve">                         日      期：</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w:t>
      </w:r>
    </w:p>
    <w:p>
      <w:pPr>
        <w:spacing w:line="360" w:lineRule="auto"/>
        <w:ind w:firstLine="480" w:firstLineChars="200"/>
        <w:rPr>
          <w:color w:val="auto"/>
          <w:sz w:val="24"/>
          <w:highlight w:val="none"/>
        </w:rPr>
      </w:pPr>
    </w:p>
    <w:p>
      <w:pPr>
        <w:spacing w:line="360" w:lineRule="auto"/>
        <w:ind w:firstLine="480" w:firstLineChars="200"/>
        <w:rPr>
          <w:color w:val="auto"/>
          <w:sz w:val="24"/>
          <w:highlight w:val="none"/>
        </w:rPr>
      </w:pPr>
    </w:p>
    <w:p>
      <w:pPr>
        <w:spacing w:line="360" w:lineRule="auto"/>
        <w:ind w:firstLine="480" w:firstLineChars="200"/>
        <w:rPr>
          <w:color w:val="auto"/>
          <w:sz w:val="24"/>
          <w:highlight w:val="none"/>
        </w:rPr>
      </w:pPr>
    </w:p>
    <w:p>
      <w:pPr>
        <w:spacing w:line="360" w:lineRule="auto"/>
        <w:ind w:firstLine="480" w:firstLineChars="200"/>
        <w:rPr>
          <w:color w:val="auto"/>
          <w:sz w:val="24"/>
          <w:highlight w:val="none"/>
        </w:rPr>
      </w:pPr>
    </w:p>
    <w:p>
      <w:pPr>
        <w:spacing w:line="360" w:lineRule="auto"/>
        <w:ind w:firstLine="420" w:firstLineChars="200"/>
        <w:rPr>
          <w:color w:val="auto"/>
          <w:sz w:val="21"/>
          <w:szCs w:val="21"/>
          <w:highlight w:val="none"/>
        </w:rPr>
      </w:pPr>
      <w:r>
        <w:rPr>
          <w:rFonts w:hint="eastAsia"/>
          <w:color w:val="auto"/>
          <w:sz w:val="21"/>
          <w:szCs w:val="21"/>
          <w:highlight w:val="none"/>
        </w:rPr>
        <w:t>注：</w:t>
      </w:r>
    </w:p>
    <w:p>
      <w:pPr>
        <w:spacing w:line="360" w:lineRule="auto"/>
        <w:ind w:firstLine="420" w:firstLineChars="200"/>
        <w:rPr>
          <w:color w:val="auto"/>
          <w:sz w:val="21"/>
          <w:szCs w:val="21"/>
          <w:highlight w:val="none"/>
        </w:rPr>
      </w:pPr>
      <w:r>
        <w:rPr>
          <w:color w:val="auto"/>
          <w:sz w:val="21"/>
          <w:szCs w:val="21"/>
          <w:highlight w:val="none"/>
        </w:rPr>
        <w:t>1</w:t>
      </w:r>
      <w:r>
        <w:rPr>
          <w:rFonts w:hint="eastAsia"/>
          <w:color w:val="auto"/>
          <w:sz w:val="21"/>
          <w:szCs w:val="21"/>
          <w:highlight w:val="none"/>
        </w:rPr>
        <w:t>、供应商为法人单位时提供</w:t>
      </w:r>
      <w:r>
        <w:rPr>
          <w:color w:val="auto"/>
          <w:sz w:val="21"/>
          <w:szCs w:val="21"/>
          <w:highlight w:val="none"/>
        </w:rPr>
        <w:t>“</w:t>
      </w:r>
      <w:r>
        <w:rPr>
          <w:rFonts w:hint="eastAsia"/>
          <w:color w:val="auto"/>
          <w:sz w:val="21"/>
          <w:szCs w:val="21"/>
          <w:highlight w:val="none"/>
        </w:rPr>
        <w:t>法定代表人授权书</w:t>
      </w:r>
      <w:r>
        <w:rPr>
          <w:color w:val="auto"/>
          <w:sz w:val="21"/>
          <w:szCs w:val="21"/>
          <w:highlight w:val="none"/>
        </w:rPr>
        <w:t>”</w:t>
      </w:r>
      <w:r>
        <w:rPr>
          <w:rFonts w:hint="eastAsia"/>
          <w:color w:val="auto"/>
          <w:sz w:val="21"/>
          <w:szCs w:val="21"/>
          <w:highlight w:val="none"/>
        </w:rPr>
        <w:t>，供应商为其他组织时提供</w:t>
      </w:r>
      <w:r>
        <w:rPr>
          <w:color w:val="auto"/>
          <w:sz w:val="21"/>
          <w:szCs w:val="21"/>
          <w:highlight w:val="none"/>
        </w:rPr>
        <w:t>“</w:t>
      </w:r>
      <w:r>
        <w:rPr>
          <w:rFonts w:hint="eastAsia"/>
          <w:color w:val="auto"/>
          <w:sz w:val="21"/>
          <w:szCs w:val="21"/>
          <w:highlight w:val="none"/>
        </w:rPr>
        <w:t>单位负责人授权书</w:t>
      </w:r>
      <w:r>
        <w:rPr>
          <w:color w:val="auto"/>
          <w:sz w:val="21"/>
          <w:szCs w:val="21"/>
          <w:highlight w:val="none"/>
        </w:rPr>
        <w:t>”</w:t>
      </w:r>
      <w:r>
        <w:rPr>
          <w:rFonts w:hint="eastAsia"/>
          <w:color w:val="auto"/>
          <w:sz w:val="21"/>
          <w:szCs w:val="21"/>
          <w:highlight w:val="none"/>
        </w:rPr>
        <w:t>，供应商为自然人时提供</w:t>
      </w:r>
      <w:r>
        <w:rPr>
          <w:color w:val="auto"/>
          <w:sz w:val="21"/>
          <w:szCs w:val="21"/>
          <w:highlight w:val="none"/>
        </w:rPr>
        <w:t>“</w:t>
      </w:r>
      <w:r>
        <w:rPr>
          <w:rFonts w:hint="eastAsia"/>
          <w:color w:val="auto"/>
          <w:sz w:val="21"/>
          <w:szCs w:val="21"/>
          <w:highlight w:val="none"/>
        </w:rPr>
        <w:t>自然人身份证明材料</w:t>
      </w:r>
      <w:r>
        <w:rPr>
          <w:color w:val="auto"/>
          <w:sz w:val="21"/>
          <w:szCs w:val="21"/>
          <w:highlight w:val="none"/>
        </w:rPr>
        <w:t>”</w:t>
      </w:r>
      <w:r>
        <w:rPr>
          <w:rFonts w:hint="eastAsia"/>
          <w:color w:val="auto"/>
          <w:sz w:val="21"/>
          <w:szCs w:val="21"/>
          <w:highlight w:val="none"/>
        </w:rPr>
        <w:t>；法定代表人或单位负责人参与投标的可不提供，但须提供法定代表人身份证明。</w:t>
      </w:r>
    </w:p>
    <w:p>
      <w:pP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、应附法定代表人身份证明材料复印件和授权代表身份证明材料复印件。</w:t>
      </w:r>
    </w:p>
    <w:p>
      <w:pPr>
        <w:spacing w:line="360" w:lineRule="auto"/>
        <w:ind w:firstLine="420" w:firstLineChars="200"/>
        <w:rPr>
          <w:color w:val="auto"/>
          <w:sz w:val="21"/>
          <w:szCs w:val="21"/>
          <w:highlight w:val="none"/>
        </w:rPr>
      </w:pPr>
      <w:r>
        <w:rPr>
          <w:color w:val="auto"/>
          <w:sz w:val="21"/>
          <w:szCs w:val="21"/>
          <w:highlight w:val="none"/>
        </w:rPr>
        <w:t>3</w:t>
      </w:r>
      <w:r>
        <w:rPr>
          <w:rFonts w:hint="eastAsia"/>
          <w:color w:val="auto"/>
          <w:sz w:val="21"/>
          <w:szCs w:val="21"/>
          <w:highlight w:val="none"/>
        </w:rPr>
        <w:t>、身份证明材料应同时提供其在有效期的材料，如居民身份证正、反面复印件。</w:t>
      </w:r>
    </w:p>
    <w:p>
      <w:pPr>
        <w:spacing w:line="360" w:lineRule="auto"/>
        <w:ind w:firstLine="480" w:firstLineChars="200"/>
        <w:rPr>
          <w:color w:val="auto"/>
          <w:sz w:val="24"/>
          <w:highlight w:val="none"/>
        </w:rPr>
      </w:pPr>
    </w:p>
    <w:p>
      <w:pPr>
        <w:spacing w:line="360" w:lineRule="auto"/>
        <w:ind w:firstLine="480" w:firstLineChars="200"/>
        <w:rPr>
          <w:color w:val="auto"/>
          <w:sz w:val="24"/>
          <w:highlight w:val="none"/>
        </w:rPr>
      </w:pPr>
    </w:p>
    <w:p>
      <w:pPr>
        <w:widowControl/>
        <w:autoSpaceDE/>
        <w:autoSpaceDN/>
        <w:rPr>
          <w:color w:val="auto"/>
          <w:sz w:val="24"/>
          <w:highlight w:val="none"/>
        </w:rPr>
      </w:pPr>
      <w:r>
        <w:rPr>
          <w:color w:val="auto"/>
          <w:sz w:val="24"/>
          <w:highlight w:val="none"/>
        </w:rPr>
        <w:br w:type="page"/>
      </w:r>
    </w:p>
    <w:p>
      <w:pPr>
        <w:pStyle w:val="5"/>
        <w:bidi w:val="0"/>
        <w:rPr>
          <w:color w:val="auto"/>
          <w:highlight w:val="none"/>
        </w:rPr>
      </w:pPr>
      <w:r>
        <w:rPr>
          <w:rFonts w:hint="eastAsia"/>
          <w:color w:val="auto"/>
          <w:highlight w:val="none"/>
        </w:rPr>
        <w:t>二、法定代表人身份证明书</w:t>
      </w:r>
    </w:p>
    <w:p>
      <w:pPr>
        <w:pStyle w:val="2"/>
        <w:spacing w:line="480" w:lineRule="auto"/>
        <w:ind w:firstLine="480" w:firstLineChars="200"/>
        <w:rPr>
          <w:color w:val="auto"/>
          <w:highlight w:val="none"/>
          <w:u w:val="single"/>
        </w:rPr>
      </w:pPr>
      <w:r>
        <w:rPr>
          <w:rFonts w:hint="eastAsia"/>
          <w:color w:val="auto"/>
          <w:highlight w:val="none"/>
        </w:rPr>
        <w:t>单位名称：</w:t>
      </w:r>
      <w:r>
        <w:rPr>
          <w:rFonts w:hint="eastAsia"/>
          <w:color w:val="auto"/>
          <w:highlight w:val="none"/>
          <w:u w:val="single"/>
        </w:rPr>
        <w:t xml:space="preserve"> </w:t>
      </w:r>
      <w:r>
        <w:rPr>
          <w:color w:val="auto"/>
          <w:highlight w:val="none"/>
          <w:u w:val="single"/>
        </w:rPr>
        <w:t xml:space="preserve">                                </w:t>
      </w:r>
    </w:p>
    <w:p>
      <w:pPr>
        <w:pStyle w:val="2"/>
        <w:spacing w:line="480" w:lineRule="auto"/>
        <w:ind w:firstLine="480" w:firstLineChars="200"/>
        <w:rPr>
          <w:color w:val="auto"/>
          <w:highlight w:val="none"/>
        </w:rPr>
      </w:pPr>
      <w:r>
        <w:rPr>
          <w:rFonts w:hint="eastAsia"/>
          <w:color w:val="auto"/>
          <w:highlight w:val="none"/>
        </w:rPr>
        <w:t>单位性质：</w:t>
      </w:r>
      <w:r>
        <w:rPr>
          <w:color w:val="auto"/>
          <w:highlight w:val="none"/>
          <w:u w:val="single"/>
        </w:rPr>
        <w:t xml:space="preserve">                                 </w:t>
      </w:r>
    </w:p>
    <w:p>
      <w:pPr>
        <w:pStyle w:val="2"/>
        <w:spacing w:line="480" w:lineRule="auto"/>
        <w:ind w:firstLine="480" w:firstLineChars="200"/>
        <w:rPr>
          <w:color w:val="auto"/>
          <w:highlight w:val="none"/>
        </w:rPr>
      </w:pPr>
      <w:r>
        <w:rPr>
          <w:rFonts w:hint="eastAsia"/>
          <w:color w:val="auto"/>
          <w:highlight w:val="none"/>
        </w:rPr>
        <w:t>地</w:t>
      </w:r>
      <w:r>
        <w:rPr>
          <w:color w:val="auto"/>
          <w:highlight w:val="none"/>
        </w:rPr>
        <w:t xml:space="preserve">    </w:t>
      </w:r>
      <w:r>
        <w:rPr>
          <w:rFonts w:hint="eastAsia"/>
          <w:color w:val="auto"/>
          <w:highlight w:val="none"/>
        </w:rPr>
        <w:t>址：</w:t>
      </w:r>
      <w:r>
        <w:rPr>
          <w:color w:val="auto"/>
          <w:highlight w:val="none"/>
          <w:u w:val="single"/>
        </w:rPr>
        <w:t xml:space="preserve">                                 </w:t>
      </w:r>
    </w:p>
    <w:p>
      <w:pPr>
        <w:pStyle w:val="2"/>
        <w:spacing w:line="480" w:lineRule="auto"/>
        <w:ind w:firstLine="480" w:firstLineChars="200"/>
        <w:rPr>
          <w:color w:val="auto"/>
          <w:highlight w:val="none"/>
        </w:rPr>
      </w:pPr>
      <w:r>
        <w:rPr>
          <w:rFonts w:hint="eastAsia"/>
          <w:color w:val="auto"/>
          <w:highlight w:val="none"/>
        </w:rPr>
        <w:t>成立时间：</w:t>
      </w:r>
      <w:r>
        <w:rPr>
          <w:color w:val="auto"/>
          <w:highlight w:val="none"/>
          <w:u w:val="single"/>
        </w:rPr>
        <w:t xml:space="preserve">      </w:t>
      </w:r>
      <w:r>
        <w:rPr>
          <w:rFonts w:hint="eastAsia"/>
          <w:color w:val="auto"/>
          <w:highlight w:val="none"/>
        </w:rPr>
        <w:t>年</w:t>
      </w:r>
      <w:r>
        <w:rPr>
          <w:color w:val="auto"/>
          <w:highlight w:val="none"/>
          <w:u w:val="single"/>
        </w:rPr>
        <w:t xml:space="preserve">     </w:t>
      </w:r>
      <w:r>
        <w:rPr>
          <w:rFonts w:hint="eastAsia"/>
          <w:color w:val="auto"/>
          <w:highlight w:val="none"/>
        </w:rPr>
        <w:t>月</w:t>
      </w:r>
      <w:r>
        <w:rPr>
          <w:color w:val="auto"/>
          <w:highlight w:val="none"/>
          <w:u w:val="single"/>
        </w:rPr>
        <w:t xml:space="preserve">    </w:t>
      </w:r>
      <w:r>
        <w:rPr>
          <w:color w:val="auto"/>
          <w:highlight w:val="none"/>
        </w:rPr>
        <w:t xml:space="preserve"> </w:t>
      </w:r>
      <w:r>
        <w:rPr>
          <w:rFonts w:hint="eastAsia"/>
          <w:color w:val="auto"/>
          <w:highlight w:val="none"/>
        </w:rPr>
        <w:t>日</w:t>
      </w:r>
    </w:p>
    <w:p>
      <w:pPr>
        <w:pStyle w:val="2"/>
        <w:spacing w:line="480" w:lineRule="auto"/>
        <w:ind w:firstLine="480" w:firstLineChars="200"/>
        <w:rPr>
          <w:color w:val="auto"/>
          <w:highlight w:val="none"/>
          <w:u w:val="single"/>
        </w:rPr>
      </w:pPr>
      <w:r>
        <w:rPr>
          <w:rFonts w:hint="eastAsia"/>
          <w:color w:val="auto"/>
          <w:highlight w:val="none"/>
        </w:rPr>
        <w:t>经营期限：</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p>
    <w:p>
      <w:pPr>
        <w:pStyle w:val="2"/>
        <w:spacing w:line="480" w:lineRule="auto"/>
        <w:ind w:firstLine="480" w:firstLineChars="200"/>
        <w:rPr>
          <w:color w:val="auto"/>
          <w:highlight w:val="none"/>
          <w:u w:val="single"/>
        </w:rPr>
      </w:pPr>
      <w:r>
        <w:rPr>
          <w:rFonts w:hint="eastAsia"/>
          <w:color w:val="auto"/>
          <w:highlight w:val="none"/>
        </w:rPr>
        <w:t>姓</w:t>
      </w:r>
      <w:r>
        <w:rPr>
          <w:color w:val="auto"/>
          <w:highlight w:val="none"/>
        </w:rPr>
        <w:t xml:space="preserve"> </w:t>
      </w:r>
      <w:r>
        <w:rPr>
          <w:rFonts w:hint="eastAsia"/>
          <w:color w:val="auto"/>
          <w:highlight w:val="none"/>
        </w:rPr>
        <w:t>名：</w:t>
      </w:r>
      <w:r>
        <w:rPr>
          <w:color w:val="auto"/>
          <w:highlight w:val="none"/>
          <w:u w:val="single"/>
        </w:rPr>
        <w:t xml:space="preserve">       </w:t>
      </w:r>
      <w:r>
        <w:rPr>
          <w:rFonts w:hint="eastAsia"/>
          <w:color w:val="auto"/>
          <w:highlight w:val="none"/>
        </w:rPr>
        <w:t xml:space="preserve"> 性</w:t>
      </w:r>
      <w:r>
        <w:rPr>
          <w:color w:val="auto"/>
          <w:highlight w:val="none"/>
        </w:rPr>
        <w:t xml:space="preserve"> </w:t>
      </w:r>
      <w:r>
        <w:rPr>
          <w:rFonts w:hint="eastAsia"/>
          <w:color w:val="auto"/>
          <w:highlight w:val="none"/>
        </w:rPr>
        <w:t>别：</w:t>
      </w:r>
      <w:r>
        <w:rPr>
          <w:color w:val="auto"/>
          <w:highlight w:val="none"/>
          <w:u w:val="single"/>
        </w:rPr>
        <w:t xml:space="preserve">      </w:t>
      </w:r>
      <w:r>
        <w:rPr>
          <w:color w:val="auto"/>
          <w:highlight w:val="none"/>
        </w:rPr>
        <w:t xml:space="preserve"> </w:t>
      </w:r>
      <w:r>
        <w:rPr>
          <w:rFonts w:hint="eastAsia"/>
          <w:color w:val="auto"/>
          <w:highlight w:val="none"/>
        </w:rPr>
        <w:t>年</w:t>
      </w:r>
      <w:r>
        <w:rPr>
          <w:color w:val="auto"/>
          <w:highlight w:val="none"/>
        </w:rPr>
        <w:t xml:space="preserve"> </w:t>
      </w:r>
      <w:r>
        <w:rPr>
          <w:rFonts w:hint="eastAsia"/>
          <w:color w:val="auto"/>
          <w:highlight w:val="none"/>
        </w:rPr>
        <w:t>龄：</w:t>
      </w:r>
      <w:r>
        <w:rPr>
          <w:color w:val="auto"/>
          <w:highlight w:val="none"/>
          <w:u w:val="single"/>
        </w:rPr>
        <w:t xml:space="preserve">        </w:t>
      </w:r>
      <w:r>
        <w:rPr>
          <w:rFonts w:hint="eastAsia"/>
          <w:color w:val="auto"/>
          <w:highlight w:val="none"/>
        </w:rPr>
        <w:t xml:space="preserve"> 职</w:t>
      </w:r>
      <w:r>
        <w:rPr>
          <w:color w:val="auto"/>
          <w:highlight w:val="none"/>
        </w:rPr>
        <w:t xml:space="preserve"> </w:t>
      </w:r>
      <w:r>
        <w:rPr>
          <w:rFonts w:hint="eastAsia"/>
          <w:color w:val="auto"/>
          <w:highlight w:val="none"/>
        </w:rPr>
        <w:t>务：</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p>
    <w:p>
      <w:pPr>
        <w:pStyle w:val="2"/>
        <w:spacing w:line="480" w:lineRule="auto"/>
        <w:ind w:firstLine="480" w:firstLineChars="200"/>
        <w:rPr>
          <w:color w:val="auto"/>
          <w:highlight w:val="none"/>
        </w:rPr>
      </w:pPr>
      <w:r>
        <w:rPr>
          <w:rFonts w:hint="eastAsia"/>
          <w:color w:val="auto"/>
          <w:highlight w:val="none"/>
        </w:rPr>
        <w:t>系</w:t>
      </w:r>
      <w:r>
        <w:rPr>
          <w:color w:val="auto"/>
          <w:highlight w:val="none"/>
        </w:rPr>
        <w:t xml:space="preserve"> </w:t>
      </w:r>
      <w:r>
        <w:rPr>
          <w:rFonts w:hint="eastAsia"/>
          <w:color w:val="auto"/>
          <w:highlight w:val="none"/>
          <w:u w:val="single"/>
        </w:rPr>
        <w:t xml:space="preserve">                        </w:t>
      </w:r>
      <w:r>
        <w:rPr>
          <w:color w:val="auto"/>
          <w:highlight w:val="none"/>
        </w:rPr>
        <w:t>(</w:t>
      </w:r>
      <w:r>
        <w:rPr>
          <w:rFonts w:hint="eastAsia"/>
          <w:color w:val="auto"/>
          <w:highlight w:val="none"/>
        </w:rPr>
        <w:t>供应商名称</w:t>
      </w:r>
      <w:r>
        <w:rPr>
          <w:color w:val="auto"/>
          <w:highlight w:val="none"/>
        </w:rPr>
        <w:t>)</w:t>
      </w:r>
      <w:r>
        <w:rPr>
          <w:rFonts w:hint="eastAsia"/>
          <w:color w:val="auto"/>
          <w:highlight w:val="none"/>
        </w:rPr>
        <w:t>的法定代表人。</w:t>
      </w:r>
    </w:p>
    <w:p>
      <w:pPr>
        <w:spacing w:line="480" w:lineRule="auto"/>
        <w:ind w:firstLine="480" w:firstLineChars="200"/>
        <w:rPr>
          <w:color w:val="auto"/>
          <w:sz w:val="24"/>
          <w:highlight w:val="none"/>
        </w:rPr>
      </w:pPr>
    </w:p>
    <w:p>
      <w:pPr>
        <w:spacing w:line="480" w:lineRule="auto"/>
        <w:ind w:firstLine="480" w:firstLineChars="200"/>
        <w:rPr>
          <w:color w:val="auto"/>
          <w:sz w:val="24"/>
          <w:highlight w:val="none"/>
        </w:rPr>
      </w:pPr>
      <w:r>
        <w:rPr>
          <w:rFonts w:hint="eastAsia"/>
          <w:color w:val="auto"/>
          <w:sz w:val="24"/>
          <w:highlight w:val="none"/>
        </w:rPr>
        <w:t>特此证明。</w:t>
      </w:r>
    </w:p>
    <w:p>
      <w:pPr>
        <w:spacing w:line="360" w:lineRule="auto"/>
        <w:ind w:firstLine="480" w:firstLineChars="200"/>
        <w:rPr>
          <w:color w:val="auto"/>
          <w:sz w:val="24"/>
          <w:highlight w:val="none"/>
        </w:rPr>
      </w:pPr>
    </w:p>
    <w:p>
      <w:pPr>
        <w:spacing w:line="480" w:lineRule="auto"/>
        <w:ind w:firstLine="480" w:firstLineChars="200"/>
        <w:rPr>
          <w:color w:val="auto"/>
          <w:sz w:val="24"/>
          <w:highlight w:val="none"/>
        </w:rPr>
      </w:pPr>
      <w:r>
        <w:rPr>
          <w:rFonts w:hint="eastAsia"/>
          <w:color w:val="auto"/>
          <w:sz w:val="24"/>
          <w:highlight w:val="none"/>
        </w:rPr>
        <w:t>附：法定代表人身份证正反面复印件</w:t>
      </w:r>
    </w:p>
    <w:p>
      <w:pPr>
        <w:spacing w:line="360" w:lineRule="auto"/>
        <w:ind w:firstLine="480" w:firstLineChars="200"/>
        <w:rPr>
          <w:color w:val="auto"/>
          <w:sz w:val="24"/>
          <w:highlight w:val="none"/>
        </w:rPr>
      </w:pPr>
    </w:p>
    <w:p>
      <w:pPr>
        <w:spacing w:line="480" w:lineRule="auto"/>
        <w:ind w:firstLine="480" w:firstLineChars="200"/>
        <w:rPr>
          <w:color w:val="auto"/>
          <w:sz w:val="24"/>
          <w:highlight w:val="none"/>
        </w:rPr>
      </w:pPr>
      <w:r>
        <w:rPr>
          <w:rFonts w:hint="eastAsia"/>
          <w:color w:val="auto"/>
          <w:sz w:val="24"/>
          <w:highlight w:val="none"/>
        </w:rPr>
        <w:t xml:space="preserve">                         供应商名称：</w:t>
      </w:r>
      <w:r>
        <w:rPr>
          <w:rFonts w:hint="eastAsia"/>
          <w:color w:val="auto"/>
          <w:sz w:val="24"/>
          <w:highlight w:val="none"/>
          <w:u w:val="single"/>
        </w:rPr>
        <w:t xml:space="preserve">                    </w:t>
      </w:r>
      <w:r>
        <w:rPr>
          <w:rFonts w:hint="eastAsia"/>
          <w:color w:val="auto"/>
          <w:sz w:val="24"/>
          <w:highlight w:val="none"/>
        </w:rPr>
        <w:t>（盖单位公章）</w:t>
      </w:r>
    </w:p>
    <w:p>
      <w:pPr>
        <w:spacing w:line="480" w:lineRule="auto"/>
        <w:ind w:firstLine="480" w:firstLineChars="200"/>
        <w:rPr>
          <w:color w:val="auto"/>
          <w:sz w:val="24"/>
          <w:highlight w:val="none"/>
        </w:rPr>
      </w:pPr>
      <w:r>
        <w:rPr>
          <w:rFonts w:hint="eastAsia"/>
          <w:color w:val="auto"/>
          <w:sz w:val="24"/>
          <w:highlight w:val="none"/>
        </w:rPr>
        <w:t xml:space="preserve">                         日      期：</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w:t>
      </w:r>
    </w:p>
    <w:p>
      <w:pPr>
        <w:spacing w:line="360" w:lineRule="auto"/>
        <w:ind w:firstLine="480" w:firstLineChars="200"/>
        <w:rPr>
          <w:color w:val="auto"/>
          <w:sz w:val="24"/>
          <w:highlight w:val="none"/>
        </w:rPr>
      </w:pPr>
    </w:p>
    <w:p>
      <w:pPr>
        <w:spacing w:line="360" w:lineRule="auto"/>
        <w:ind w:firstLine="480" w:firstLineChars="200"/>
        <w:rPr>
          <w:color w:val="auto"/>
          <w:sz w:val="24"/>
          <w:highlight w:val="none"/>
        </w:rPr>
      </w:pPr>
    </w:p>
    <w:p>
      <w:pPr>
        <w:spacing w:line="360" w:lineRule="auto"/>
        <w:ind w:firstLine="480" w:firstLineChars="200"/>
        <w:rPr>
          <w:color w:val="auto"/>
          <w:sz w:val="24"/>
          <w:highlight w:val="none"/>
        </w:rPr>
      </w:pPr>
    </w:p>
    <w:p>
      <w:pPr>
        <w:spacing w:line="360" w:lineRule="auto"/>
        <w:ind w:firstLine="420" w:firstLineChars="200"/>
        <w:rPr>
          <w:color w:val="auto"/>
          <w:sz w:val="21"/>
          <w:szCs w:val="21"/>
          <w:highlight w:val="none"/>
        </w:rPr>
      </w:pPr>
      <w:r>
        <w:rPr>
          <w:rFonts w:hint="eastAsia"/>
          <w:color w:val="auto"/>
          <w:sz w:val="21"/>
          <w:szCs w:val="21"/>
          <w:highlight w:val="none"/>
        </w:rPr>
        <w:t>注：</w:t>
      </w:r>
    </w:p>
    <w:p>
      <w:pPr>
        <w:spacing w:line="360" w:lineRule="auto"/>
        <w:ind w:firstLine="420" w:firstLineChars="200"/>
        <w:rPr>
          <w:color w:val="auto"/>
          <w:sz w:val="21"/>
          <w:szCs w:val="21"/>
          <w:highlight w:val="none"/>
        </w:rPr>
      </w:pPr>
      <w:r>
        <w:rPr>
          <w:rFonts w:hint="eastAsia"/>
          <w:color w:val="auto"/>
          <w:sz w:val="21"/>
          <w:szCs w:val="21"/>
          <w:highlight w:val="none"/>
        </w:rPr>
        <w:t>供应商为法人单位时提供“法定代表人身份证明书”，供应商为其他组织时提供“单位负责人身份证明书”，供应商为自然人时提供“自然人身份证明材料”。</w:t>
      </w:r>
    </w:p>
    <w:p>
      <w:pPr>
        <w:spacing w:line="360" w:lineRule="auto"/>
        <w:ind w:firstLine="480" w:firstLineChars="200"/>
        <w:rPr>
          <w:color w:val="auto"/>
          <w:sz w:val="24"/>
          <w:highlight w:val="none"/>
        </w:rPr>
      </w:pPr>
    </w:p>
    <w:p>
      <w:pPr>
        <w:spacing w:line="360" w:lineRule="auto"/>
        <w:ind w:firstLine="480" w:firstLineChars="200"/>
        <w:rPr>
          <w:color w:val="auto"/>
          <w:sz w:val="24"/>
          <w:highlight w:val="none"/>
        </w:rPr>
      </w:pPr>
    </w:p>
    <w:p>
      <w:pPr>
        <w:widowControl/>
        <w:autoSpaceDE/>
        <w:autoSpaceDN/>
        <w:rPr>
          <w:color w:val="auto"/>
          <w:highlight w:val="none"/>
        </w:rPr>
      </w:pPr>
      <w:r>
        <w:rPr>
          <w:color w:val="auto"/>
          <w:highlight w:val="none"/>
        </w:rPr>
        <w:br w:type="page"/>
      </w:r>
    </w:p>
    <w:p>
      <w:pPr>
        <w:pStyle w:val="5"/>
        <w:bidi w:val="0"/>
        <w:rPr>
          <w:color w:val="auto"/>
          <w:highlight w:val="none"/>
        </w:rPr>
      </w:pPr>
      <w:r>
        <w:rPr>
          <w:rFonts w:hint="eastAsia"/>
          <w:color w:val="auto"/>
          <w:highlight w:val="none"/>
          <w:lang w:eastAsia="zh-CN"/>
        </w:rPr>
        <w:t>三</w:t>
      </w:r>
      <w:r>
        <w:rPr>
          <w:rFonts w:hint="eastAsia"/>
          <w:color w:val="auto"/>
          <w:highlight w:val="none"/>
        </w:rPr>
        <w:t>、投标人基本情况表</w:t>
      </w:r>
    </w:p>
    <w:tbl>
      <w:tblPr>
        <w:tblStyle w:val="25"/>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568"/>
        <w:gridCol w:w="2421"/>
        <w:gridCol w:w="1618"/>
        <w:gridCol w:w="1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20" w:type="dxa"/>
            <w:noWrap w:val="0"/>
            <w:vAlign w:val="center"/>
          </w:tcPr>
          <w:p>
            <w:pPr>
              <w:jc w:val="center"/>
              <w:rPr>
                <w:rFonts w:hint="eastAsia" w:ascii="宋体" w:hAnsi="宋体" w:cs="Arial"/>
                <w:bCs/>
                <w:color w:val="auto"/>
                <w:szCs w:val="21"/>
                <w:highlight w:val="none"/>
              </w:rPr>
            </w:pPr>
            <w:r>
              <w:rPr>
                <w:rFonts w:hint="eastAsia" w:ascii="宋体" w:hAnsi="宋体" w:cs="Arial"/>
                <w:bCs/>
                <w:color w:val="auto"/>
                <w:szCs w:val="21"/>
                <w:highlight w:val="none"/>
              </w:rPr>
              <w:t>供应商名称</w:t>
            </w:r>
          </w:p>
        </w:tc>
        <w:tc>
          <w:tcPr>
            <w:tcW w:w="7560" w:type="dxa"/>
            <w:gridSpan w:val="4"/>
            <w:noWrap w:val="0"/>
            <w:vAlign w:val="center"/>
          </w:tcPr>
          <w:p>
            <w:pPr>
              <w:jc w:val="center"/>
              <w:rPr>
                <w:rFonts w:hint="eastAsia" w:ascii="宋体" w:hAnsi="宋体" w:cs="Arial"/>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20" w:type="dxa"/>
            <w:noWrap w:val="0"/>
            <w:vAlign w:val="center"/>
          </w:tcPr>
          <w:p>
            <w:pPr>
              <w:jc w:val="center"/>
              <w:rPr>
                <w:rFonts w:hint="eastAsia" w:ascii="宋体" w:hAnsi="宋体" w:cs="Arial"/>
                <w:bCs/>
                <w:color w:val="auto"/>
                <w:szCs w:val="21"/>
                <w:highlight w:val="none"/>
              </w:rPr>
            </w:pPr>
            <w:r>
              <w:rPr>
                <w:rFonts w:hint="eastAsia" w:ascii="宋体" w:hAnsi="宋体" w:cs="Arial"/>
                <w:bCs/>
                <w:color w:val="auto"/>
                <w:szCs w:val="21"/>
                <w:highlight w:val="none"/>
              </w:rPr>
              <w:t>注册地址</w:t>
            </w:r>
          </w:p>
        </w:tc>
        <w:tc>
          <w:tcPr>
            <w:tcW w:w="3989" w:type="dxa"/>
            <w:gridSpan w:val="2"/>
            <w:noWrap w:val="0"/>
            <w:vAlign w:val="center"/>
          </w:tcPr>
          <w:p>
            <w:pPr>
              <w:jc w:val="center"/>
              <w:rPr>
                <w:rFonts w:hint="eastAsia" w:ascii="宋体" w:hAnsi="宋体" w:cs="Arial"/>
                <w:bCs/>
                <w:color w:val="auto"/>
                <w:szCs w:val="21"/>
                <w:highlight w:val="none"/>
              </w:rPr>
            </w:pPr>
          </w:p>
        </w:tc>
        <w:tc>
          <w:tcPr>
            <w:tcW w:w="1618" w:type="dxa"/>
            <w:noWrap w:val="0"/>
            <w:vAlign w:val="center"/>
          </w:tcPr>
          <w:p>
            <w:pPr>
              <w:jc w:val="center"/>
              <w:rPr>
                <w:rFonts w:hint="eastAsia" w:ascii="宋体" w:hAnsi="宋体" w:cs="Arial"/>
                <w:bCs/>
                <w:color w:val="auto"/>
                <w:szCs w:val="21"/>
                <w:highlight w:val="none"/>
              </w:rPr>
            </w:pPr>
            <w:r>
              <w:rPr>
                <w:rFonts w:hint="eastAsia" w:ascii="宋体" w:hAnsi="宋体" w:cs="Arial"/>
                <w:bCs/>
                <w:color w:val="auto"/>
                <w:szCs w:val="21"/>
                <w:highlight w:val="none"/>
              </w:rPr>
              <w:t>邮政编码</w:t>
            </w:r>
          </w:p>
        </w:tc>
        <w:tc>
          <w:tcPr>
            <w:tcW w:w="1953" w:type="dxa"/>
            <w:noWrap w:val="0"/>
            <w:vAlign w:val="center"/>
          </w:tcPr>
          <w:p>
            <w:pPr>
              <w:jc w:val="center"/>
              <w:rPr>
                <w:rFonts w:hint="eastAsia" w:ascii="宋体" w:hAnsi="宋体" w:cs="Arial"/>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20" w:type="dxa"/>
            <w:vMerge w:val="restart"/>
            <w:noWrap w:val="0"/>
            <w:vAlign w:val="center"/>
          </w:tcPr>
          <w:p>
            <w:pPr>
              <w:jc w:val="center"/>
              <w:rPr>
                <w:rFonts w:hint="eastAsia" w:ascii="宋体" w:hAnsi="宋体" w:cs="Arial"/>
                <w:bCs/>
                <w:color w:val="auto"/>
                <w:szCs w:val="21"/>
                <w:highlight w:val="none"/>
              </w:rPr>
            </w:pPr>
            <w:r>
              <w:rPr>
                <w:rFonts w:hint="eastAsia" w:ascii="宋体" w:hAnsi="宋体" w:cs="Arial"/>
                <w:bCs/>
                <w:color w:val="auto"/>
                <w:szCs w:val="21"/>
                <w:highlight w:val="none"/>
              </w:rPr>
              <w:t>联系方式</w:t>
            </w:r>
          </w:p>
        </w:tc>
        <w:tc>
          <w:tcPr>
            <w:tcW w:w="1568" w:type="dxa"/>
            <w:noWrap w:val="0"/>
            <w:vAlign w:val="center"/>
          </w:tcPr>
          <w:p>
            <w:pPr>
              <w:jc w:val="center"/>
              <w:rPr>
                <w:rFonts w:hint="eastAsia" w:ascii="宋体" w:hAnsi="宋体" w:cs="Arial"/>
                <w:bCs/>
                <w:color w:val="auto"/>
                <w:szCs w:val="21"/>
                <w:highlight w:val="none"/>
              </w:rPr>
            </w:pPr>
            <w:r>
              <w:rPr>
                <w:rFonts w:hint="eastAsia" w:ascii="宋体" w:hAnsi="宋体" w:cs="Arial"/>
                <w:bCs/>
                <w:color w:val="auto"/>
                <w:szCs w:val="21"/>
                <w:highlight w:val="none"/>
              </w:rPr>
              <w:t>联系人</w:t>
            </w:r>
          </w:p>
        </w:tc>
        <w:tc>
          <w:tcPr>
            <w:tcW w:w="2421" w:type="dxa"/>
            <w:noWrap w:val="0"/>
            <w:vAlign w:val="center"/>
          </w:tcPr>
          <w:p>
            <w:pPr>
              <w:jc w:val="center"/>
              <w:rPr>
                <w:rFonts w:hint="eastAsia" w:ascii="宋体" w:hAnsi="宋体" w:cs="Arial"/>
                <w:bCs/>
                <w:color w:val="auto"/>
                <w:szCs w:val="21"/>
                <w:highlight w:val="none"/>
              </w:rPr>
            </w:pPr>
          </w:p>
        </w:tc>
        <w:tc>
          <w:tcPr>
            <w:tcW w:w="1618" w:type="dxa"/>
            <w:noWrap w:val="0"/>
            <w:vAlign w:val="center"/>
          </w:tcPr>
          <w:p>
            <w:pPr>
              <w:jc w:val="center"/>
              <w:rPr>
                <w:rFonts w:hint="eastAsia" w:ascii="宋体" w:hAnsi="宋体" w:cs="Arial"/>
                <w:bCs/>
                <w:color w:val="auto"/>
                <w:szCs w:val="21"/>
                <w:highlight w:val="none"/>
              </w:rPr>
            </w:pPr>
            <w:r>
              <w:rPr>
                <w:rFonts w:hint="eastAsia" w:ascii="宋体" w:hAnsi="宋体" w:cs="Arial"/>
                <w:bCs/>
                <w:color w:val="auto"/>
                <w:szCs w:val="21"/>
                <w:highlight w:val="none"/>
              </w:rPr>
              <w:t>联系电话</w:t>
            </w:r>
          </w:p>
        </w:tc>
        <w:tc>
          <w:tcPr>
            <w:tcW w:w="1953" w:type="dxa"/>
            <w:noWrap w:val="0"/>
            <w:vAlign w:val="center"/>
          </w:tcPr>
          <w:p>
            <w:pPr>
              <w:jc w:val="center"/>
              <w:rPr>
                <w:rFonts w:hint="eastAsia" w:ascii="宋体" w:hAnsi="宋体" w:cs="Arial"/>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20" w:type="dxa"/>
            <w:vMerge w:val="continue"/>
            <w:noWrap w:val="0"/>
            <w:vAlign w:val="center"/>
          </w:tcPr>
          <w:p>
            <w:pPr>
              <w:jc w:val="center"/>
              <w:rPr>
                <w:rFonts w:hint="eastAsia" w:ascii="宋体" w:hAnsi="宋体" w:cs="Arial"/>
                <w:bCs/>
                <w:color w:val="auto"/>
                <w:szCs w:val="21"/>
                <w:highlight w:val="none"/>
              </w:rPr>
            </w:pPr>
          </w:p>
        </w:tc>
        <w:tc>
          <w:tcPr>
            <w:tcW w:w="1568" w:type="dxa"/>
            <w:noWrap w:val="0"/>
            <w:vAlign w:val="center"/>
          </w:tcPr>
          <w:p>
            <w:pPr>
              <w:jc w:val="center"/>
              <w:rPr>
                <w:rFonts w:hint="eastAsia" w:ascii="宋体" w:hAnsi="宋体" w:cs="Arial"/>
                <w:bCs/>
                <w:color w:val="auto"/>
                <w:szCs w:val="21"/>
                <w:highlight w:val="none"/>
              </w:rPr>
            </w:pPr>
            <w:r>
              <w:rPr>
                <w:rFonts w:hint="eastAsia" w:ascii="宋体" w:hAnsi="宋体" w:cs="Arial"/>
                <w:bCs/>
                <w:color w:val="auto"/>
                <w:szCs w:val="21"/>
                <w:highlight w:val="none"/>
              </w:rPr>
              <w:t>传真</w:t>
            </w:r>
          </w:p>
        </w:tc>
        <w:tc>
          <w:tcPr>
            <w:tcW w:w="2421" w:type="dxa"/>
            <w:noWrap w:val="0"/>
            <w:vAlign w:val="center"/>
          </w:tcPr>
          <w:p>
            <w:pPr>
              <w:jc w:val="center"/>
              <w:rPr>
                <w:rFonts w:hint="eastAsia" w:ascii="宋体" w:hAnsi="宋体" w:cs="Arial"/>
                <w:bCs/>
                <w:color w:val="auto"/>
                <w:szCs w:val="21"/>
                <w:highlight w:val="none"/>
              </w:rPr>
            </w:pPr>
          </w:p>
        </w:tc>
        <w:tc>
          <w:tcPr>
            <w:tcW w:w="1618" w:type="dxa"/>
            <w:noWrap w:val="0"/>
            <w:vAlign w:val="center"/>
          </w:tcPr>
          <w:p>
            <w:pPr>
              <w:jc w:val="center"/>
              <w:rPr>
                <w:rFonts w:hint="eastAsia" w:ascii="宋体" w:hAnsi="宋体" w:cs="Arial"/>
                <w:bCs/>
                <w:color w:val="auto"/>
                <w:szCs w:val="21"/>
                <w:highlight w:val="none"/>
              </w:rPr>
            </w:pPr>
            <w:r>
              <w:rPr>
                <w:rFonts w:hint="eastAsia" w:ascii="宋体" w:hAnsi="宋体" w:cs="Arial"/>
                <w:bCs/>
                <w:color w:val="auto"/>
                <w:szCs w:val="21"/>
                <w:highlight w:val="none"/>
              </w:rPr>
              <w:t>网址</w:t>
            </w:r>
          </w:p>
        </w:tc>
        <w:tc>
          <w:tcPr>
            <w:tcW w:w="1953" w:type="dxa"/>
            <w:noWrap w:val="0"/>
            <w:vAlign w:val="center"/>
          </w:tcPr>
          <w:p>
            <w:pPr>
              <w:jc w:val="center"/>
              <w:rPr>
                <w:rFonts w:hint="eastAsia" w:ascii="宋体" w:hAnsi="宋体" w:cs="Arial"/>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20" w:type="dxa"/>
            <w:noWrap w:val="0"/>
            <w:vAlign w:val="center"/>
          </w:tcPr>
          <w:p>
            <w:pPr>
              <w:jc w:val="center"/>
              <w:rPr>
                <w:rFonts w:hint="eastAsia" w:ascii="宋体" w:hAnsi="宋体" w:cs="Arial"/>
                <w:bCs/>
                <w:color w:val="auto"/>
                <w:szCs w:val="21"/>
                <w:highlight w:val="none"/>
              </w:rPr>
            </w:pPr>
            <w:r>
              <w:rPr>
                <w:rFonts w:hint="eastAsia" w:ascii="宋体" w:hAnsi="宋体" w:cs="Arial"/>
                <w:bCs/>
                <w:color w:val="auto"/>
                <w:szCs w:val="21"/>
                <w:highlight w:val="none"/>
              </w:rPr>
              <w:t>组织结构</w:t>
            </w:r>
          </w:p>
        </w:tc>
        <w:tc>
          <w:tcPr>
            <w:tcW w:w="7560" w:type="dxa"/>
            <w:gridSpan w:val="4"/>
            <w:noWrap w:val="0"/>
            <w:vAlign w:val="center"/>
          </w:tcPr>
          <w:p>
            <w:pPr>
              <w:jc w:val="center"/>
              <w:rPr>
                <w:rFonts w:hint="eastAsia" w:ascii="宋体" w:hAnsi="宋体" w:cs="Arial"/>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20" w:type="dxa"/>
            <w:noWrap w:val="0"/>
            <w:vAlign w:val="center"/>
          </w:tcPr>
          <w:p>
            <w:pPr>
              <w:jc w:val="center"/>
              <w:rPr>
                <w:rFonts w:hint="eastAsia" w:ascii="宋体" w:hAnsi="宋体" w:cs="Arial"/>
                <w:bCs/>
                <w:color w:val="auto"/>
                <w:szCs w:val="21"/>
                <w:highlight w:val="none"/>
              </w:rPr>
            </w:pPr>
            <w:r>
              <w:rPr>
                <w:rFonts w:hint="eastAsia" w:ascii="宋体" w:hAnsi="宋体" w:cs="Arial"/>
                <w:bCs/>
                <w:color w:val="auto"/>
                <w:szCs w:val="21"/>
                <w:highlight w:val="none"/>
              </w:rPr>
              <w:t>法定代表人</w:t>
            </w:r>
          </w:p>
        </w:tc>
        <w:tc>
          <w:tcPr>
            <w:tcW w:w="1568" w:type="dxa"/>
            <w:noWrap w:val="0"/>
            <w:vAlign w:val="center"/>
          </w:tcPr>
          <w:p>
            <w:pPr>
              <w:jc w:val="center"/>
              <w:rPr>
                <w:rFonts w:hint="eastAsia" w:ascii="宋体" w:hAnsi="宋体" w:cs="Arial"/>
                <w:bCs/>
                <w:color w:val="auto"/>
                <w:szCs w:val="21"/>
                <w:highlight w:val="none"/>
              </w:rPr>
            </w:pPr>
            <w:r>
              <w:rPr>
                <w:rFonts w:hint="eastAsia" w:ascii="宋体" w:hAnsi="宋体" w:cs="Arial"/>
                <w:bCs/>
                <w:color w:val="auto"/>
                <w:szCs w:val="21"/>
                <w:highlight w:val="none"/>
              </w:rPr>
              <w:t>姓名</w:t>
            </w:r>
          </w:p>
        </w:tc>
        <w:tc>
          <w:tcPr>
            <w:tcW w:w="2421" w:type="dxa"/>
            <w:noWrap w:val="0"/>
            <w:vAlign w:val="center"/>
          </w:tcPr>
          <w:p>
            <w:pPr>
              <w:jc w:val="center"/>
              <w:rPr>
                <w:rFonts w:hint="eastAsia" w:ascii="宋体" w:hAnsi="宋体" w:cs="Arial"/>
                <w:bCs/>
                <w:color w:val="auto"/>
                <w:szCs w:val="21"/>
                <w:highlight w:val="none"/>
              </w:rPr>
            </w:pPr>
          </w:p>
        </w:tc>
        <w:tc>
          <w:tcPr>
            <w:tcW w:w="1618" w:type="dxa"/>
            <w:noWrap w:val="0"/>
            <w:vAlign w:val="center"/>
          </w:tcPr>
          <w:p>
            <w:pPr>
              <w:jc w:val="center"/>
              <w:rPr>
                <w:rFonts w:hint="eastAsia" w:ascii="宋体" w:hAnsi="宋体" w:cs="Arial"/>
                <w:bCs/>
                <w:color w:val="auto"/>
                <w:szCs w:val="21"/>
                <w:highlight w:val="none"/>
              </w:rPr>
            </w:pPr>
            <w:r>
              <w:rPr>
                <w:rFonts w:hint="eastAsia" w:ascii="宋体" w:hAnsi="宋体" w:cs="Arial"/>
                <w:bCs/>
                <w:color w:val="auto"/>
                <w:szCs w:val="21"/>
                <w:highlight w:val="none"/>
              </w:rPr>
              <w:t>联系电话</w:t>
            </w:r>
          </w:p>
        </w:tc>
        <w:tc>
          <w:tcPr>
            <w:tcW w:w="1953" w:type="dxa"/>
            <w:noWrap w:val="0"/>
            <w:vAlign w:val="center"/>
          </w:tcPr>
          <w:p>
            <w:pPr>
              <w:jc w:val="center"/>
              <w:rPr>
                <w:rFonts w:hint="eastAsia" w:ascii="宋体" w:hAnsi="宋体" w:cs="Arial"/>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20" w:type="dxa"/>
            <w:noWrap w:val="0"/>
            <w:vAlign w:val="center"/>
          </w:tcPr>
          <w:p>
            <w:pPr>
              <w:jc w:val="center"/>
              <w:rPr>
                <w:rFonts w:hint="eastAsia" w:ascii="宋体" w:hAnsi="宋体" w:cs="Arial"/>
                <w:bCs/>
                <w:color w:val="auto"/>
                <w:szCs w:val="21"/>
                <w:highlight w:val="none"/>
              </w:rPr>
            </w:pPr>
            <w:r>
              <w:rPr>
                <w:rFonts w:hint="eastAsia" w:ascii="宋体" w:hAnsi="宋体" w:cs="Arial"/>
                <w:bCs/>
                <w:color w:val="auto"/>
                <w:szCs w:val="21"/>
                <w:highlight w:val="none"/>
              </w:rPr>
              <w:t>技术负责人</w:t>
            </w:r>
          </w:p>
        </w:tc>
        <w:tc>
          <w:tcPr>
            <w:tcW w:w="1568" w:type="dxa"/>
            <w:noWrap w:val="0"/>
            <w:vAlign w:val="center"/>
          </w:tcPr>
          <w:p>
            <w:pPr>
              <w:jc w:val="center"/>
              <w:rPr>
                <w:rFonts w:hint="eastAsia" w:ascii="宋体" w:hAnsi="宋体" w:cs="Arial"/>
                <w:bCs/>
                <w:color w:val="auto"/>
                <w:szCs w:val="21"/>
                <w:highlight w:val="none"/>
              </w:rPr>
            </w:pPr>
            <w:r>
              <w:rPr>
                <w:rFonts w:hint="eastAsia" w:ascii="宋体" w:hAnsi="宋体" w:cs="Arial"/>
                <w:bCs/>
                <w:color w:val="auto"/>
                <w:szCs w:val="21"/>
                <w:highlight w:val="none"/>
              </w:rPr>
              <w:t>姓名</w:t>
            </w:r>
          </w:p>
        </w:tc>
        <w:tc>
          <w:tcPr>
            <w:tcW w:w="2421" w:type="dxa"/>
            <w:noWrap w:val="0"/>
            <w:vAlign w:val="center"/>
          </w:tcPr>
          <w:p>
            <w:pPr>
              <w:jc w:val="center"/>
              <w:rPr>
                <w:rFonts w:hint="eastAsia" w:ascii="宋体" w:hAnsi="宋体" w:cs="Arial"/>
                <w:bCs/>
                <w:color w:val="auto"/>
                <w:szCs w:val="21"/>
                <w:highlight w:val="none"/>
              </w:rPr>
            </w:pPr>
          </w:p>
        </w:tc>
        <w:tc>
          <w:tcPr>
            <w:tcW w:w="1618" w:type="dxa"/>
            <w:noWrap w:val="0"/>
            <w:vAlign w:val="center"/>
          </w:tcPr>
          <w:p>
            <w:pPr>
              <w:jc w:val="center"/>
              <w:rPr>
                <w:rFonts w:hint="eastAsia" w:ascii="宋体" w:hAnsi="宋体" w:cs="Arial"/>
                <w:bCs/>
                <w:color w:val="auto"/>
                <w:szCs w:val="21"/>
                <w:highlight w:val="none"/>
              </w:rPr>
            </w:pPr>
            <w:r>
              <w:rPr>
                <w:rFonts w:hint="eastAsia" w:ascii="宋体" w:hAnsi="宋体" w:cs="Arial"/>
                <w:bCs/>
                <w:color w:val="auto"/>
                <w:szCs w:val="21"/>
                <w:highlight w:val="none"/>
              </w:rPr>
              <w:t>联系电话</w:t>
            </w:r>
          </w:p>
        </w:tc>
        <w:tc>
          <w:tcPr>
            <w:tcW w:w="1953" w:type="dxa"/>
            <w:noWrap w:val="0"/>
            <w:vAlign w:val="center"/>
          </w:tcPr>
          <w:p>
            <w:pPr>
              <w:jc w:val="center"/>
              <w:rPr>
                <w:rFonts w:hint="eastAsia" w:ascii="宋体" w:hAnsi="宋体" w:cs="Arial"/>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20" w:type="dxa"/>
            <w:noWrap w:val="0"/>
            <w:vAlign w:val="center"/>
          </w:tcPr>
          <w:p>
            <w:pPr>
              <w:jc w:val="center"/>
              <w:rPr>
                <w:rFonts w:hint="eastAsia" w:ascii="宋体" w:hAnsi="宋体" w:cs="Arial"/>
                <w:bCs/>
                <w:color w:val="auto"/>
                <w:szCs w:val="21"/>
                <w:highlight w:val="none"/>
              </w:rPr>
            </w:pPr>
            <w:r>
              <w:rPr>
                <w:rFonts w:hint="eastAsia" w:ascii="宋体" w:hAnsi="宋体" w:cs="Arial"/>
                <w:bCs/>
                <w:color w:val="auto"/>
                <w:szCs w:val="21"/>
                <w:highlight w:val="none"/>
              </w:rPr>
              <w:t>成立时间</w:t>
            </w:r>
          </w:p>
        </w:tc>
        <w:tc>
          <w:tcPr>
            <w:tcW w:w="3989" w:type="dxa"/>
            <w:gridSpan w:val="2"/>
            <w:noWrap w:val="0"/>
            <w:vAlign w:val="center"/>
          </w:tcPr>
          <w:p>
            <w:pPr>
              <w:jc w:val="center"/>
              <w:rPr>
                <w:rFonts w:hint="eastAsia" w:ascii="宋体" w:hAnsi="宋体" w:cs="Arial"/>
                <w:bCs/>
                <w:color w:val="auto"/>
                <w:szCs w:val="21"/>
                <w:highlight w:val="none"/>
              </w:rPr>
            </w:pPr>
          </w:p>
        </w:tc>
        <w:tc>
          <w:tcPr>
            <w:tcW w:w="1618" w:type="dxa"/>
            <w:noWrap w:val="0"/>
            <w:vAlign w:val="center"/>
          </w:tcPr>
          <w:p>
            <w:pPr>
              <w:ind w:left="0" w:leftChars="0" w:right="0" w:rightChars="0" w:firstLine="0" w:firstLineChars="0"/>
              <w:jc w:val="center"/>
              <w:rPr>
                <w:rFonts w:hint="eastAsia" w:ascii="宋体" w:hAnsi="宋体" w:cs="Arial"/>
                <w:bCs/>
                <w:color w:val="auto"/>
                <w:szCs w:val="21"/>
                <w:highlight w:val="none"/>
              </w:rPr>
            </w:pPr>
            <w:r>
              <w:rPr>
                <w:rFonts w:hint="eastAsia" w:ascii="宋体" w:hAnsi="宋体" w:cs="Arial"/>
                <w:bCs/>
                <w:color w:val="auto"/>
                <w:szCs w:val="21"/>
                <w:highlight w:val="none"/>
              </w:rPr>
              <w:t>员工人数</w:t>
            </w:r>
          </w:p>
        </w:tc>
        <w:tc>
          <w:tcPr>
            <w:tcW w:w="1953" w:type="dxa"/>
            <w:noWrap w:val="0"/>
            <w:vAlign w:val="center"/>
          </w:tcPr>
          <w:p>
            <w:pPr>
              <w:jc w:val="both"/>
              <w:rPr>
                <w:rFonts w:hint="eastAsia" w:ascii="宋体" w:hAnsi="宋体" w:cs="Arial"/>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20" w:type="dxa"/>
            <w:noWrap w:val="0"/>
            <w:vAlign w:val="center"/>
          </w:tcPr>
          <w:p>
            <w:pPr>
              <w:jc w:val="center"/>
              <w:rPr>
                <w:rFonts w:hint="eastAsia" w:ascii="宋体" w:hAnsi="宋体" w:cs="Arial"/>
                <w:bCs/>
                <w:color w:val="auto"/>
                <w:szCs w:val="21"/>
                <w:highlight w:val="none"/>
              </w:rPr>
            </w:pPr>
            <w:r>
              <w:rPr>
                <w:rFonts w:hint="eastAsia" w:ascii="宋体" w:hAnsi="宋体" w:cs="Arial"/>
                <w:bCs/>
                <w:color w:val="auto"/>
                <w:szCs w:val="21"/>
                <w:highlight w:val="none"/>
              </w:rPr>
              <w:t>企业资质</w:t>
            </w:r>
          </w:p>
        </w:tc>
        <w:tc>
          <w:tcPr>
            <w:tcW w:w="7560" w:type="dxa"/>
            <w:gridSpan w:val="4"/>
            <w:noWrap w:val="0"/>
            <w:vAlign w:val="center"/>
          </w:tcPr>
          <w:p>
            <w:pPr>
              <w:jc w:val="center"/>
              <w:rPr>
                <w:rFonts w:hint="eastAsia" w:ascii="宋体" w:hAnsi="宋体" w:cs="Arial"/>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20" w:type="dxa"/>
            <w:noWrap w:val="0"/>
            <w:vAlign w:val="center"/>
          </w:tcPr>
          <w:p>
            <w:pPr>
              <w:jc w:val="center"/>
              <w:rPr>
                <w:rFonts w:hint="eastAsia" w:ascii="宋体" w:hAnsi="宋体" w:cs="Arial"/>
                <w:bCs/>
                <w:color w:val="auto"/>
                <w:szCs w:val="21"/>
                <w:highlight w:val="none"/>
              </w:rPr>
            </w:pPr>
            <w:r>
              <w:rPr>
                <w:rFonts w:hint="eastAsia" w:ascii="宋体" w:hAnsi="宋体" w:cs="Arial"/>
                <w:bCs/>
                <w:color w:val="auto"/>
                <w:szCs w:val="21"/>
                <w:highlight w:val="none"/>
              </w:rPr>
              <w:t>营业执照</w:t>
            </w:r>
            <w:r>
              <w:rPr>
                <w:rFonts w:hint="eastAsia"/>
                <w:color w:val="auto"/>
                <w:highlight w:val="none"/>
              </w:rPr>
              <w:t>号</w:t>
            </w:r>
          </w:p>
        </w:tc>
        <w:tc>
          <w:tcPr>
            <w:tcW w:w="7560" w:type="dxa"/>
            <w:gridSpan w:val="4"/>
            <w:noWrap w:val="0"/>
            <w:vAlign w:val="center"/>
          </w:tcPr>
          <w:p>
            <w:pPr>
              <w:jc w:val="center"/>
              <w:rPr>
                <w:rFonts w:hint="eastAsia" w:ascii="宋体" w:hAnsi="宋体" w:cs="Arial"/>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20" w:type="dxa"/>
            <w:noWrap w:val="0"/>
            <w:vAlign w:val="center"/>
          </w:tcPr>
          <w:p>
            <w:pPr>
              <w:jc w:val="center"/>
              <w:rPr>
                <w:rFonts w:hint="eastAsia" w:ascii="宋体" w:hAnsi="宋体" w:cs="Arial"/>
                <w:bCs/>
                <w:color w:val="auto"/>
                <w:szCs w:val="21"/>
                <w:highlight w:val="none"/>
              </w:rPr>
            </w:pPr>
            <w:r>
              <w:rPr>
                <w:rFonts w:hint="eastAsia" w:ascii="宋体" w:hAnsi="宋体" w:cs="Arial"/>
                <w:bCs/>
                <w:color w:val="auto"/>
                <w:szCs w:val="21"/>
                <w:highlight w:val="none"/>
              </w:rPr>
              <w:t>注册资金</w:t>
            </w:r>
          </w:p>
        </w:tc>
        <w:tc>
          <w:tcPr>
            <w:tcW w:w="7560" w:type="dxa"/>
            <w:gridSpan w:val="4"/>
            <w:noWrap w:val="0"/>
            <w:vAlign w:val="center"/>
          </w:tcPr>
          <w:p>
            <w:pPr>
              <w:jc w:val="center"/>
              <w:rPr>
                <w:rFonts w:hint="eastAsia" w:ascii="宋体" w:hAnsi="宋体" w:cs="Arial"/>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20" w:type="dxa"/>
            <w:noWrap w:val="0"/>
            <w:vAlign w:val="center"/>
          </w:tcPr>
          <w:p>
            <w:pPr>
              <w:jc w:val="center"/>
              <w:rPr>
                <w:rFonts w:hint="eastAsia" w:ascii="宋体" w:hAnsi="宋体" w:cs="Arial"/>
                <w:bCs/>
                <w:color w:val="auto"/>
                <w:szCs w:val="21"/>
                <w:highlight w:val="none"/>
              </w:rPr>
            </w:pPr>
            <w:r>
              <w:rPr>
                <w:rFonts w:hint="eastAsia" w:ascii="宋体" w:hAnsi="宋体" w:cs="Arial"/>
                <w:bCs/>
                <w:color w:val="auto"/>
                <w:szCs w:val="21"/>
                <w:highlight w:val="none"/>
              </w:rPr>
              <w:t>开户银行</w:t>
            </w:r>
          </w:p>
        </w:tc>
        <w:tc>
          <w:tcPr>
            <w:tcW w:w="7560" w:type="dxa"/>
            <w:gridSpan w:val="4"/>
            <w:noWrap w:val="0"/>
            <w:vAlign w:val="center"/>
          </w:tcPr>
          <w:p>
            <w:pPr>
              <w:jc w:val="center"/>
              <w:rPr>
                <w:rFonts w:hint="eastAsia" w:ascii="宋体" w:hAnsi="宋体" w:cs="Arial"/>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20" w:type="dxa"/>
            <w:noWrap w:val="0"/>
            <w:vAlign w:val="center"/>
          </w:tcPr>
          <w:p>
            <w:pPr>
              <w:jc w:val="center"/>
              <w:rPr>
                <w:rFonts w:hint="eastAsia" w:ascii="宋体" w:hAnsi="宋体" w:cs="Arial"/>
                <w:bCs/>
                <w:color w:val="auto"/>
                <w:szCs w:val="21"/>
                <w:highlight w:val="none"/>
              </w:rPr>
            </w:pPr>
            <w:r>
              <w:rPr>
                <w:rFonts w:hint="eastAsia" w:ascii="宋体" w:hAnsi="宋体" w:cs="Arial"/>
                <w:bCs/>
                <w:color w:val="auto"/>
                <w:szCs w:val="21"/>
                <w:highlight w:val="none"/>
              </w:rPr>
              <w:t>账号</w:t>
            </w:r>
          </w:p>
        </w:tc>
        <w:tc>
          <w:tcPr>
            <w:tcW w:w="7560" w:type="dxa"/>
            <w:gridSpan w:val="4"/>
            <w:noWrap w:val="0"/>
            <w:vAlign w:val="center"/>
          </w:tcPr>
          <w:p>
            <w:pPr>
              <w:jc w:val="center"/>
              <w:rPr>
                <w:rFonts w:hint="eastAsia" w:ascii="宋体" w:hAnsi="宋体" w:cs="Arial"/>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noWrap w:val="0"/>
            <w:vAlign w:val="center"/>
          </w:tcPr>
          <w:p>
            <w:pPr>
              <w:jc w:val="center"/>
              <w:rPr>
                <w:rFonts w:hint="eastAsia" w:ascii="宋体" w:hAnsi="宋体" w:cs="Arial"/>
                <w:bCs/>
                <w:color w:val="auto"/>
                <w:szCs w:val="21"/>
                <w:highlight w:val="none"/>
              </w:rPr>
            </w:pPr>
            <w:r>
              <w:rPr>
                <w:rFonts w:hint="eastAsia" w:ascii="宋体" w:hAnsi="宋体" w:cs="Arial"/>
                <w:bCs/>
                <w:color w:val="auto"/>
                <w:szCs w:val="21"/>
                <w:highlight w:val="none"/>
              </w:rPr>
              <w:t>经营范围</w:t>
            </w:r>
          </w:p>
        </w:tc>
        <w:tc>
          <w:tcPr>
            <w:tcW w:w="7560" w:type="dxa"/>
            <w:gridSpan w:val="4"/>
            <w:noWrap w:val="0"/>
            <w:vAlign w:val="center"/>
          </w:tcPr>
          <w:p>
            <w:pPr>
              <w:jc w:val="center"/>
              <w:rPr>
                <w:rFonts w:hint="eastAsia" w:ascii="宋体" w:hAnsi="宋体" w:cs="Arial"/>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noWrap w:val="0"/>
            <w:vAlign w:val="center"/>
          </w:tcPr>
          <w:p>
            <w:pPr>
              <w:jc w:val="center"/>
              <w:rPr>
                <w:rFonts w:hint="eastAsia" w:ascii="宋体" w:hAnsi="宋体" w:cs="Arial"/>
                <w:bCs/>
                <w:color w:val="auto"/>
                <w:szCs w:val="21"/>
                <w:highlight w:val="none"/>
              </w:rPr>
            </w:pPr>
            <w:r>
              <w:rPr>
                <w:rFonts w:hint="eastAsia" w:ascii="宋体" w:hAnsi="宋体" w:cs="Arial"/>
                <w:bCs/>
                <w:color w:val="auto"/>
                <w:szCs w:val="21"/>
                <w:highlight w:val="none"/>
              </w:rPr>
              <w:t>备注</w:t>
            </w:r>
          </w:p>
        </w:tc>
        <w:tc>
          <w:tcPr>
            <w:tcW w:w="7560" w:type="dxa"/>
            <w:gridSpan w:val="4"/>
            <w:noWrap w:val="0"/>
            <w:vAlign w:val="center"/>
          </w:tcPr>
          <w:p>
            <w:pPr>
              <w:jc w:val="center"/>
              <w:rPr>
                <w:rFonts w:hint="eastAsia" w:ascii="宋体" w:hAnsi="宋体" w:cs="Arial"/>
                <w:bCs/>
                <w:color w:val="auto"/>
                <w:szCs w:val="21"/>
                <w:highlight w:val="none"/>
              </w:rPr>
            </w:pPr>
          </w:p>
        </w:tc>
      </w:tr>
    </w:tbl>
    <w:p>
      <w:pPr>
        <w:pStyle w:val="2"/>
        <w:spacing w:line="360" w:lineRule="auto"/>
        <w:ind w:firstLine="480" w:firstLineChars="200"/>
        <w:jc w:val="both"/>
        <w:rPr>
          <w:bCs/>
          <w:color w:val="auto"/>
          <w:highlight w:val="none"/>
        </w:rPr>
      </w:pPr>
    </w:p>
    <w:p>
      <w:pPr>
        <w:spacing w:line="480" w:lineRule="auto"/>
        <w:ind w:firstLine="480" w:firstLineChars="200"/>
        <w:rPr>
          <w:color w:val="auto"/>
          <w:sz w:val="24"/>
          <w:highlight w:val="none"/>
        </w:rPr>
      </w:pPr>
      <w:r>
        <w:rPr>
          <w:rFonts w:hint="eastAsia"/>
          <w:color w:val="auto"/>
          <w:sz w:val="24"/>
          <w:highlight w:val="none"/>
        </w:rPr>
        <w:t xml:space="preserve">                  供应商名称：</w:t>
      </w:r>
      <w:r>
        <w:rPr>
          <w:rFonts w:hint="eastAsia"/>
          <w:color w:val="auto"/>
          <w:sz w:val="24"/>
          <w:highlight w:val="none"/>
          <w:u w:val="single"/>
        </w:rPr>
        <w:t xml:space="preserve">                             </w:t>
      </w:r>
      <w:r>
        <w:rPr>
          <w:rFonts w:hint="eastAsia"/>
          <w:color w:val="auto"/>
          <w:sz w:val="24"/>
          <w:highlight w:val="none"/>
        </w:rPr>
        <w:t>（盖单位公章）</w:t>
      </w:r>
    </w:p>
    <w:p>
      <w:pPr>
        <w:spacing w:line="480" w:lineRule="auto"/>
        <w:ind w:firstLine="480" w:firstLineChars="200"/>
        <w:rPr>
          <w:color w:val="auto"/>
          <w:sz w:val="24"/>
          <w:highlight w:val="none"/>
        </w:rPr>
      </w:pPr>
      <w:r>
        <w:rPr>
          <w:rFonts w:hint="eastAsia"/>
          <w:color w:val="auto"/>
          <w:sz w:val="24"/>
          <w:highlight w:val="none"/>
        </w:rPr>
        <w:t xml:space="preserve">                  法定代表人或授权代表：</w:t>
      </w:r>
      <w:r>
        <w:rPr>
          <w:rFonts w:hint="eastAsia"/>
          <w:color w:val="auto"/>
          <w:sz w:val="24"/>
          <w:highlight w:val="none"/>
          <w:u w:val="single"/>
        </w:rPr>
        <w:t xml:space="preserve">                   </w:t>
      </w:r>
      <w:r>
        <w:rPr>
          <w:rFonts w:hint="eastAsia"/>
          <w:color w:val="auto"/>
          <w:sz w:val="24"/>
          <w:highlight w:val="none"/>
        </w:rPr>
        <w:t>（签字）</w:t>
      </w:r>
    </w:p>
    <w:p>
      <w:pPr>
        <w:pStyle w:val="2"/>
        <w:spacing w:line="360" w:lineRule="auto"/>
        <w:ind w:firstLine="480" w:firstLineChars="200"/>
        <w:jc w:val="both"/>
        <w:rPr>
          <w:bCs/>
          <w:color w:val="auto"/>
          <w:highlight w:val="none"/>
        </w:rPr>
      </w:pPr>
      <w:r>
        <w:rPr>
          <w:rFonts w:hint="eastAsia"/>
          <w:color w:val="auto"/>
          <w:highlight w:val="none"/>
        </w:rPr>
        <w:t xml:space="preserve">                  日      期：</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pPr>
        <w:widowControl/>
        <w:autoSpaceDE/>
        <w:autoSpaceDN/>
        <w:rPr>
          <w:color w:val="auto"/>
          <w:sz w:val="24"/>
          <w:szCs w:val="24"/>
          <w:highlight w:val="none"/>
        </w:rPr>
      </w:pPr>
      <w:r>
        <w:rPr>
          <w:color w:val="auto"/>
          <w:highlight w:val="none"/>
        </w:rPr>
        <w:br w:type="page"/>
      </w:r>
    </w:p>
    <w:p>
      <w:pPr>
        <w:pStyle w:val="5"/>
        <w:bidi w:val="0"/>
        <w:rPr>
          <w:color w:val="auto"/>
          <w:highlight w:val="none"/>
        </w:rPr>
      </w:pPr>
      <w:r>
        <w:rPr>
          <w:rFonts w:hint="eastAsia"/>
          <w:color w:val="auto"/>
          <w:highlight w:val="none"/>
          <w:lang w:eastAsia="zh-CN"/>
        </w:rPr>
        <w:t>四</w:t>
      </w:r>
      <w:r>
        <w:rPr>
          <w:rFonts w:hint="eastAsia"/>
          <w:color w:val="auto"/>
          <w:highlight w:val="none"/>
        </w:rPr>
        <w:t>、承诺函</w:t>
      </w:r>
    </w:p>
    <w:p>
      <w:pPr>
        <w:spacing w:line="360" w:lineRule="auto"/>
        <w:rPr>
          <w:b w:val="0"/>
          <w:bCs/>
          <w:color w:val="auto"/>
          <w:sz w:val="24"/>
          <w:highlight w:val="none"/>
        </w:rPr>
      </w:pPr>
      <w:r>
        <w:rPr>
          <w:rFonts w:hint="eastAsia"/>
          <w:b w:val="0"/>
          <w:bCs/>
          <w:color w:val="auto"/>
          <w:sz w:val="24"/>
          <w:highlight w:val="none"/>
          <w:u w:val="single"/>
        </w:rPr>
        <w:t xml:space="preserve">               </w:t>
      </w:r>
      <w:r>
        <w:rPr>
          <w:rFonts w:hint="eastAsia"/>
          <w:b w:val="0"/>
          <w:bCs/>
          <w:color w:val="auto"/>
          <w:sz w:val="24"/>
          <w:highlight w:val="none"/>
        </w:rPr>
        <w:t>（采购代理机构名称）：</w:t>
      </w:r>
    </w:p>
    <w:p>
      <w:pPr>
        <w:pStyle w:val="2"/>
        <w:spacing w:line="440" w:lineRule="exact"/>
        <w:ind w:firstLine="480" w:firstLineChars="200"/>
        <w:jc w:val="both"/>
        <w:rPr>
          <w:color w:val="auto"/>
          <w:highlight w:val="none"/>
        </w:rPr>
      </w:pPr>
      <w:r>
        <w:rPr>
          <w:rFonts w:hint="eastAsia"/>
          <w:color w:val="auto"/>
          <w:highlight w:val="none"/>
        </w:rPr>
        <w:t>我单位作为本次采购项目的投标人，根据招标文件要求，现郑重承诺下：</w:t>
      </w:r>
    </w:p>
    <w:p>
      <w:pPr>
        <w:pStyle w:val="2"/>
        <w:spacing w:line="440" w:lineRule="exact"/>
        <w:ind w:firstLine="480" w:firstLineChars="200"/>
        <w:jc w:val="both"/>
        <w:rPr>
          <w:color w:val="auto"/>
          <w:highlight w:val="none"/>
        </w:rPr>
      </w:pPr>
      <w:r>
        <w:rPr>
          <w:rFonts w:hint="eastAsia"/>
          <w:color w:val="auto"/>
          <w:highlight w:val="none"/>
        </w:rPr>
        <w:t>一、具备《中华人民共和国政府采购法》第二十二条第一款和本项目规定的条件：</w:t>
      </w:r>
    </w:p>
    <w:p>
      <w:pPr>
        <w:pStyle w:val="2"/>
        <w:spacing w:line="440" w:lineRule="exact"/>
        <w:ind w:firstLine="480" w:firstLineChars="200"/>
        <w:jc w:val="both"/>
        <w:rPr>
          <w:rFonts w:hint="eastAsia"/>
          <w:color w:val="auto"/>
          <w:highlight w:val="none"/>
        </w:rPr>
      </w:pPr>
      <w:r>
        <w:rPr>
          <w:rFonts w:hint="eastAsia"/>
          <w:color w:val="auto"/>
          <w:highlight w:val="none"/>
        </w:rPr>
        <w:t>1</w:t>
      </w:r>
      <w:r>
        <w:rPr>
          <w:rFonts w:hint="eastAsia"/>
          <w:color w:val="auto"/>
          <w:highlight w:val="none"/>
          <w:lang w:eastAsia="zh-CN"/>
        </w:rPr>
        <w:t>、</w:t>
      </w:r>
      <w:r>
        <w:rPr>
          <w:rFonts w:hint="eastAsia"/>
          <w:color w:val="auto"/>
          <w:highlight w:val="none"/>
        </w:rPr>
        <w:t>具有独立承担民事责任的能力；</w:t>
      </w:r>
    </w:p>
    <w:p>
      <w:pPr>
        <w:pStyle w:val="2"/>
        <w:spacing w:line="440" w:lineRule="exact"/>
        <w:ind w:firstLine="480" w:firstLineChars="200"/>
        <w:jc w:val="both"/>
        <w:rPr>
          <w:rFonts w:hint="eastAsia"/>
          <w:color w:val="auto"/>
          <w:highlight w:val="none"/>
        </w:rPr>
      </w:pPr>
      <w:r>
        <w:rPr>
          <w:rFonts w:hint="eastAsia"/>
          <w:color w:val="auto"/>
          <w:highlight w:val="none"/>
        </w:rPr>
        <w:t>2</w:t>
      </w:r>
      <w:r>
        <w:rPr>
          <w:rFonts w:hint="eastAsia"/>
          <w:color w:val="auto"/>
          <w:highlight w:val="none"/>
          <w:lang w:eastAsia="zh-CN"/>
        </w:rPr>
        <w:t>、</w:t>
      </w:r>
      <w:r>
        <w:rPr>
          <w:rFonts w:hint="eastAsia"/>
          <w:color w:val="auto"/>
          <w:highlight w:val="none"/>
        </w:rPr>
        <w:t>具有良好的商业信誉和健全的财务会计制度；</w:t>
      </w:r>
    </w:p>
    <w:p>
      <w:pPr>
        <w:pStyle w:val="2"/>
        <w:spacing w:line="440" w:lineRule="exact"/>
        <w:ind w:firstLine="480" w:firstLineChars="200"/>
        <w:jc w:val="both"/>
        <w:rPr>
          <w:rFonts w:hint="eastAsia"/>
          <w:color w:val="auto"/>
          <w:highlight w:val="none"/>
        </w:rPr>
      </w:pPr>
      <w:r>
        <w:rPr>
          <w:rFonts w:hint="eastAsia"/>
          <w:color w:val="auto"/>
          <w:highlight w:val="none"/>
        </w:rPr>
        <w:t>3</w:t>
      </w:r>
      <w:r>
        <w:rPr>
          <w:rFonts w:hint="eastAsia"/>
          <w:color w:val="auto"/>
          <w:highlight w:val="none"/>
          <w:lang w:eastAsia="zh-CN"/>
        </w:rPr>
        <w:t>、</w:t>
      </w:r>
      <w:r>
        <w:rPr>
          <w:rFonts w:hint="eastAsia"/>
          <w:color w:val="auto"/>
          <w:highlight w:val="none"/>
        </w:rPr>
        <w:t>具有履行合同所必须的设备和专业技术能力；</w:t>
      </w:r>
    </w:p>
    <w:p>
      <w:pPr>
        <w:pStyle w:val="2"/>
        <w:spacing w:line="440" w:lineRule="exact"/>
        <w:ind w:firstLine="480" w:firstLineChars="200"/>
        <w:jc w:val="both"/>
        <w:rPr>
          <w:rFonts w:hint="eastAsia"/>
          <w:color w:val="auto"/>
          <w:highlight w:val="none"/>
        </w:rPr>
      </w:pPr>
      <w:r>
        <w:rPr>
          <w:rFonts w:hint="eastAsia"/>
          <w:color w:val="auto"/>
          <w:highlight w:val="none"/>
        </w:rPr>
        <w:t>4</w:t>
      </w:r>
      <w:r>
        <w:rPr>
          <w:rFonts w:hint="eastAsia"/>
          <w:color w:val="auto"/>
          <w:highlight w:val="none"/>
          <w:lang w:eastAsia="zh-CN"/>
        </w:rPr>
        <w:t>、</w:t>
      </w:r>
      <w:r>
        <w:rPr>
          <w:rFonts w:hint="eastAsia"/>
          <w:color w:val="auto"/>
          <w:highlight w:val="none"/>
        </w:rPr>
        <w:t>具有依法缴纳税收和社会保障资金的良好记录；</w:t>
      </w:r>
    </w:p>
    <w:p>
      <w:pPr>
        <w:pStyle w:val="2"/>
        <w:spacing w:line="440" w:lineRule="exact"/>
        <w:ind w:firstLine="480" w:firstLineChars="200"/>
        <w:jc w:val="both"/>
        <w:rPr>
          <w:rFonts w:hint="eastAsia"/>
          <w:color w:val="auto"/>
          <w:highlight w:val="none"/>
        </w:rPr>
      </w:pPr>
      <w:r>
        <w:rPr>
          <w:rFonts w:hint="eastAsia"/>
          <w:color w:val="auto"/>
          <w:highlight w:val="none"/>
        </w:rPr>
        <w:t>5</w:t>
      </w:r>
      <w:r>
        <w:rPr>
          <w:rFonts w:hint="eastAsia"/>
          <w:color w:val="auto"/>
          <w:highlight w:val="none"/>
          <w:lang w:eastAsia="zh-CN"/>
        </w:rPr>
        <w:t>、</w:t>
      </w:r>
      <w:r>
        <w:rPr>
          <w:rFonts w:hint="eastAsia"/>
          <w:color w:val="auto"/>
          <w:highlight w:val="none"/>
        </w:rPr>
        <w:t>参加本次政府采购活动前三年内，在经营活动中没有重大违法记录；</w:t>
      </w:r>
    </w:p>
    <w:p>
      <w:pPr>
        <w:pStyle w:val="2"/>
        <w:spacing w:line="440" w:lineRule="exact"/>
        <w:ind w:firstLine="480" w:firstLineChars="200"/>
        <w:jc w:val="both"/>
        <w:rPr>
          <w:rFonts w:hint="eastAsia"/>
          <w:color w:val="auto"/>
          <w:highlight w:val="none"/>
        </w:rPr>
      </w:pPr>
      <w:r>
        <w:rPr>
          <w:rFonts w:hint="eastAsia"/>
          <w:color w:val="auto"/>
          <w:highlight w:val="none"/>
        </w:rPr>
        <w:t>6</w:t>
      </w:r>
      <w:r>
        <w:rPr>
          <w:rFonts w:hint="eastAsia"/>
          <w:color w:val="auto"/>
          <w:highlight w:val="none"/>
          <w:lang w:eastAsia="zh-CN"/>
        </w:rPr>
        <w:t>、</w:t>
      </w:r>
      <w:r>
        <w:rPr>
          <w:rFonts w:hint="eastAsia"/>
          <w:color w:val="auto"/>
          <w:highlight w:val="none"/>
        </w:rPr>
        <w:t>法律、行政法规规定的其他条件；</w:t>
      </w:r>
    </w:p>
    <w:p>
      <w:pPr>
        <w:pStyle w:val="2"/>
        <w:spacing w:line="440" w:lineRule="exact"/>
        <w:ind w:firstLine="480" w:firstLineChars="200"/>
        <w:jc w:val="both"/>
        <w:rPr>
          <w:rFonts w:hint="eastAsia"/>
          <w:color w:val="auto"/>
          <w:highlight w:val="yellow"/>
          <w:lang w:val="en-US" w:eastAsia="zh-CN"/>
        </w:rPr>
      </w:pPr>
      <w:r>
        <w:rPr>
          <w:rFonts w:hint="eastAsia"/>
          <w:color w:val="auto"/>
          <w:highlight w:val="yellow"/>
          <w:lang w:val="en-US" w:eastAsia="zh-CN"/>
        </w:rPr>
        <w:t>7、投标产品为医疗器械时，投标人须符合《医疗器械监督管理条例》要求并具有经营该产品的生产/经营许可/经营备案证明材料，投标产品须符合《医疗器械注册管理办法》要求并具有产品的注册/备案证明材料。投标产品为进口产品时：投标人非投标产品制造商的需具有产品制造商对投标产品的授权，或提供具有授权权限的代理商对投标产品的授权（且需提供该代理商具有有效授权权限的相关证明文件，证明文件需能显示产品制造商对投标产品授权链条的完整性）。</w:t>
      </w:r>
    </w:p>
    <w:p>
      <w:pPr>
        <w:pStyle w:val="2"/>
        <w:spacing w:line="440" w:lineRule="exact"/>
        <w:ind w:firstLine="480" w:firstLineChars="200"/>
        <w:jc w:val="both"/>
        <w:rPr>
          <w:rFonts w:hint="eastAsia"/>
          <w:color w:val="auto"/>
          <w:highlight w:val="yellow"/>
          <w:lang w:val="en-US" w:eastAsia="zh-CN"/>
        </w:rPr>
      </w:pPr>
      <w:r>
        <w:rPr>
          <w:rFonts w:hint="eastAsia"/>
          <w:color w:val="auto"/>
          <w:highlight w:val="yellow"/>
          <w:lang w:val="en-US" w:eastAsia="zh-CN"/>
        </w:rPr>
        <w:t>8、投标人</w:t>
      </w:r>
      <w:r>
        <w:rPr>
          <w:rFonts w:hint="eastAsia"/>
          <w:color w:val="auto"/>
          <w:highlight w:val="yellow"/>
        </w:rPr>
        <w:t>及其现任法定代表人、主要负责人近三年不具有行贿犯罪记录</w:t>
      </w:r>
      <w:r>
        <w:rPr>
          <w:rFonts w:hint="eastAsia"/>
          <w:color w:val="auto"/>
          <w:highlight w:val="yellow"/>
          <w:lang w:eastAsia="zh-CN"/>
        </w:rPr>
        <w:t>。</w:t>
      </w:r>
    </w:p>
    <w:p>
      <w:pPr>
        <w:pStyle w:val="2"/>
        <w:spacing w:line="440" w:lineRule="exact"/>
        <w:ind w:firstLine="480" w:firstLineChars="200"/>
        <w:jc w:val="both"/>
        <w:rPr>
          <w:rFonts w:hint="eastAsia"/>
          <w:color w:val="auto"/>
          <w:highlight w:val="none"/>
        </w:rPr>
      </w:pPr>
      <w:r>
        <w:rPr>
          <w:rFonts w:hint="eastAsia"/>
          <w:color w:val="auto"/>
          <w:highlight w:val="none"/>
          <w:lang w:val="en-US" w:eastAsia="zh-CN"/>
        </w:rPr>
        <w:t>9、</w:t>
      </w:r>
      <w:r>
        <w:rPr>
          <w:rFonts w:hint="eastAsia"/>
          <w:color w:val="auto"/>
          <w:highlight w:val="none"/>
        </w:rPr>
        <w:t>本项目</w:t>
      </w:r>
      <w:r>
        <w:rPr>
          <w:rFonts w:hint="eastAsia"/>
          <w:color w:val="auto"/>
          <w:highlight w:val="none"/>
          <w:lang w:val="en-US" w:eastAsia="zh-CN"/>
        </w:rPr>
        <w:t>不</w:t>
      </w:r>
      <w:r>
        <w:rPr>
          <w:rFonts w:hint="eastAsia"/>
          <w:color w:val="auto"/>
          <w:highlight w:val="none"/>
        </w:rPr>
        <w:t>接受联合体</w:t>
      </w:r>
      <w:r>
        <w:rPr>
          <w:rFonts w:hint="eastAsia"/>
          <w:color w:val="auto"/>
          <w:highlight w:val="none"/>
          <w:lang w:eastAsia="zh-CN"/>
        </w:rPr>
        <w:t>投标</w:t>
      </w:r>
      <w:r>
        <w:rPr>
          <w:rFonts w:hint="eastAsia"/>
          <w:color w:val="auto"/>
          <w:highlight w:val="none"/>
        </w:rPr>
        <w:t>。</w:t>
      </w:r>
    </w:p>
    <w:p>
      <w:pPr>
        <w:pStyle w:val="2"/>
        <w:spacing w:line="440" w:lineRule="exact"/>
        <w:ind w:firstLine="480" w:firstLineChars="200"/>
        <w:jc w:val="both"/>
        <w:rPr>
          <w:color w:val="auto"/>
          <w:highlight w:val="none"/>
        </w:rPr>
      </w:pPr>
      <w:r>
        <w:rPr>
          <w:rFonts w:hint="eastAsia"/>
          <w:color w:val="auto"/>
          <w:highlight w:val="none"/>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pPr>
        <w:pStyle w:val="2"/>
        <w:spacing w:line="440" w:lineRule="exact"/>
        <w:ind w:firstLine="480" w:firstLineChars="200"/>
        <w:jc w:val="both"/>
        <w:rPr>
          <w:color w:val="auto"/>
          <w:highlight w:val="none"/>
        </w:rPr>
      </w:pPr>
      <w:r>
        <w:rPr>
          <w:rFonts w:hint="eastAsia"/>
          <w:color w:val="auto"/>
          <w:highlight w:val="none"/>
        </w:rPr>
        <w:t>三、参加本次招标采购活动，不存在与单位负责人为同一人或者存在直接控股、管理关系的其他供应商参与同一合同项下的政府采购活动的行为。</w:t>
      </w:r>
    </w:p>
    <w:p>
      <w:pPr>
        <w:pStyle w:val="2"/>
        <w:spacing w:line="440" w:lineRule="exact"/>
        <w:ind w:firstLine="480" w:firstLineChars="200"/>
        <w:jc w:val="both"/>
        <w:rPr>
          <w:color w:val="auto"/>
          <w:highlight w:val="none"/>
        </w:rPr>
      </w:pPr>
      <w:r>
        <w:rPr>
          <w:rFonts w:hint="eastAsia"/>
          <w:color w:val="auto"/>
          <w:highlight w:val="none"/>
        </w:rPr>
        <w:t>四、参加本次招标采购活动，不存在和其他供应商在同一合同项下的采购项目中，同时委托同一个自然人、同一家庭的人员、同一单位的人员作为代理人的行为。</w:t>
      </w:r>
    </w:p>
    <w:p>
      <w:pPr>
        <w:pStyle w:val="2"/>
        <w:spacing w:line="440" w:lineRule="exact"/>
        <w:ind w:firstLine="480" w:firstLineChars="200"/>
        <w:jc w:val="both"/>
        <w:rPr>
          <w:color w:val="auto"/>
          <w:highlight w:val="none"/>
        </w:rPr>
      </w:pPr>
      <w:r>
        <w:rPr>
          <w:rFonts w:hint="eastAsia"/>
          <w:color w:val="auto"/>
          <w:highlight w:val="none"/>
        </w:rPr>
        <w:t>五、我方同意本</w:t>
      </w:r>
      <w:r>
        <w:rPr>
          <w:rFonts w:hint="eastAsia"/>
          <w:color w:val="auto"/>
          <w:highlight w:val="none"/>
          <w:lang w:val="en-US" w:eastAsia="zh-CN"/>
        </w:rPr>
        <w:t>招标</w:t>
      </w:r>
      <w:r>
        <w:rPr>
          <w:rFonts w:hint="eastAsia"/>
          <w:color w:val="auto"/>
          <w:highlight w:val="none"/>
        </w:rPr>
        <w:t>文件依据《关于对政府采购领域严重违法失信主体开展联合惩戒的合作备忘录》（发改财金〔2018〕1614号）等相关规定对我方可能存在的失信行为进行惩戒。</w:t>
      </w:r>
    </w:p>
    <w:p>
      <w:pPr>
        <w:pStyle w:val="2"/>
        <w:spacing w:line="440" w:lineRule="exact"/>
        <w:ind w:firstLine="480" w:firstLineChars="200"/>
        <w:jc w:val="both"/>
        <w:rPr>
          <w:color w:val="auto"/>
          <w:highlight w:val="none"/>
        </w:rPr>
      </w:pPr>
      <w:r>
        <w:rPr>
          <w:rFonts w:hint="eastAsia"/>
          <w:color w:val="auto"/>
          <w:highlight w:val="none"/>
        </w:rPr>
        <w:t>六、投标文件中提供的能够给予我公司带来优惠、好处的任何材料资料和技术、服务、商务等响应承诺情况都是真实的、有效的、合法的。</w:t>
      </w:r>
    </w:p>
    <w:p>
      <w:pPr>
        <w:pStyle w:val="2"/>
        <w:spacing w:line="440" w:lineRule="exact"/>
        <w:ind w:firstLine="480" w:firstLineChars="200"/>
        <w:jc w:val="both"/>
        <w:rPr>
          <w:color w:val="auto"/>
          <w:highlight w:val="none"/>
        </w:rPr>
      </w:pPr>
      <w:r>
        <w:rPr>
          <w:rFonts w:hint="eastAsia"/>
          <w:color w:val="auto"/>
          <w:highlight w:val="none"/>
        </w:rPr>
        <w:t>本公司对上述承诺的内容事项真实性负责。如经查实上述承诺的内容事项存在虚假，我公司愿意接受以提供虚假材料谋取中标追究法律责任。</w:t>
      </w:r>
    </w:p>
    <w:p>
      <w:pPr>
        <w:pStyle w:val="2"/>
        <w:spacing w:line="440" w:lineRule="exact"/>
        <w:ind w:firstLine="480" w:firstLineChars="200"/>
        <w:jc w:val="both"/>
        <w:rPr>
          <w:color w:val="auto"/>
          <w:highlight w:val="none"/>
        </w:rPr>
      </w:pPr>
    </w:p>
    <w:p>
      <w:pPr>
        <w:spacing w:line="480" w:lineRule="auto"/>
        <w:ind w:firstLine="480" w:firstLineChars="200"/>
        <w:rPr>
          <w:color w:val="auto"/>
          <w:sz w:val="24"/>
          <w:highlight w:val="none"/>
        </w:rPr>
      </w:pPr>
      <w:r>
        <w:rPr>
          <w:rFonts w:hint="eastAsia"/>
          <w:color w:val="auto"/>
          <w:sz w:val="24"/>
          <w:highlight w:val="none"/>
        </w:rPr>
        <w:t xml:space="preserve">                  供应商名称：</w:t>
      </w:r>
      <w:r>
        <w:rPr>
          <w:rFonts w:hint="eastAsia"/>
          <w:color w:val="auto"/>
          <w:sz w:val="24"/>
          <w:highlight w:val="none"/>
          <w:u w:val="single"/>
        </w:rPr>
        <w:t xml:space="preserve">                             </w:t>
      </w:r>
      <w:r>
        <w:rPr>
          <w:rFonts w:hint="eastAsia"/>
          <w:color w:val="auto"/>
          <w:sz w:val="24"/>
          <w:highlight w:val="none"/>
        </w:rPr>
        <w:t>（盖单位公章）</w:t>
      </w:r>
    </w:p>
    <w:p>
      <w:pPr>
        <w:spacing w:line="480" w:lineRule="auto"/>
        <w:ind w:firstLine="480" w:firstLineChars="200"/>
        <w:rPr>
          <w:color w:val="auto"/>
          <w:sz w:val="24"/>
          <w:highlight w:val="none"/>
        </w:rPr>
      </w:pPr>
      <w:r>
        <w:rPr>
          <w:rFonts w:hint="eastAsia"/>
          <w:color w:val="auto"/>
          <w:sz w:val="24"/>
          <w:highlight w:val="none"/>
        </w:rPr>
        <w:t xml:space="preserve">                  法定代表人或授权代表：</w:t>
      </w:r>
      <w:r>
        <w:rPr>
          <w:rFonts w:hint="eastAsia"/>
          <w:color w:val="auto"/>
          <w:sz w:val="24"/>
          <w:highlight w:val="none"/>
          <w:u w:val="single"/>
        </w:rPr>
        <w:t xml:space="preserve">                   </w:t>
      </w:r>
      <w:r>
        <w:rPr>
          <w:rFonts w:hint="eastAsia"/>
          <w:color w:val="auto"/>
          <w:sz w:val="24"/>
          <w:highlight w:val="none"/>
        </w:rPr>
        <w:t>（签字）</w:t>
      </w:r>
    </w:p>
    <w:p>
      <w:pPr>
        <w:spacing w:line="480" w:lineRule="auto"/>
        <w:ind w:firstLine="480" w:firstLineChars="200"/>
        <w:rPr>
          <w:rFonts w:hint="eastAsia"/>
          <w:color w:val="auto"/>
          <w:sz w:val="24"/>
          <w:highlight w:val="none"/>
        </w:rPr>
      </w:pPr>
      <w:r>
        <w:rPr>
          <w:rFonts w:hint="eastAsia"/>
          <w:color w:val="auto"/>
          <w:sz w:val="24"/>
          <w:highlight w:val="none"/>
        </w:rPr>
        <w:t xml:space="preserve">     </w:t>
      </w:r>
      <w:r>
        <w:rPr>
          <w:rFonts w:hint="eastAsia"/>
          <w:color w:val="auto"/>
          <w:highlight w:val="none"/>
        </w:rPr>
        <w:t xml:space="preserve">             </w:t>
      </w:r>
      <w:r>
        <w:rPr>
          <w:rFonts w:hint="eastAsia"/>
          <w:color w:val="auto"/>
          <w:sz w:val="24"/>
          <w:highlight w:val="none"/>
        </w:rPr>
        <w:t>日      期：</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w:t>
      </w:r>
    </w:p>
    <w:p>
      <w:pPr>
        <w:spacing w:line="480" w:lineRule="auto"/>
        <w:ind w:firstLine="480" w:firstLineChars="200"/>
        <w:rPr>
          <w:color w:val="auto"/>
          <w:sz w:val="24"/>
          <w:szCs w:val="24"/>
          <w:highlight w:val="none"/>
        </w:rPr>
      </w:pPr>
      <w:r>
        <w:rPr>
          <w:color w:val="auto"/>
          <w:highlight w:val="none"/>
        </w:rPr>
        <w:br w:type="page"/>
      </w:r>
    </w:p>
    <w:p>
      <w:pPr>
        <w:pStyle w:val="5"/>
        <w:bidi w:val="0"/>
        <w:rPr>
          <w:color w:val="auto"/>
          <w:highlight w:val="none"/>
          <w:lang w:val="en-US"/>
        </w:rPr>
      </w:pPr>
      <w:r>
        <w:rPr>
          <w:rFonts w:hint="eastAsia"/>
          <w:color w:val="auto"/>
          <w:highlight w:val="none"/>
          <w:lang w:val="en-US" w:eastAsia="zh-CN"/>
        </w:rPr>
        <w:t>五</w:t>
      </w:r>
      <w:r>
        <w:rPr>
          <w:rFonts w:hint="eastAsia"/>
          <w:color w:val="auto"/>
          <w:highlight w:val="none"/>
          <w:lang w:val="en-US"/>
        </w:rPr>
        <w:t>、中小企业声明函</w:t>
      </w:r>
    </w:p>
    <w:p>
      <w:pPr>
        <w:wordWrap w:val="0"/>
        <w:autoSpaceDE/>
        <w:autoSpaceDN/>
        <w:ind w:firstLine="480" w:firstLineChars="200"/>
        <w:jc w:val="both"/>
        <w:rPr>
          <w:rFonts w:hint="eastAsia" w:ascii="宋体" w:hAnsi="宋体" w:eastAsia="宋体" w:cs="Times New Roman"/>
          <w:color w:val="auto"/>
          <w:kern w:val="2"/>
          <w:szCs w:val="24"/>
          <w:highlight w:val="none"/>
          <w:lang w:val="en-US"/>
        </w:rPr>
      </w:pPr>
      <w:r>
        <w:rPr>
          <w:rFonts w:hint="eastAsia" w:ascii="宋体" w:hAnsi="宋体" w:eastAsia="宋体" w:cs="Times New Roman"/>
          <w:color w:val="auto"/>
          <w:kern w:val="2"/>
          <w:szCs w:val="24"/>
          <w:highlight w:val="none"/>
          <w:lang w:val="en-US" w:eastAsia="zh-CN"/>
        </w:rPr>
        <w:t>本公司（联合体）郑重声明，根据《政府采购促进中小企业发展管理办法》（财库﹝2020﹞46号）的规定，本公司（联合体）参加</w:t>
      </w:r>
      <w:r>
        <w:rPr>
          <w:rFonts w:hint="eastAsia" w:ascii="宋体" w:hAnsi="宋体" w:eastAsia="宋体" w:cs="Times New Roman"/>
          <w:color w:val="auto"/>
          <w:kern w:val="2"/>
          <w:szCs w:val="24"/>
          <w:highlight w:val="none"/>
          <w:u w:val="single"/>
          <w:lang w:val="en-US" w:eastAsia="zh-CN"/>
        </w:rPr>
        <w:t>（单位名称）</w:t>
      </w:r>
      <w:r>
        <w:rPr>
          <w:rFonts w:hint="eastAsia" w:ascii="宋体" w:hAnsi="宋体" w:eastAsia="宋体" w:cs="Times New Roman"/>
          <w:color w:val="auto"/>
          <w:kern w:val="2"/>
          <w:szCs w:val="24"/>
          <w:highlight w:val="none"/>
          <w:lang w:val="en-US" w:eastAsia="zh-CN"/>
        </w:rPr>
        <w:t>的</w:t>
      </w:r>
      <w:r>
        <w:rPr>
          <w:rFonts w:hint="eastAsia" w:ascii="宋体" w:hAnsi="宋体" w:eastAsia="宋体" w:cs="Times New Roman"/>
          <w:color w:val="auto"/>
          <w:kern w:val="2"/>
          <w:szCs w:val="24"/>
          <w:highlight w:val="none"/>
          <w:u w:val="single"/>
          <w:lang w:val="en-US" w:eastAsia="zh-CN"/>
        </w:rPr>
        <w:t>（项目名称）</w:t>
      </w:r>
      <w:r>
        <w:rPr>
          <w:rFonts w:hint="eastAsia" w:ascii="宋体" w:hAnsi="宋体" w:eastAsia="宋体" w:cs="Times New Roman"/>
          <w:color w:val="auto"/>
          <w:kern w:val="2"/>
          <w:szCs w:val="24"/>
          <w:highlight w:val="none"/>
          <w:lang w:val="en-US" w:eastAsia="zh-CN"/>
        </w:rPr>
        <w:t>采购活动，提供的货物全部由符合政策要求的中小企业制造。相关企业（含联合体中的中小企业、签订分包意向协议的中小企业）的具体情况如下：</w:t>
      </w:r>
    </w:p>
    <w:p>
      <w:pPr>
        <w:wordWrap w:val="0"/>
        <w:autoSpaceDE/>
        <w:autoSpaceDN/>
        <w:ind w:firstLine="480" w:firstLineChars="200"/>
        <w:jc w:val="both"/>
        <w:rPr>
          <w:rFonts w:hint="eastAsia" w:ascii="宋体" w:hAnsi="宋体" w:eastAsia="宋体" w:cs="Times New Roman"/>
          <w:color w:val="auto"/>
          <w:kern w:val="2"/>
          <w:szCs w:val="24"/>
          <w:highlight w:val="none"/>
          <w:lang w:val="en-US" w:eastAsia="zh-CN"/>
        </w:rPr>
      </w:pPr>
      <w:r>
        <w:rPr>
          <w:rFonts w:hint="eastAsia" w:ascii="宋体" w:hAnsi="宋体" w:eastAsia="宋体" w:cs="Times New Roman"/>
          <w:color w:val="auto"/>
          <w:kern w:val="2"/>
          <w:szCs w:val="24"/>
          <w:highlight w:val="none"/>
          <w:lang w:val="en-US" w:eastAsia="zh-CN"/>
        </w:rPr>
        <w:t>1.</w:t>
      </w:r>
      <w:r>
        <w:rPr>
          <w:rFonts w:hint="eastAsia" w:ascii="宋体" w:hAnsi="宋体" w:eastAsia="宋体" w:cs="Times New Roman"/>
          <w:color w:val="auto"/>
          <w:kern w:val="2"/>
          <w:szCs w:val="24"/>
          <w:highlight w:val="none"/>
          <w:u w:val="single"/>
          <w:lang w:val="en-US" w:eastAsia="zh-CN"/>
        </w:rPr>
        <w:t>（标的名称）</w:t>
      </w:r>
      <w:r>
        <w:rPr>
          <w:rFonts w:hint="eastAsia" w:ascii="宋体" w:hAnsi="宋体" w:eastAsia="宋体" w:cs="Times New Roman"/>
          <w:color w:val="auto"/>
          <w:kern w:val="2"/>
          <w:szCs w:val="24"/>
          <w:highlight w:val="none"/>
          <w:lang w:val="en-US" w:eastAsia="zh-CN"/>
        </w:rPr>
        <w:t>，属于</w:t>
      </w:r>
      <w:r>
        <w:rPr>
          <w:rFonts w:hint="eastAsia" w:ascii="宋体" w:hAnsi="宋体" w:eastAsia="宋体" w:cs="Times New Roman"/>
          <w:color w:val="auto"/>
          <w:kern w:val="2"/>
          <w:szCs w:val="24"/>
          <w:highlight w:val="none"/>
          <w:u w:val="single"/>
          <w:lang w:val="en-US" w:eastAsia="zh-CN"/>
        </w:rPr>
        <w:t>（采购文件中明确的所属行业）</w:t>
      </w:r>
      <w:r>
        <w:rPr>
          <w:rFonts w:hint="eastAsia" w:ascii="宋体" w:hAnsi="宋体" w:eastAsia="宋体" w:cs="Times New Roman"/>
          <w:color w:val="auto"/>
          <w:kern w:val="2"/>
          <w:szCs w:val="24"/>
          <w:highlight w:val="none"/>
          <w:lang w:val="en-US" w:eastAsia="zh-CN"/>
        </w:rPr>
        <w:t>行业；制造商为</w:t>
      </w:r>
      <w:r>
        <w:rPr>
          <w:rFonts w:hint="eastAsia" w:ascii="宋体" w:hAnsi="宋体" w:eastAsia="宋体" w:cs="Times New Roman"/>
          <w:color w:val="auto"/>
          <w:kern w:val="2"/>
          <w:szCs w:val="24"/>
          <w:highlight w:val="none"/>
          <w:u w:val="single"/>
          <w:lang w:val="en-US" w:eastAsia="zh-CN"/>
        </w:rPr>
        <w:t>（企业名称）</w:t>
      </w:r>
      <w:r>
        <w:rPr>
          <w:rFonts w:hint="eastAsia" w:ascii="宋体" w:hAnsi="宋体" w:eastAsia="宋体" w:cs="Times New Roman"/>
          <w:color w:val="auto"/>
          <w:kern w:val="2"/>
          <w:szCs w:val="24"/>
          <w:highlight w:val="none"/>
          <w:lang w:val="en-US" w:eastAsia="zh-CN"/>
        </w:rPr>
        <w:t>，从业人员</w:t>
      </w:r>
      <w:r>
        <w:rPr>
          <w:rFonts w:hint="eastAsia" w:ascii="宋体" w:hAnsi="宋体" w:eastAsia="宋体" w:cs="Times New Roman"/>
          <w:color w:val="auto"/>
          <w:kern w:val="2"/>
          <w:szCs w:val="24"/>
          <w:highlight w:val="none"/>
          <w:u w:val="single"/>
          <w:lang w:val="en-US" w:eastAsia="zh-CN"/>
        </w:rPr>
        <w:t xml:space="preserve">     </w:t>
      </w:r>
      <w:r>
        <w:rPr>
          <w:rFonts w:hint="eastAsia" w:ascii="宋体" w:hAnsi="宋体" w:eastAsia="宋体" w:cs="Times New Roman"/>
          <w:color w:val="auto"/>
          <w:kern w:val="2"/>
          <w:szCs w:val="24"/>
          <w:highlight w:val="none"/>
          <w:lang w:val="en-US" w:eastAsia="zh-CN"/>
        </w:rPr>
        <w:t>人，营业收入为</w:t>
      </w:r>
      <w:r>
        <w:rPr>
          <w:rFonts w:hint="eastAsia" w:ascii="Times New Roman" w:hAnsi="宋体" w:eastAsia="宋体" w:cs="Times New Roman"/>
          <w:color w:val="auto"/>
          <w:kern w:val="2"/>
          <w:szCs w:val="24"/>
          <w:highlight w:val="none"/>
          <w:u w:val="single"/>
          <w:lang w:val="en-US" w:eastAsia="zh-CN"/>
        </w:rPr>
        <w:t xml:space="preserve">     </w:t>
      </w:r>
      <w:r>
        <w:rPr>
          <w:rFonts w:hint="eastAsia" w:ascii="宋体" w:hAnsi="宋体" w:eastAsia="宋体" w:cs="Times New Roman"/>
          <w:color w:val="auto"/>
          <w:kern w:val="2"/>
          <w:szCs w:val="24"/>
          <w:highlight w:val="none"/>
          <w:lang w:val="en-US" w:eastAsia="zh-CN"/>
        </w:rPr>
        <w:t>万元，资产总额为</w:t>
      </w:r>
      <w:r>
        <w:rPr>
          <w:rFonts w:hint="eastAsia" w:ascii="Times New Roman" w:hAnsi="宋体" w:eastAsia="宋体" w:cs="Times New Roman"/>
          <w:color w:val="auto"/>
          <w:kern w:val="2"/>
          <w:szCs w:val="24"/>
          <w:highlight w:val="none"/>
          <w:u w:val="single"/>
          <w:lang w:val="en-US" w:eastAsia="zh-CN"/>
        </w:rPr>
        <w:t xml:space="preserve">     </w:t>
      </w:r>
      <w:r>
        <w:rPr>
          <w:rFonts w:hint="eastAsia" w:ascii="宋体" w:hAnsi="宋体" w:eastAsia="宋体" w:cs="Times New Roman"/>
          <w:color w:val="auto"/>
          <w:kern w:val="2"/>
          <w:szCs w:val="24"/>
          <w:highlight w:val="none"/>
          <w:lang w:val="en-US" w:eastAsia="zh-CN"/>
        </w:rPr>
        <w:t>万元，属于</w:t>
      </w:r>
      <w:r>
        <w:rPr>
          <w:rFonts w:hint="eastAsia" w:ascii="宋体" w:hAnsi="宋体" w:eastAsia="宋体" w:cs="Times New Roman"/>
          <w:color w:val="auto"/>
          <w:kern w:val="2"/>
          <w:szCs w:val="24"/>
          <w:highlight w:val="none"/>
          <w:u w:val="single"/>
          <w:lang w:val="en-US" w:eastAsia="zh-CN"/>
        </w:rPr>
        <w:t>（中型企业、小型企业、微型企业）</w:t>
      </w:r>
      <w:r>
        <w:rPr>
          <w:rFonts w:hint="eastAsia" w:ascii="宋体" w:hAnsi="宋体" w:eastAsia="宋体" w:cs="Times New Roman"/>
          <w:color w:val="auto"/>
          <w:kern w:val="2"/>
          <w:szCs w:val="24"/>
          <w:highlight w:val="none"/>
          <w:lang w:val="en-US" w:eastAsia="zh-CN"/>
        </w:rPr>
        <w:t>；</w:t>
      </w:r>
    </w:p>
    <w:p>
      <w:pPr>
        <w:wordWrap w:val="0"/>
        <w:autoSpaceDE/>
        <w:autoSpaceDN/>
        <w:ind w:firstLine="480" w:firstLineChars="200"/>
        <w:jc w:val="both"/>
        <w:rPr>
          <w:rFonts w:hint="eastAsia" w:ascii="宋体" w:hAnsi="宋体" w:eastAsia="宋体" w:cs="Times New Roman"/>
          <w:color w:val="auto"/>
          <w:kern w:val="2"/>
          <w:szCs w:val="24"/>
          <w:highlight w:val="none"/>
          <w:lang w:val="en-US"/>
        </w:rPr>
      </w:pPr>
      <w:r>
        <w:rPr>
          <w:rFonts w:hint="eastAsia" w:ascii="宋体" w:hAnsi="宋体" w:eastAsia="宋体" w:cs="Times New Roman"/>
          <w:color w:val="auto"/>
          <w:kern w:val="2"/>
          <w:szCs w:val="24"/>
          <w:highlight w:val="none"/>
          <w:lang w:val="en-US" w:eastAsia="zh-CN"/>
        </w:rPr>
        <w:t>2.</w:t>
      </w:r>
      <w:r>
        <w:rPr>
          <w:rFonts w:hint="eastAsia" w:ascii="宋体" w:hAnsi="宋体" w:eastAsia="宋体" w:cs="Times New Roman"/>
          <w:color w:val="auto"/>
          <w:kern w:val="2"/>
          <w:szCs w:val="24"/>
          <w:highlight w:val="none"/>
          <w:u w:val="single"/>
          <w:lang w:val="en-US" w:eastAsia="zh-CN"/>
        </w:rPr>
        <w:t>（标的名称）</w:t>
      </w:r>
      <w:r>
        <w:rPr>
          <w:rFonts w:hint="eastAsia" w:ascii="宋体" w:hAnsi="宋体" w:eastAsia="宋体" w:cs="Times New Roman"/>
          <w:color w:val="auto"/>
          <w:kern w:val="2"/>
          <w:szCs w:val="24"/>
          <w:highlight w:val="none"/>
          <w:lang w:val="en-US" w:eastAsia="zh-CN"/>
        </w:rPr>
        <w:t>，属于</w:t>
      </w:r>
      <w:r>
        <w:rPr>
          <w:rFonts w:hint="eastAsia" w:ascii="宋体" w:hAnsi="宋体" w:eastAsia="宋体" w:cs="Times New Roman"/>
          <w:color w:val="auto"/>
          <w:kern w:val="2"/>
          <w:szCs w:val="24"/>
          <w:highlight w:val="none"/>
          <w:u w:val="single"/>
          <w:lang w:val="en-US" w:eastAsia="zh-CN"/>
        </w:rPr>
        <w:t>（采购文件中明确的所属行业）</w:t>
      </w:r>
      <w:r>
        <w:rPr>
          <w:rFonts w:hint="eastAsia" w:ascii="宋体" w:hAnsi="宋体" w:eastAsia="宋体" w:cs="Times New Roman"/>
          <w:color w:val="auto"/>
          <w:kern w:val="2"/>
          <w:szCs w:val="24"/>
          <w:highlight w:val="none"/>
          <w:lang w:val="en-US" w:eastAsia="zh-CN"/>
        </w:rPr>
        <w:t>行业；制造商为</w:t>
      </w:r>
      <w:r>
        <w:rPr>
          <w:rFonts w:hint="eastAsia" w:ascii="宋体" w:hAnsi="宋体" w:eastAsia="宋体" w:cs="Times New Roman"/>
          <w:color w:val="auto"/>
          <w:kern w:val="2"/>
          <w:szCs w:val="24"/>
          <w:highlight w:val="none"/>
          <w:u w:val="single"/>
          <w:lang w:val="en-US" w:eastAsia="zh-CN"/>
        </w:rPr>
        <w:t>（企业名称）</w:t>
      </w:r>
      <w:r>
        <w:rPr>
          <w:rFonts w:hint="eastAsia" w:ascii="宋体" w:hAnsi="宋体" w:eastAsia="宋体" w:cs="Times New Roman"/>
          <w:color w:val="auto"/>
          <w:kern w:val="2"/>
          <w:szCs w:val="24"/>
          <w:highlight w:val="none"/>
          <w:lang w:val="en-US" w:eastAsia="zh-CN"/>
        </w:rPr>
        <w:t>，从业人员</w:t>
      </w:r>
      <w:r>
        <w:rPr>
          <w:rFonts w:hint="eastAsia" w:ascii="Times New Roman" w:hAnsi="宋体" w:eastAsia="宋体" w:cs="Times New Roman"/>
          <w:color w:val="auto"/>
          <w:kern w:val="2"/>
          <w:szCs w:val="24"/>
          <w:highlight w:val="none"/>
          <w:u w:val="single"/>
          <w:lang w:val="en-US" w:eastAsia="zh-CN"/>
        </w:rPr>
        <w:t xml:space="preserve">     </w:t>
      </w:r>
      <w:r>
        <w:rPr>
          <w:rFonts w:hint="eastAsia" w:ascii="宋体" w:hAnsi="宋体" w:eastAsia="宋体" w:cs="Times New Roman"/>
          <w:color w:val="auto"/>
          <w:kern w:val="2"/>
          <w:szCs w:val="24"/>
          <w:highlight w:val="none"/>
          <w:lang w:val="en-US" w:eastAsia="zh-CN"/>
        </w:rPr>
        <w:t>人，营业收入为</w:t>
      </w:r>
      <w:r>
        <w:rPr>
          <w:rFonts w:hint="eastAsia" w:ascii="Times New Roman" w:hAnsi="宋体" w:eastAsia="宋体" w:cs="Times New Roman"/>
          <w:color w:val="auto"/>
          <w:kern w:val="2"/>
          <w:szCs w:val="24"/>
          <w:highlight w:val="none"/>
          <w:u w:val="single"/>
          <w:lang w:val="en-US" w:eastAsia="zh-CN"/>
        </w:rPr>
        <w:t xml:space="preserve">     </w:t>
      </w:r>
      <w:r>
        <w:rPr>
          <w:rFonts w:hint="eastAsia" w:ascii="宋体" w:hAnsi="宋体" w:eastAsia="宋体" w:cs="Times New Roman"/>
          <w:color w:val="auto"/>
          <w:kern w:val="2"/>
          <w:szCs w:val="24"/>
          <w:highlight w:val="none"/>
          <w:lang w:val="en-US" w:eastAsia="zh-CN"/>
        </w:rPr>
        <w:t>万元，资产总额为</w:t>
      </w:r>
      <w:r>
        <w:rPr>
          <w:rFonts w:hint="eastAsia" w:ascii="Times New Roman" w:hAnsi="宋体" w:eastAsia="宋体" w:cs="Times New Roman"/>
          <w:color w:val="auto"/>
          <w:kern w:val="2"/>
          <w:szCs w:val="24"/>
          <w:highlight w:val="none"/>
          <w:u w:val="single"/>
          <w:lang w:val="en-US" w:eastAsia="zh-CN"/>
        </w:rPr>
        <w:t xml:space="preserve">     </w:t>
      </w:r>
      <w:r>
        <w:rPr>
          <w:rFonts w:hint="eastAsia" w:ascii="宋体" w:hAnsi="宋体" w:eastAsia="宋体" w:cs="Times New Roman"/>
          <w:color w:val="auto"/>
          <w:kern w:val="2"/>
          <w:szCs w:val="24"/>
          <w:highlight w:val="none"/>
          <w:lang w:val="en-US" w:eastAsia="zh-CN"/>
        </w:rPr>
        <w:t>万元，属于</w:t>
      </w:r>
      <w:r>
        <w:rPr>
          <w:rFonts w:hint="eastAsia" w:ascii="宋体" w:hAnsi="宋体" w:eastAsia="宋体" w:cs="Times New Roman"/>
          <w:color w:val="auto"/>
          <w:kern w:val="2"/>
          <w:szCs w:val="24"/>
          <w:highlight w:val="none"/>
          <w:u w:val="single"/>
          <w:lang w:val="en-US" w:eastAsia="zh-CN"/>
        </w:rPr>
        <w:t>（中型企业、小型企业、微型企业）</w:t>
      </w:r>
      <w:r>
        <w:rPr>
          <w:rFonts w:hint="eastAsia" w:ascii="宋体" w:hAnsi="宋体" w:eastAsia="宋体" w:cs="Times New Roman"/>
          <w:color w:val="auto"/>
          <w:kern w:val="2"/>
          <w:szCs w:val="24"/>
          <w:highlight w:val="none"/>
          <w:lang w:val="en-US" w:eastAsia="zh-CN"/>
        </w:rPr>
        <w:t>；</w:t>
      </w:r>
    </w:p>
    <w:p>
      <w:pPr>
        <w:wordWrap w:val="0"/>
        <w:autoSpaceDE/>
        <w:autoSpaceDN/>
        <w:ind w:firstLine="480" w:firstLineChars="200"/>
        <w:jc w:val="both"/>
        <w:rPr>
          <w:rFonts w:hint="eastAsia" w:ascii="宋体" w:hAnsi="宋体" w:eastAsia="宋体" w:cs="Times New Roman"/>
          <w:color w:val="auto"/>
          <w:kern w:val="2"/>
          <w:szCs w:val="24"/>
          <w:highlight w:val="none"/>
          <w:lang w:val="en-US"/>
        </w:rPr>
      </w:pPr>
      <w:r>
        <w:rPr>
          <w:rFonts w:hint="eastAsia" w:ascii="宋体" w:hAnsi="宋体" w:eastAsia="宋体" w:cs="Times New Roman"/>
          <w:color w:val="auto"/>
          <w:kern w:val="2"/>
          <w:szCs w:val="24"/>
          <w:highlight w:val="none"/>
          <w:lang w:val="en-US" w:eastAsia="zh-CN"/>
        </w:rPr>
        <w:t>……</w:t>
      </w:r>
    </w:p>
    <w:p>
      <w:pPr>
        <w:wordWrap w:val="0"/>
        <w:autoSpaceDE/>
        <w:autoSpaceDN/>
        <w:ind w:firstLine="480" w:firstLineChars="200"/>
        <w:jc w:val="both"/>
        <w:rPr>
          <w:rFonts w:hint="eastAsia" w:ascii="宋体" w:hAnsi="宋体" w:eastAsia="宋体" w:cs="Times New Roman"/>
          <w:color w:val="auto"/>
          <w:kern w:val="2"/>
          <w:szCs w:val="24"/>
          <w:highlight w:val="none"/>
          <w:lang w:val="en-US"/>
        </w:rPr>
      </w:pPr>
      <w:r>
        <w:rPr>
          <w:rFonts w:hint="eastAsia" w:ascii="宋体" w:hAnsi="宋体" w:eastAsia="宋体" w:cs="Times New Roman"/>
          <w:color w:val="auto"/>
          <w:kern w:val="2"/>
          <w:szCs w:val="24"/>
          <w:highlight w:val="none"/>
          <w:lang w:val="en-US" w:eastAsia="zh-CN"/>
        </w:rPr>
        <w:t>以上企业，不属于大企业的分支机构，不存在控股股东为大企业的情形，也不存在与大企业的负责人为同一人的情形。</w:t>
      </w:r>
    </w:p>
    <w:p>
      <w:pPr>
        <w:wordWrap w:val="0"/>
        <w:autoSpaceDE/>
        <w:autoSpaceDN/>
        <w:ind w:firstLine="480" w:firstLineChars="200"/>
        <w:jc w:val="both"/>
        <w:rPr>
          <w:rFonts w:hint="eastAsia" w:ascii="宋体" w:hAnsi="宋体" w:eastAsia="宋体" w:cs="Times New Roman"/>
          <w:color w:val="auto"/>
          <w:kern w:val="2"/>
          <w:szCs w:val="24"/>
          <w:highlight w:val="none"/>
          <w:lang w:val="en-US"/>
        </w:rPr>
      </w:pPr>
      <w:r>
        <w:rPr>
          <w:rFonts w:hint="eastAsia" w:ascii="宋体" w:hAnsi="宋体" w:eastAsia="宋体" w:cs="Times New Roman"/>
          <w:color w:val="auto"/>
          <w:kern w:val="2"/>
          <w:szCs w:val="24"/>
          <w:highlight w:val="none"/>
          <w:lang w:val="en-US" w:eastAsia="zh-CN"/>
        </w:rPr>
        <w:t>本企业对上述声明内容的真实性负责。如有虚假，将依法承担相应责任。</w:t>
      </w:r>
    </w:p>
    <w:p>
      <w:pPr>
        <w:wordWrap w:val="0"/>
        <w:autoSpaceDE/>
        <w:autoSpaceDN/>
        <w:ind w:firstLine="480" w:firstLineChars="200"/>
        <w:jc w:val="both"/>
        <w:rPr>
          <w:rFonts w:hint="eastAsia" w:ascii="宋体" w:hAnsi="宋体" w:eastAsia="宋体" w:cs="Times New Roman"/>
          <w:color w:val="auto"/>
          <w:kern w:val="2"/>
          <w:szCs w:val="24"/>
          <w:highlight w:val="none"/>
          <w:lang w:val="en-US" w:eastAsia="zh-CN"/>
        </w:rPr>
      </w:pPr>
    </w:p>
    <w:p>
      <w:pPr>
        <w:wordWrap w:val="0"/>
        <w:autoSpaceDE/>
        <w:autoSpaceDN/>
        <w:ind w:firstLine="480" w:firstLineChars="200"/>
        <w:jc w:val="both"/>
        <w:rPr>
          <w:rFonts w:hint="eastAsia" w:ascii="宋体" w:hAnsi="宋体" w:eastAsia="宋体" w:cs="Times New Roman"/>
          <w:color w:val="auto"/>
          <w:kern w:val="2"/>
          <w:szCs w:val="24"/>
          <w:highlight w:val="none"/>
          <w:lang w:val="en-US"/>
        </w:rPr>
      </w:pPr>
      <w:r>
        <w:rPr>
          <w:rFonts w:hint="eastAsia" w:ascii="宋体" w:hAnsi="宋体" w:eastAsia="宋体" w:cs="Times New Roman"/>
          <w:color w:val="auto"/>
          <w:kern w:val="2"/>
          <w:szCs w:val="24"/>
          <w:highlight w:val="none"/>
          <w:lang w:val="en-US" w:eastAsia="zh-CN"/>
        </w:rPr>
        <w:t>企业名称（盖章）：</w:t>
      </w:r>
    </w:p>
    <w:p>
      <w:pPr>
        <w:wordWrap w:val="0"/>
        <w:autoSpaceDE/>
        <w:autoSpaceDN/>
        <w:ind w:firstLine="480" w:firstLineChars="200"/>
        <w:jc w:val="both"/>
        <w:rPr>
          <w:rFonts w:hint="eastAsia" w:ascii="宋体" w:hAnsi="宋体" w:eastAsia="宋体" w:cs="Times New Roman"/>
          <w:color w:val="auto"/>
          <w:kern w:val="2"/>
          <w:szCs w:val="24"/>
          <w:highlight w:val="none"/>
          <w:lang w:val="en-US"/>
        </w:rPr>
      </w:pPr>
      <w:r>
        <w:rPr>
          <w:rFonts w:hint="eastAsia" w:ascii="宋体" w:hAnsi="宋体" w:eastAsia="宋体" w:cs="Times New Roman"/>
          <w:color w:val="auto"/>
          <w:kern w:val="2"/>
          <w:szCs w:val="24"/>
          <w:highlight w:val="none"/>
          <w:lang w:val="en-US" w:eastAsia="zh-CN"/>
        </w:rPr>
        <w:t>日期：</w:t>
      </w:r>
    </w:p>
    <w:p>
      <w:pPr>
        <w:keepNext w:val="0"/>
        <w:keepLines w:val="0"/>
        <w:pageBreakBefore w:val="0"/>
        <w:kinsoku/>
        <w:wordWrap/>
        <w:overflowPunct/>
        <w:topLinePunct w:val="0"/>
        <w:autoSpaceDE/>
        <w:autoSpaceDN/>
        <w:bidi w:val="0"/>
        <w:snapToGrid/>
        <w:spacing w:beforeLines="0" w:afterLines="0" w:line="360" w:lineRule="auto"/>
        <w:jc w:val="left"/>
        <w:textAlignment w:val="auto"/>
        <w:rPr>
          <w:rFonts w:hint="eastAsia" w:ascii="宋体" w:hAnsi="宋体" w:eastAsia="宋体" w:cs="Times New Roman"/>
          <w:color w:val="auto"/>
          <w:kern w:val="2"/>
          <w:sz w:val="24"/>
          <w:szCs w:val="24"/>
          <w:highlight w:val="none"/>
          <w:lang w:val="en-US"/>
        </w:rPr>
      </w:pPr>
      <w:r>
        <w:rPr>
          <w:rFonts w:hint="eastAsia" w:ascii="宋体" w:hAnsi="宋体" w:eastAsia="宋体" w:cs="Times New Roman"/>
          <w:color w:val="auto"/>
          <w:kern w:val="2"/>
          <w:sz w:val="24"/>
          <w:szCs w:val="24"/>
          <w:highlight w:val="none"/>
          <w:lang w:val="en-US"/>
        </w:rPr>
        <w:t>注：</w:t>
      </w:r>
    </w:p>
    <w:p>
      <w:pPr>
        <w:keepNext w:val="0"/>
        <w:keepLines w:val="0"/>
        <w:pageBreakBefore w:val="0"/>
        <w:kinsoku/>
        <w:wordWrap/>
        <w:overflowPunct/>
        <w:topLinePunct w:val="0"/>
        <w:autoSpaceDE/>
        <w:autoSpaceDN/>
        <w:bidi w:val="0"/>
        <w:snapToGrid/>
        <w:spacing w:beforeLines="0" w:afterLines="0" w:line="360" w:lineRule="auto"/>
        <w:ind w:firstLine="480" w:firstLineChars="200"/>
        <w:jc w:val="left"/>
        <w:textAlignment w:val="auto"/>
        <w:rPr>
          <w:rFonts w:hint="eastAsia" w:ascii="宋体" w:hAnsi="宋体" w:eastAsia="宋体" w:cs="Times New Roman"/>
          <w:color w:val="auto"/>
          <w:kern w:val="2"/>
          <w:sz w:val="24"/>
          <w:szCs w:val="24"/>
          <w:highlight w:val="none"/>
          <w:lang w:val="en-US" w:eastAsia="zh-CN"/>
        </w:rPr>
      </w:pPr>
      <w:r>
        <w:rPr>
          <w:rFonts w:hint="eastAsia" w:ascii="宋体" w:hAnsi="宋体" w:eastAsia="宋体" w:cs="Times New Roman"/>
          <w:color w:val="auto"/>
          <w:kern w:val="2"/>
          <w:sz w:val="24"/>
          <w:szCs w:val="24"/>
          <w:highlight w:val="none"/>
          <w:lang w:val="en-US"/>
        </w:rPr>
        <w:t>1、供应商符合《工业和信息化部、国家统计局、国家发展和改革委员会、财政部关于印发中小企业划型标准规定的通知》（工信部联企业〔2011〕300号）规定的划分标准为中小微型企业</w:t>
      </w:r>
      <w:r>
        <w:rPr>
          <w:rFonts w:hint="eastAsia" w:ascii="宋体" w:hAnsi="宋体" w:eastAsia="宋体" w:cs="Times New Roman"/>
          <w:color w:val="auto"/>
          <w:kern w:val="2"/>
          <w:sz w:val="24"/>
          <w:szCs w:val="24"/>
          <w:highlight w:val="none"/>
          <w:lang w:val="en-US" w:eastAsia="zh-CN"/>
        </w:rPr>
        <w:t>。</w:t>
      </w:r>
    </w:p>
    <w:p>
      <w:pPr>
        <w:spacing w:line="360" w:lineRule="auto"/>
        <w:ind w:firstLine="480" w:firstLineChars="200"/>
        <w:rPr>
          <w:color w:val="auto"/>
          <w:sz w:val="21"/>
          <w:szCs w:val="21"/>
          <w:highlight w:val="none"/>
        </w:rPr>
      </w:pPr>
      <w:r>
        <w:rPr>
          <w:rFonts w:hint="eastAsia" w:ascii="宋体" w:hAnsi="宋体" w:eastAsia="宋体" w:cs="Times New Roman"/>
          <w:color w:val="auto"/>
          <w:kern w:val="2"/>
          <w:sz w:val="24"/>
          <w:szCs w:val="24"/>
          <w:highlight w:val="none"/>
          <w:lang w:val="en-US"/>
        </w:rPr>
        <w:t>2、从业人员、营业收入、资产总额填报上一年度数据，无上一年度数据的新成立企业可不填报。</w:t>
      </w:r>
    </w:p>
    <w:p>
      <w:pPr>
        <w:widowControl/>
        <w:autoSpaceDE/>
        <w:autoSpaceDN/>
        <w:rPr>
          <w:color w:val="auto"/>
          <w:sz w:val="21"/>
          <w:highlight w:val="none"/>
        </w:rPr>
      </w:pPr>
      <w:r>
        <w:rPr>
          <w:color w:val="auto"/>
          <w:sz w:val="21"/>
          <w:highlight w:val="none"/>
        </w:rPr>
        <w:br w:type="page"/>
      </w:r>
    </w:p>
    <w:p>
      <w:pPr>
        <w:pStyle w:val="5"/>
        <w:autoSpaceDE/>
        <w:autoSpaceDN/>
        <w:spacing w:before="260" w:after="260" w:line="240" w:lineRule="atLeast"/>
        <w:jc w:val="center"/>
        <w:rPr>
          <w:rFonts w:ascii="Arial" w:hAnsi="Arial" w:eastAsia="黑体" w:cs="Times New Roman"/>
          <w:color w:val="auto"/>
          <w:kern w:val="2"/>
          <w:sz w:val="32"/>
          <w:szCs w:val="32"/>
          <w:highlight w:val="none"/>
          <w:lang w:val="en-US"/>
        </w:rPr>
      </w:pPr>
      <w:r>
        <w:rPr>
          <w:rFonts w:hint="eastAsia" w:ascii="Arial" w:hAnsi="Arial" w:cs="Times New Roman"/>
          <w:color w:val="auto"/>
          <w:kern w:val="2"/>
          <w:sz w:val="32"/>
          <w:szCs w:val="32"/>
          <w:highlight w:val="none"/>
          <w:lang w:val="en-US" w:eastAsia="zh-CN"/>
        </w:rPr>
        <w:t>六</w:t>
      </w:r>
      <w:r>
        <w:rPr>
          <w:rFonts w:hint="eastAsia" w:ascii="Arial" w:hAnsi="Arial" w:eastAsia="黑体" w:cs="Times New Roman"/>
          <w:color w:val="auto"/>
          <w:kern w:val="2"/>
          <w:sz w:val="32"/>
          <w:szCs w:val="32"/>
          <w:highlight w:val="none"/>
          <w:lang w:val="en-US"/>
        </w:rPr>
        <w:t>、残疾人福利性单位声明函</w:t>
      </w:r>
    </w:p>
    <w:p>
      <w:pPr>
        <w:pStyle w:val="2"/>
        <w:spacing w:line="360" w:lineRule="auto"/>
        <w:ind w:firstLine="480" w:firstLineChars="200"/>
        <w:jc w:val="both"/>
        <w:rPr>
          <w:color w:val="auto"/>
          <w:highlight w:val="none"/>
        </w:rPr>
      </w:pPr>
      <w:r>
        <w:rPr>
          <w:rFonts w:hint="eastAsia"/>
          <w:color w:val="auto"/>
          <w:highlight w:val="none"/>
        </w:rPr>
        <w:t>本单位郑重声明，根据《财政部民政部中国残疾人联合会关于促进残疾人就业政府采购政策的通知》（财库〔</w:t>
      </w:r>
      <w:r>
        <w:rPr>
          <w:color w:val="auto"/>
          <w:highlight w:val="none"/>
        </w:rPr>
        <w:t>2017</w:t>
      </w:r>
      <w:r>
        <w:rPr>
          <w:rFonts w:hint="eastAsia"/>
          <w:color w:val="auto"/>
          <w:highlight w:val="none"/>
        </w:rPr>
        <w:t>〕</w:t>
      </w:r>
      <w:r>
        <w:rPr>
          <w:color w:val="auto"/>
          <w:highlight w:val="none"/>
        </w:rPr>
        <w:t>141</w:t>
      </w:r>
      <w:r>
        <w:rPr>
          <w:rFonts w:hint="eastAsia"/>
          <w:color w:val="auto"/>
          <w:highlight w:val="none"/>
        </w:rPr>
        <w:t>号）的规定，本单位为符合条件的残疾人福利性单位，且本单位参加</w:t>
      </w:r>
      <w:r>
        <w:rPr>
          <w:rFonts w:hint="eastAsia"/>
          <w:color w:val="auto"/>
          <w:highlight w:val="none"/>
          <w:u w:val="single"/>
        </w:rPr>
        <w:t xml:space="preserve">          </w:t>
      </w:r>
      <w:r>
        <w:rPr>
          <w:rFonts w:hint="eastAsia"/>
          <w:color w:val="auto"/>
          <w:highlight w:val="none"/>
        </w:rPr>
        <w:t>单位的“</w:t>
      </w:r>
      <w:r>
        <w:rPr>
          <w:rFonts w:hint="eastAsia"/>
          <w:color w:val="auto"/>
          <w:highlight w:val="none"/>
          <w:u w:val="single"/>
        </w:rPr>
        <w:t xml:space="preserve">               </w:t>
      </w:r>
      <w:r>
        <w:rPr>
          <w:rFonts w:hint="eastAsia"/>
          <w:color w:val="auto"/>
          <w:highlight w:val="none"/>
        </w:rPr>
        <w:t>”项目采购活动提供本单位制造的货物，或者提供其他残疾人福利性单位制造的货物（不包括使用非残疾人福利性单位注册商标的货物）。</w:t>
      </w:r>
    </w:p>
    <w:p>
      <w:pPr>
        <w:pStyle w:val="2"/>
        <w:spacing w:line="360" w:lineRule="auto"/>
        <w:ind w:firstLine="480" w:firstLineChars="200"/>
        <w:jc w:val="both"/>
        <w:rPr>
          <w:color w:val="auto"/>
          <w:highlight w:val="none"/>
        </w:rPr>
      </w:pPr>
      <w:r>
        <w:rPr>
          <w:rFonts w:hint="eastAsia"/>
          <w:color w:val="auto"/>
          <w:highlight w:val="none"/>
        </w:rPr>
        <w:t>本单位对上述声明的真实性负责。如有虚假，将依法承担相应责任。</w:t>
      </w:r>
    </w:p>
    <w:p>
      <w:pPr>
        <w:pStyle w:val="2"/>
        <w:spacing w:line="360" w:lineRule="auto"/>
        <w:ind w:firstLine="480" w:firstLineChars="200"/>
        <w:jc w:val="both"/>
        <w:rPr>
          <w:color w:val="auto"/>
          <w:highlight w:val="none"/>
        </w:rPr>
      </w:pPr>
    </w:p>
    <w:p>
      <w:pPr>
        <w:spacing w:line="360" w:lineRule="auto"/>
        <w:ind w:firstLine="420" w:firstLineChars="200"/>
        <w:rPr>
          <w:color w:val="auto"/>
          <w:sz w:val="21"/>
          <w:szCs w:val="21"/>
          <w:highlight w:val="none"/>
        </w:rPr>
      </w:pPr>
      <w:r>
        <w:rPr>
          <w:rFonts w:hint="eastAsia"/>
          <w:color w:val="auto"/>
          <w:sz w:val="21"/>
          <w:szCs w:val="21"/>
          <w:highlight w:val="none"/>
        </w:rPr>
        <w:t>注：</w:t>
      </w:r>
    </w:p>
    <w:p>
      <w:pPr>
        <w:spacing w:line="360" w:lineRule="auto"/>
        <w:ind w:firstLine="420" w:firstLineChars="200"/>
        <w:rPr>
          <w:color w:val="auto"/>
          <w:sz w:val="21"/>
          <w:szCs w:val="21"/>
          <w:highlight w:val="none"/>
        </w:rPr>
      </w:pPr>
      <w:r>
        <w:rPr>
          <w:color w:val="auto"/>
          <w:sz w:val="21"/>
          <w:szCs w:val="21"/>
          <w:highlight w:val="none"/>
        </w:rPr>
        <w:t>1</w:t>
      </w:r>
      <w:r>
        <w:rPr>
          <w:rFonts w:hint="eastAsia"/>
          <w:color w:val="auto"/>
          <w:sz w:val="21"/>
          <w:szCs w:val="21"/>
          <w:highlight w:val="none"/>
        </w:rPr>
        <w:t>.残疾人福利性单位视同小型、微型企业。残疾人福利性单位属于小型、微型企业的，不重复享受政策。</w:t>
      </w:r>
    </w:p>
    <w:p>
      <w:pP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.投标人为非残疾人福利性单位的，不提供此声明。</w:t>
      </w:r>
      <w:bookmarkStart w:id="13" w:name="_bookmark3"/>
      <w:bookmarkEnd w:id="13"/>
    </w:p>
    <w:p>
      <w:pPr>
        <w:pStyle w:val="2"/>
        <w:spacing w:line="360" w:lineRule="auto"/>
        <w:ind w:firstLine="480" w:firstLineChars="200"/>
        <w:jc w:val="both"/>
        <w:rPr>
          <w:color w:val="auto"/>
          <w:highlight w:val="none"/>
        </w:rPr>
      </w:pPr>
    </w:p>
    <w:p>
      <w:pPr>
        <w:pStyle w:val="2"/>
        <w:spacing w:line="360" w:lineRule="auto"/>
        <w:ind w:firstLine="480" w:firstLineChars="200"/>
        <w:jc w:val="both"/>
        <w:rPr>
          <w:color w:val="auto"/>
          <w:highlight w:val="none"/>
        </w:rPr>
      </w:pPr>
    </w:p>
    <w:p>
      <w:pPr>
        <w:pStyle w:val="2"/>
        <w:spacing w:line="360" w:lineRule="auto"/>
        <w:ind w:firstLine="480" w:firstLineChars="200"/>
        <w:jc w:val="both"/>
        <w:rPr>
          <w:color w:val="auto"/>
          <w:highlight w:val="none"/>
        </w:rPr>
      </w:pPr>
    </w:p>
    <w:p>
      <w:pPr>
        <w:pStyle w:val="2"/>
        <w:spacing w:line="360" w:lineRule="auto"/>
        <w:ind w:firstLine="480" w:firstLineChars="200"/>
        <w:jc w:val="both"/>
        <w:rPr>
          <w:color w:val="auto"/>
          <w:highlight w:val="none"/>
        </w:rPr>
      </w:pPr>
    </w:p>
    <w:p>
      <w:pPr>
        <w:spacing w:line="480" w:lineRule="auto"/>
        <w:ind w:firstLine="480" w:firstLineChars="200"/>
        <w:rPr>
          <w:color w:val="auto"/>
          <w:sz w:val="24"/>
          <w:highlight w:val="none"/>
        </w:rPr>
      </w:pPr>
      <w:r>
        <w:rPr>
          <w:rFonts w:hint="eastAsia"/>
          <w:color w:val="auto"/>
          <w:sz w:val="24"/>
          <w:highlight w:val="none"/>
        </w:rPr>
        <w:t xml:space="preserve">                  供应商名称：</w:t>
      </w:r>
      <w:r>
        <w:rPr>
          <w:rFonts w:hint="eastAsia"/>
          <w:color w:val="auto"/>
          <w:sz w:val="24"/>
          <w:highlight w:val="none"/>
          <w:u w:val="single"/>
        </w:rPr>
        <w:t xml:space="preserve">                             </w:t>
      </w:r>
      <w:r>
        <w:rPr>
          <w:rFonts w:hint="eastAsia"/>
          <w:color w:val="auto"/>
          <w:sz w:val="24"/>
          <w:highlight w:val="none"/>
        </w:rPr>
        <w:t>（盖单位公章）</w:t>
      </w:r>
    </w:p>
    <w:p>
      <w:pPr>
        <w:spacing w:line="480" w:lineRule="auto"/>
        <w:ind w:firstLine="480" w:firstLineChars="200"/>
        <w:rPr>
          <w:color w:val="auto"/>
          <w:sz w:val="24"/>
          <w:highlight w:val="none"/>
        </w:rPr>
      </w:pPr>
      <w:r>
        <w:rPr>
          <w:rFonts w:hint="eastAsia"/>
          <w:color w:val="auto"/>
          <w:sz w:val="24"/>
          <w:highlight w:val="none"/>
        </w:rPr>
        <w:t xml:space="preserve">                  法定代表人或授权代表：</w:t>
      </w:r>
      <w:r>
        <w:rPr>
          <w:rFonts w:hint="eastAsia"/>
          <w:color w:val="auto"/>
          <w:sz w:val="24"/>
          <w:highlight w:val="none"/>
          <w:u w:val="single"/>
        </w:rPr>
        <w:t xml:space="preserve">                   </w:t>
      </w:r>
      <w:r>
        <w:rPr>
          <w:rFonts w:hint="eastAsia"/>
          <w:color w:val="auto"/>
          <w:sz w:val="24"/>
          <w:highlight w:val="none"/>
        </w:rPr>
        <w:t>（签字）</w:t>
      </w:r>
    </w:p>
    <w:p>
      <w:pPr>
        <w:spacing w:line="480" w:lineRule="auto"/>
        <w:ind w:firstLine="480" w:firstLineChars="200"/>
        <w:rPr>
          <w:color w:val="auto"/>
          <w:sz w:val="24"/>
          <w:szCs w:val="24"/>
          <w:highlight w:val="none"/>
        </w:rPr>
      </w:pPr>
      <w:r>
        <w:rPr>
          <w:rFonts w:hint="eastAsia"/>
          <w:color w:val="auto"/>
          <w:sz w:val="24"/>
          <w:highlight w:val="none"/>
        </w:rPr>
        <w:t xml:space="preserve">                  日      期：</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w:t>
      </w:r>
    </w:p>
    <w:p>
      <w:pPr>
        <w:pStyle w:val="2"/>
        <w:spacing w:line="360" w:lineRule="auto"/>
        <w:ind w:firstLine="480" w:firstLineChars="200"/>
        <w:jc w:val="both"/>
        <w:rPr>
          <w:color w:val="auto"/>
          <w:highlight w:val="none"/>
        </w:rPr>
      </w:pPr>
    </w:p>
    <w:p>
      <w:pPr>
        <w:pStyle w:val="2"/>
        <w:spacing w:line="360" w:lineRule="auto"/>
        <w:ind w:firstLine="480" w:firstLineChars="200"/>
        <w:jc w:val="both"/>
        <w:rPr>
          <w:color w:val="auto"/>
          <w:highlight w:val="none"/>
        </w:rPr>
      </w:pPr>
    </w:p>
    <w:p>
      <w:pPr>
        <w:pStyle w:val="2"/>
        <w:spacing w:line="360" w:lineRule="auto"/>
        <w:ind w:firstLine="480" w:firstLineChars="200"/>
        <w:jc w:val="both"/>
        <w:rPr>
          <w:color w:val="auto"/>
          <w:highlight w:val="none"/>
        </w:rPr>
      </w:pPr>
      <w:r>
        <w:rPr>
          <w:color w:val="auto"/>
          <w:highlight w:val="none"/>
        </w:rPr>
        <w:br w:type="page"/>
      </w:r>
    </w:p>
    <w:p>
      <w:pPr>
        <w:pStyle w:val="5"/>
        <w:bidi w:val="0"/>
        <w:rPr>
          <w:color w:val="auto"/>
          <w:highlight w:val="none"/>
        </w:rPr>
      </w:pPr>
      <w:r>
        <w:rPr>
          <w:rFonts w:hint="eastAsia"/>
          <w:color w:val="auto"/>
          <w:highlight w:val="none"/>
          <w:lang w:val="en-US" w:eastAsia="zh-CN"/>
        </w:rPr>
        <w:t>七</w:t>
      </w:r>
      <w:r>
        <w:rPr>
          <w:rFonts w:hint="eastAsia"/>
          <w:color w:val="auto"/>
          <w:highlight w:val="none"/>
        </w:rPr>
        <w:t>、投标人其他资格、资质性及其他类似效力要求的相关证明材料</w:t>
      </w:r>
    </w:p>
    <w:p>
      <w:pPr>
        <w:pStyle w:val="2"/>
        <w:spacing w:line="360" w:lineRule="auto"/>
        <w:ind w:firstLine="420" w:firstLineChars="200"/>
        <w:jc w:val="both"/>
        <w:rPr>
          <w:color w:val="auto"/>
          <w:sz w:val="21"/>
          <w:szCs w:val="21"/>
          <w:highlight w:val="none"/>
        </w:rPr>
      </w:pPr>
      <w:r>
        <w:rPr>
          <w:rFonts w:hint="eastAsia"/>
          <w:color w:val="auto"/>
          <w:sz w:val="21"/>
          <w:szCs w:val="21"/>
          <w:highlight w:val="none"/>
        </w:rPr>
        <w:t>（注：投标人应按招标文件第五章相关要求提供佐证材料，有格式要求的从其要求，无格式要求的格式自拟。）</w:t>
      </w:r>
    </w:p>
    <w:p>
      <w:pPr>
        <w:pStyle w:val="2"/>
        <w:spacing w:line="360" w:lineRule="auto"/>
        <w:ind w:firstLine="480" w:firstLineChars="200"/>
        <w:jc w:val="both"/>
        <w:rPr>
          <w:bCs/>
          <w:color w:val="auto"/>
          <w:highlight w:val="none"/>
        </w:rPr>
      </w:pPr>
    </w:p>
    <w:p>
      <w:pPr>
        <w:pStyle w:val="2"/>
        <w:spacing w:line="360" w:lineRule="auto"/>
        <w:ind w:firstLine="480" w:firstLineChars="200"/>
        <w:jc w:val="both"/>
        <w:rPr>
          <w:bCs/>
          <w:color w:val="auto"/>
          <w:highlight w:val="none"/>
        </w:rPr>
      </w:pPr>
    </w:p>
    <w:p>
      <w:pPr>
        <w:pStyle w:val="2"/>
        <w:spacing w:line="360" w:lineRule="auto"/>
        <w:ind w:firstLine="480" w:firstLineChars="200"/>
        <w:jc w:val="both"/>
        <w:rPr>
          <w:bCs/>
          <w:color w:val="auto"/>
          <w:highlight w:val="none"/>
        </w:rPr>
      </w:pPr>
    </w:p>
    <w:p>
      <w:pPr>
        <w:pStyle w:val="2"/>
        <w:spacing w:line="360" w:lineRule="auto"/>
        <w:ind w:firstLine="480" w:firstLineChars="200"/>
        <w:jc w:val="both"/>
        <w:rPr>
          <w:bCs/>
          <w:color w:val="auto"/>
          <w:highlight w:val="none"/>
        </w:rPr>
      </w:pPr>
    </w:p>
    <w:p>
      <w:pPr>
        <w:widowControl/>
        <w:autoSpaceDE/>
        <w:autoSpaceDN/>
        <w:rPr>
          <w:color w:val="auto"/>
          <w:sz w:val="24"/>
          <w:szCs w:val="24"/>
          <w:highlight w:val="none"/>
        </w:rPr>
      </w:pPr>
      <w:r>
        <w:rPr>
          <w:color w:val="auto"/>
          <w:highlight w:val="none"/>
        </w:rPr>
        <w:br w:type="page"/>
      </w:r>
    </w:p>
    <w:p>
      <w:pPr>
        <w:pStyle w:val="5"/>
        <w:bidi w:val="0"/>
        <w:rPr>
          <w:color w:val="auto"/>
          <w:highlight w:val="none"/>
        </w:rPr>
      </w:pPr>
      <w:r>
        <w:rPr>
          <w:rFonts w:hint="eastAsia"/>
          <w:color w:val="auto"/>
          <w:highlight w:val="none"/>
          <w:lang w:val="en-US" w:eastAsia="zh-CN"/>
        </w:rPr>
        <w:t>八</w:t>
      </w:r>
      <w:r>
        <w:rPr>
          <w:rFonts w:hint="eastAsia"/>
          <w:color w:val="auto"/>
          <w:highlight w:val="none"/>
        </w:rPr>
        <w:t>、投标产品其他资格、资质性及其他类似效力要求相关证明材料</w:t>
      </w:r>
    </w:p>
    <w:p>
      <w:pPr>
        <w:pStyle w:val="2"/>
        <w:spacing w:line="360" w:lineRule="auto"/>
        <w:ind w:firstLine="420" w:firstLineChars="200"/>
        <w:jc w:val="both"/>
        <w:rPr>
          <w:color w:val="auto"/>
          <w:sz w:val="21"/>
          <w:szCs w:val="21"/>
          <w:highlight w:val="none"/>
        </w:rPr>
      </w:pPr>
      <w:r>
        <w:rPr>
          <w:rFonts w:hint="eastAsia"/>
          <w:color w:val="auto"/>
          <w:sz w:val="21"/>
          <w:szCs w:val="21"/>
          <w:highlight w:val="none"/>
        </w:rPr>
        <w:t>（注：投标人应按招标文件第五章相关要求提供佐证材料，有格式要求的从其要求，无格式要求的格式自拟。）</w:t>
      </w:r>
    </w:p>
    <w:p>
      <w:pPr>
        <w:pStyle w:val="2"/>
        <w:spacing w:line="360" w:lineRule="auto"/>
        <w:ind w:firstLine="480" w:firstLineChars="200"/>
        <w:jc w:val="both"/>
        <w:rPr>
          <w:bCs/>
          <w:color w:val="auto"/>
          <w:highlight w:val="none"/>
        </w:rPr>
      </w:pPr>
    </w:p>
    <w:p>
      <w:pPr>
        <w:pStyle w:val="2"/>
        <w:spacing w:line="360" w:lineRule="auto"/>
        <w:ind w:firstLine="480" w:firstLineChars="200"/>
        <w:jc w:val="both"/>
        <w:rPr>
          <w:bCs/>
          <w:color w:val="auto"/>
          <w:highlight w:val="none"/>
        </w:rPr>
      </w:pPr>
    </w:p>
    <w:p>
      <w:pPr>
        <w:pStyle w:val="2"/>
        <w:spacing w:line="360" w:lineRule="auto"/>
        <w:ind w:firstLine="480" w:firstLineChars="200"/>
        <w:jc w:val="both"/>
        <w:rPr>
          <w:bCs/>
          <w:color w:val="auto"/>
          <w:highlight w:val="none"/>
        </w:rPr>
      </w:pPr>
    </w:p>
    <w:p>
      <w:pPr>
        <w:widowControl/>
        <w:autoSpaceDE/>
        <w:autoSpaceDN/>
        <w:rPr>
          <w:bCs/>
          <w:color w:val="auto"/>
          <w:sz w:val="24"/>
          <w:szCs w:val="24"/>
          <w:highlight w:val="none"/>
        </w:rPr>
      </w:pPr>
      <w:r>
        <w:rPr>
          <w:bCs/>
          <w:color w:val="auto"/>
          <w:highlight w:val="none"/>
        </w:rPr>
        <w:br w:type="page"/>
      </w:r>
    </w:p>
    <w:p>
      <w:pPr>
        <w:pStyle w:val="2"/>
        <w:spacing w:line="360" w:lineRule="auto"/>
        <w:jc w:val="both"/>
        <w:rPr>
          <w:color w:val="auto"/>
          <w:sz w:val="29"/>
          <w:highlight w:val="none"/>
        </w:rPr>
      </w:pPr>
    </w:p>
    <w:p>
      <w:pPr>
        <w:spacing w:before="50"/>
        <w:jc w:val="right"/>
        <w:rPr>
          <w:color w:val="auto"/>
          <w:sz w:val="36"/>
          <w:highlight w:val="none"/>
        </w:rPr>
      </w:pPr>
      <w:r>
        <w:rPr>
          <w:rFonts w:hint="eastAsia"/>
          <w:color w:val="auto"/>
          <w:sz w:val="36"/>
          <w:highlight w:val="none"/>
        </w:rPr>
        <w:t>（正本</w:t>
      </w:r>
      <w:r>
        <w:rPr>
          <w:color w:val="auto"/>
          <w:sz w:val="36"/>
          <w:highlight w:val="none"/>
        </w:rPr>
        <w:t>/</w:t>
      </w:r>
      <w:r>
        <w:rPr>
          <w:rFonts w:hint="eastAsia"/>
          <w:color w:val="auto"/>
          <w:sz w:val="36"/>
          <w:highlight w:val="none"/>
        </w:rPr>
        <w:t>副本）</w:t>
      </w:r>
    </w:p>
    <w:p>
      <w:pPr>
        <w:pStyle w:val="2"/>
        <w:spacing w:line="360" w:lineRule="auto"/>
        <w:jc w:val="both"/>
        <w:rPr>
          <w:color w:val="auto"/>
          <w:sz w:val="36"/>
          <w:highlight w:val="none"/>
        </w:rPr>
      </w:pPr>
    </w:p>
    <w:p>
      <w:pPr>
        <w:pStyle w:val="2"/>
        <w:spacing w:line="360" w:lineRule="auto"/>
        <w:jc w:val="both"/>
        <w:rPr>
          <w:color w:val="auto"/>
          <w:sz w:val="36"/>
          <w:highlight w:val="none"/>
        </w:rPr>
      </w:pPr>
    </w:p>
    <w:p>
      <w:pPr>
        <w:pStyle w:val="2"/>
        <w:ind w:firstLine="1566" w:firstLineChars="300"/>
        <w:rPr>
          <w:color w:val="auto"/>
          <w:sz w:val="52"/>
          <w:szCs w:val="52"/>
          <w:highlight w:val="none"/>
        </w:rPr>
      </w:pPr>
      <w:r>
        <w:rPr>
          <w:rFonts w:hint="eastAsia"/>
          <w:b/>
          <w:color w:val="auto"/>
          <w:sz w:val="52"/>
          <w:szCs w:val="52"/>
          <w:highlight w:val="none"/>
          <w:u w:val="single"/>
          <w:lang w:val="en-US" w:eastAsia="zh-CN"/>
        </w:rPr>
        <w:t xml:space="preserve">                       </w:t>
      </w:r>
      <w:r>
        <w:rPr>
          <w:rFonts w:hint="eastAsia"/>
          <w:b/>
          <w:color w:val="auto"/>
          <w:sz w:val="52"/>
          <w:szCs w:val="52"/>
          <w:highlight w:val="none"/>
          <w:lang w:val="en-US"/>
        </w:rPr>
        <w:t>项目</w:t>
      </w:r>
    </w:p>
    <w:p>
      <w:pPr>
        <w:pStyle w:val="2"/>
        <w:spacing w:line="360" w:lineRule="auto"/>
        <w:jc w:val="both"/>
        <w:rPr>
          <w:color w:val="auto"/>
          <w:sz w:val="36"/>
          <w:highlight w:val="none"/>
        </w:rPr>
      </w:pPr>
    </w:p>
    <w:p>
      <w:pPr>
        <w:pStyle w:val="2"/>
        <w:spacing w:line="360" w:lineRule="auto"/>
        <w:jc w:val="both"/>
        <w:rPr>
          <w:color w:val="auto"/>
          <w:sz w:val="36"/>
          <w:highlight w:val="none"/>
        </w:rPr>
      </w:pPr>
    </w:p>
    <w:p>
      <w:pPr>
        <w:pStyle w:val="2"/>
        <w:spacing w:line="360" w:lineRule="auto"/>
        <w:jc w:val="both"/>
        <w:rPr>
          <w:color w:val="auto"/>
          <w:sz w:val="36"/>
          <w:highlight w:val="none"/>
        </w:rPr>
      </w:pPr>
    </w:p>
    <w:p>
      <w:pPr>
        <w:jc w:val="center"/>
        <w:rPr>
          <w:b/>
          <w:color w:val="auto"/>
          <w:sz w:val="96"/>
          <w:szCs w:val="96"/>
          <w:highlight w:val="none"/>
        </w:rPr>
      </w:pPr>
      <w:r>
        <w:rPr>
          <w:rFonts w:hint="eastAsia"/>
          <w:b/>
          <w:color w:val="auto"/>
          <w:sz w:val="96"/>
          <w:szCs w:val="96"/>
          <w:highlight w:val="none"/>
        </w:rPr>
        <w:t>其他响应文件</w:t>
      </w:r>
    </w:p>
    <w:p>
      <w:pPr>
        <w:pStyle w:val="2"/>
        <w:spacing w:line="360" w:lineRule="auto"/>
        <w:jc w:val="both"/>
        <w:rPr>
          <w:color w:val="auto"/>
          <w:sz w:val="36"/>
          <w:highlight w:val="none"/>
        </w:rPr>
      </w:pPr>
    </w:p>
    <w:p>
      <w:pPr>
        <w:pStyle w:val="2"/>
        <w:spacing w:line="360" w:lineRule="auto"/>
        <w:jc w:val="both"/>
        <w:rPr>
          <w:color w:val="auto"/>
          <w:sz w:val="36"/>
          <w:highlight w:val="none"/>
        </w:rPr>
      </w:pPr>
    </w:p>
    <w:p>
      <w:pPr>
        <w:pStyle w:val="2"/>
        <w:spacing w:line="360" w:lineRule="auto"/>
        <w:jc w:val="both"/>
        <w:rPr>
          <w:color w:val="auto"/>
          <w:sz w:val="36"/>
          <w:highlight w:val="none"/>
        </w:rPr>
      </w:pPr>
    </w:p>
    <w:p>
      <w:pPr>
        <w:pStyle w:val="2"/>
        <w:spacing w:line="360" w:lineRule="auto"/>
        <w:ind w:firstLine="642"/>
        <w:jc w:val="both"/>
        <w:rPr>
          <w:rFonts w:hint="eastAsia"/>
          <w:b/>
          <w:color w:val="auto"/>
          <w:sz w:val="32"/>
          <w:szCs w:val="32"/>
          <w:highlight w:val="none"/>
          <w:u w:val="single"/>
        </w:rPr>
      </w:pPr>
      <w:r>
        <w:rPr>
          <w:rFonts w:hint="eastAsia"/>
          <w:b/>
          <w:color w:val="auto"/>
          <w:sz w:val="32"/>
          <w:szCs w:val="32"/>
          <w:highlight w:val="none"/>
        </w:rPr>
        <w:t>项 目 编 号：</w:t>
      </w:r>
      <w:r>
        <w:rPr>
          <w:rFonts w:hint="eastAsia"/>
          <w:b/>
          <w:color w:val="auto"/>
          <w:sz w:val="32"/>
          <w:szCs w:val="32"/>
          <w:highlight w:val="none"/>
          <w:u w:val="single"/>
        </w:rPr>
        <w:t xml:space="preserve">                             </w:t>
      </w:r>
    </w:p>
    <w:p>
      <w:pPr>
        <w:pStyle w:val="2"/>
        <w:spacing w:line="360" w:lineRule="auto"/>
        <w:ind w:firstLine="643" w:firstLineChars="200"/>
        <w:jc w:val="both"/>
        <w:rPr>
          <w:color w:val="auto"/>
          <w:highlight w:val="none"/>
        </w:rPr>
      </w:pPr>
      <w:r>
        <w:rPr>
          <w:rFonts w:hint="eastAsia"/>
          <w:b/>
          <w:color w:val="auto"/>
          <w:sz w:val="32"/>
          <w:szCs w:val="32"/>
          <w:highlight w:val="none"/>
          <w:lang w:val="en-US" w:eastAsia="zh-CN"/>
        </w:rPr>
        <w:t>包       号:</w:t>
      </w:r>
      <w:r>
        <w:rPr>
          <w:rFonts w:hint="eastAsia"/>
          <w:b/>
          <w:color w:val="auto"/>
          <w:sz w:val="32"/>
          <w:szCs w:val="32"/>
          <w:highlight w:val="none"/>
          <w:u w:val="single"/>
        </w:rPr>
        <w:t xml:space="preserve">                            </w:t>
      </w:r>
    </w:p>
    <w:p>
      <w:pPr>
        <w:pStyle w:val="2"/>
        <w:spacing w:line="360" w:lineRule="auto"/>
        <w:jc w:val="both"/>
        <w:rPr>
          <w:b/>
          <w:color w:val="auto"/>
          <w:sz w:val="32"/>
          <w:szCs w:val="32"/>
          <w:highlight w:val="none"/>
        </w:rPr>
      </w:pPr>
      <w:r>
        <w:rPr>
          <w:rFonts w:hint="eastAsia"/>
          <w:b/>
          <w:color w:val="auto"/>
          <w:sz w:val="32"/>
          <w:szCs w:val="32"/>
          <w:highlight w:val="none"/>
        </w:rPr>
        <w:t xml:space="preserve">    投标人名称 ：</w:t>
      </w:r>
      <w:r>
        <w:rPr>
          <w:rFonts w:hint="eastAsia"/>
          <w:b/>
          <w:color w:val="auto"/>
          <w:sz w:val="32"/>
          <w:szCs w:val="32"/>
          <w:highlight w:val="none"/>
          <w:u w:val="single"/>
        </w:rPr>
        <w:t xml:space="preserve">                            </w:t>
      </w:r>
      <w:r>
        <w:rPr>
          <w:rFonts w:hint="eastAsia"/>
          <w:b/>
          <w:color w:val="auto"/>
          <w:sz w:val="32"/>
          <w:szCs w:val="32"/>
          <w:highlight w:val="none"/>
          <w:lang w:val="en-US"/>
        </w:rPr>
        <w:t>（盖单位章）</w:t>
      </w:r>
    </w:p>
    <w:p>
      <w:pPr>
        <w:pStyle w:val="2"/>
        <w:spacing w:line="360" w:lineRule="auto"/>
        <w:jc w:val="both"/>
        <w:rPr>
          <w:color w:val="auto"/>
          <w:sz w:val="32"/>
          <w:szCs w:val="32"/>
          <w:highlight w:val="none"/>
        </w:rPr>
      </w:pPr>
      <w:r>
        <w:rPr>
          <w:rFonts w:hint="eastAsia"/>
          <w:b/>
          <w:color w:val="auto"/>
          <w:sz w:val="32"/>
          <w:szCs w:val="32"/>
          <w:highlight w:val="none"/>
          <w:lang w:val="en-US"/>
        </w:rPr>
        <w:t xml:space="preserve">    法定代表人或其委托代理人：</w:t>
      </w:r>
      <w:r>
        <w:rPr>
          <w:rFonts w:hint="eastAsia"/>
          <w:b/>
          <w:color w:val="auto"/>
          <w:sz w:val="32"/>
          <w:szCs w:val="32"/>
          <w:highlight w:val="none"/>
          <w:u w:val="single"/>
          <w:lang w:val="en-US"/>
        </w:rPr>
        <w:t xml:space="preserve">           </w:t>
      </w:r>
      <w:r>
        <w:rPr>
          <w:rFonts w:hint="eastAsia"/>
          <w:b/>
          <w:color w:val="auto"/>
          <w:sz w:val="32"/>
          <w:szCs w:val="32"/>
          <w:highlight w:val="none"/>
          <w:lang w:val="en-US"/>
        </w:rPr>
        <w:t>（签字）</w:t>
      </w:r>
    </w:p>
    <w:p>
      <w:pPr>
        <w:widowControl/>
        <w:autoSpaceDE/>
        <w:autoSpaceDN/>
        <w:spacing w:line="360" w:lineRule="auto"/>
        <w:rPr>
          <w:b/>
          <w:color w:val="auto"/>
          <w:sz w:val="32"/>
          <w:szCs w:val="32"/>
          <w:highlight w:val="none"/>
          <w:lang w:val="en-US"/>
        </w:rPr>
      </w:pPr>
      <w:r>
        <w:rPr>
          <w:rFonts w:hint="eastAsia"/>
          <w:b/>
          <w:color w:val="auto"/>
          <w:sz w:val="32"/>
          <w:szCs w:val="32"/>
          <w:highlight w:val="none"/>
          <w:lang w:val="en-US"/>
        </w:rPr>
        <w:t xml:space="preserve">    投 标 时 间：</w:t>
      </w:r>
      <w:r>
        <w:rPr>
          <w:rFonts w:hint="eastAsia"/>
          <w:b/>
          <w:color w:val="auto"/>
          <w:sz w:val="32"/>
          <w:szCs w:val="32"/>
          <w:highlight w:val="none"/>
          <w:u w:val="single"/>
          <w:lang w:val="en-US"/>
        </w:rPr>
        <w:t xml:space="preserve">     </w:t>
      </w:r>
      <w:r>
        <w:rPr>
          <w:rFonts w:hint="eastAsia"/>
          <w:b/>
          <w:color w:val="auto"/>
          <w:sz w:val="32"/>
          <w:szCs w:val="32"/>
          <w:highlight w:val="none"/>
          <w:lang w:val="en-US"/>
        </w:rPr>
        <w:t>年</w:t>
      </w:r>
      <w:r>
        <w:rPr>
          <w:rFonts w:hint="eastAsia"/>
          <w:b/>
          <w:color w:val="auto"/>
          <w:sz w:val="32"/>
          <w:szCs w:val="32"/>
          <w:highlight w:val="none"/>
          <w:u w:val="single"/>
          <w:lang w:val="en-US"/>
        </w:rPr>
        <w:t xml:space="preserve">    </w:t>
      </w:r>
      <w:r>
        <w:rPr>
          <w:rFonts w:hint="eastAsia"/>
          <w:b/>
          <w:color w:val="auto"/>
          <w:sz w:val="32"/>
          <w:szCs w:val="32"/>
          <w:highlight w:val="none"/>
          <w:lang w:val="en-US"/>
        </w:rPr>
        <w:t>月</w:t>
      </w:r>
      <w:r>
        <w:rPr>
          <w:rFonts w:hint="eastAsia"/>
          <w:b/>
          <w:color w:val="auto"/>
          <w:sz w:val="32"/>
          <w:szCs w:val="32"/>
          <w:highlight w:val="none"/>
          <w:u w:val="single"/>
          <w:lang w:val="en-US"/>
        </w:rPr>
        <w:t xml:space="preserve">    </w:t>
      </w:r>
      <w:r>
        <w:rPr>
          <w:rFonts w:hint="eastAsia"/>
          <w:b/>
          <w:color w:val="auto"/>
          <w:sz w:val="32"/>
          <w:szCs w:val="32"/>
          <w:highlight w:val="none"/>
          <w:lang w:val="en-US"/>
        </w:rPr>
        <w:t>日</w:t>
      </w:r>
    </w:p>
    <w:p>
      <w:pPr>
        <w:widowControl/>
        <w:autoSpaceDE/>
        <w:autoSpaceDN/>
        <w:rPr>
          <w:b/>
          <w:color w:val="auto"/>
          <w:sz w:val="32"/>
          <w:szCs w:val="32"/>
          <w:highlight w:val="none"/>
          <w:lang w:val="en-US"/>
        </w:rPr>
      </w:pPr>
    </w:p>
    <w:p>
      <w:pPr>
        <w:widowControl/>
        <w:autoSpaceDE/>
        <w:autoSpaceDN/>
        <w:rPr>
          <w:color w:val="auto"/>
          <w:sz w:val="31"/>
          <w:szCs w:val="31"/>
          <w:highlight w:val="none"/>
        </w:rPr>
      </w:pPr>
      <w:r>
        <w:rPr>
          <w:color w:val="auto"/>
          <w:highlight w:val="none"/>
        </w:rPr>
        <w:br w:type="page"/>
      </w:r>
    </w:p>
    <w:p>
      <w:pPr>
        <w:pStyle w:val="5"/>
        <w:bidi w:val="0"/>
        <w:rPr>
          <w:color w:val="auto"/>
          <w:highlight w:val="none"/>
        </w:rPr>
      </w:pPr>
      <w:r>
        <w:rPr>
          <w:rFonts w:hint="eastAsia"/>
          <w:color w:val="auto"/>
          <w:highlight w:val="none"/>
          <w:lang w:val="en-US"/>
        </w:rPr>
        <w:t>一、投标函</w:t>
      </w:r>
    </w:p>
    <w:p>
      <w:pPr>
        <w:spacing w:line="360" w:lineRule="auto"/>
        <w:rPr>
          <w:b/>
          <w:color w:val="auto"/>
          <w:sz w:val="24"/>
          <w:highlight w:val="none"/>
        </w:rPr>
      </w:pPr>
      <w:r>
        <w:rPr>
          <w:rFonts w:hint="eastAsia"/>
          <w:b/>
          <w:color w:val="auto"/>
          <w:sz w:val="24"/>
          <w:highlight w:val="none"/>
          <w:u w:val="single"/>
        </w:rPr>
        <w:t xml:space="preserve">               </w:t>
      </w:r>
      <w:r>
        <w:rPr>
          <w:rFonts w:hint="eastAsia"/>
          <w:b/>
          <w:color w:val="auto"/>
          <w:sz w:val="24"/>
          <w:highlight w:val="none"/>
        </w:rPr>
        <w:t>（采购代理机构名称）：</w:t>
      </w:r>
    </w:p>
    <w:p>
      <w:pPr>
        <w:pStyle w:val="2"/>
        <w:spacing w:line="360" w:lineRule="auto"/>
        <w:ind w:firstLine="480" w:firstLineChars="200"/>
        <w:jc w:val="both"/>
        <w:rPr>
          <w:bCs/>
          <w:color w:val="auto"/>
          <w:highlight w:val="none"/>
        </w:rPr>
      </w:pPr>
      <w:r>
        <w:rPr>
          <w:rFonts w:hint="eastAsia"/>
          <w:bCs/>
          <w:color w:val="auto"/>
          <w:highlight w:val="none"/>
        </w:rPr>
        <w:t>我方全面研究了“</w:t>
      </w:r>
      <w:r>
        <w:rPr>
          <w:rFonts w:hint="eastAsia"/>
          <w:bCs/>
          <w:color w:val="auto"/>
          <w:highlight w:val="none"/>
          <w:u w:val="single"/>
        </w:rPr>
        <w:t xml:space="preserve">          </w:t>
      </w:r>
      <w:r>
        <w:rPr>
          <w:rFonts w:hint="eastAsia"/>
          <w:bCs/>
          <w:color w:val="auto"/>
          <w:highlight w:val="none"/>
        </w:rPr>
        <w:t>”项目招标文件（招标编号：</w:t>
      </w:r>
      <w:r>
        <w:rPr>
          <w:rFonts w:hint="eastAsia"/>
          <w:bCs/>
          <w:color w:val="auto"/>
          <w:highlight w:val="none"/>
          <w:u w:val="single"/>
        </w:rPr>
        <w:t xml:space="preserve">       </w:t>
      </w:r>
      <w:r>
        <w:rPr>
          <w:rFonts w:hint="eastAsia"/>
          <w:bCs/>
          <w:color w:val="auto"/>
          <w:highlight w:val="none"/>
        </w:rPr>
        <w:t>），决定参加贵单位组织的本项目的投标。我方授权</w:t>
      </w:r>
      <w:r>
        <w:rPr>
          <w:rFonts w:hint="eastAsia"/>
          <w:bCs/>
          <w:color w:val="auto"/>
          <w:highlight w:val="none"/>
          <w:u w:val="single"/>
        </w:rPr>
        <w:t xml:space="preserve">        </w:t>
      </w:r>
      <w:r>
        <w:rPr>
          <w:rFonts w:hint="eastAsia"/>
          <w:bCs/>
          <w:color w:val="auto"/>
          <w:highlight w:val="none"/>
        </w:rPr>
        <w:t>（姓名、职务）代表我方</w:t>
      </w:r>
      <w:r>
        <w:rPr>
          <w:rFonts w:hint="eastAsia"/>
          <w:bCs/>
          <w:color w:val="auto"/>
          <w:highlight w:val="none"/>
          <w:u w:val="single"/>
        </w:rPr>
        <w:t xml:space="preserve">           </w:t>
      </w:r>
      <w:r>
        <w:rPr>
          <w:rFonts w:hint="eastAsia"/>
          <w:bCs/>
          <w:color w:val="auto"/>
          <w:highlight w:val="none"/>
        </w:rPr>
        <w:t>（投标单位的名称）全权处理本项目投标的有关事宜。</w:t>
      </w:r>
    </w:p>
    <w:p>
      <w:pPr>
        <w:pStyle w:val="2"/>
        <w:spacing w:line="360" w:lineRule="auto"/>
        <w:ind w:firstLine="480" w:firstLineChars="200"/>
        <w:jc w:val="both"/>
        <w:rPr>
          <w:bCs/>
          <w:color w:val="auto"/>
          <w:highlight w:val="none"/>
        </w:rPr>
      </w:pPr>
      <w:r>
        <w:rPr>
          <w:bCs/>
          <w:color w:val="auto"/>
          <w:highlight w:val="none"/>
        </w:rPr>
        <w:t>1</w:t>
      </w:r>
      <w:r>
        <w:rPr>
          <w:rFonts w:hint="eastAsia"/>
          <w:bCs/>
          <w:color w:val="auto"/>
          <w:highlight w:val="none"/>
        </w:rPr>
        <w:t>、我方自愿按照招标文件规定的各项要求向采购人提供所需货物，总投标</w:t>
      </w:r>
      <w:r>
        <w:rPr>
          <w:rFonts w:hint="eastAsia"/>
          <w:bCs/>
          <w:color w:val="auto"/>
          <w:highlight w:val="none"/>
          <w:lang w:eastAsia="zh-CN"/>
        </w:rPr>
        <w:t>报价</w:t>
      </w:r>
      <w:r>
        <w:rPr>
          <w:rFonts w:hint="eastAsia"/>
          <w:bCs/>
          <w:color w:val="auto"/>
          <w:highlight w:val="none"/>
        </w:rPr>
        <w:t>为人民币</w:t>
      </w:r>
      <w:r>
        <w:rPr>
          <w:rFonts w:hint="eastAsia"/>
          <w:bCs/>
          <w:color w:val="auto"/>
          <w:highlight w:val="none"/>
          <w:u w:val="single"/>
        </w:rPr>
        <w:t xml:space="preserve">          </w:t>
      </w:r>
      <w:r>
        <w:rPr>
          <w:rFonts w:hint="eastAsia"/>
          <w:bCs/>
          <w:color w:val="auto"/>
          <w:highlight w:val="none"/>
          <w:u w:val="none"/>
          <w:lang w:val="en-US" w:eastAsia="zh-CN"/>
        </w:rPr>
        <w:t>万</w:t>
      </w:r>
      <w:r>
        <w:rPr>
          <w:rFonts w:hint="eastAsia"/>
          <w:bCs/>
          <w:color w:val="auto"/>
          <w:highlight w:val="none"/>
        </w:rPr>
        <w:t>元（大写：</w:t>
      </w:r>
      <w:r>
        <w:rPr>
          <w:rFonts w:hint="eastAsia"/>
          <w:bCs/>
          <w:color w:val="auto"/>
          <w:highlight w:val="none"/>
          <w:u w:val="single"/>
        </w:rPr>
        <w:t xml:space="preserve">   </w:t>
      </w:r>
      <w:r>
        <w:rPr>
          <w:rFonts w:hint="eastAsia"/>
          <w:bCs/>
          <w:color w:val="auto"/>
          <w:highlight w:val="none"/>
          <w:u w:val="single"/>
          <w:lang w:val="en-US" w:eastAsia="zh-CN"/>
        </w:rPr>
        <w:t xml:space="preserve">     </w:t>
      </w:r>
      <w:r>
        <w:rPr>
          <w:rFonts w:hint="eastAsia"/>
          <w:bCs/>
          <w:color w:val="auto"/>
          <w:highlight w:val="none"/>
          <w:u w:val="single"/>
        </w:rPr>
        <w:t xml:space="preserve">   </w:t>
      </w:r>
      <w:r>
        <w:rPr>
          <w:rFonts w:hint="eastAsia"/>
          <w:bCs/>
          <w:color w:val="auto"/>
          <w:highlight w:val="none"/>
        </w:rPr>
        <w:t>）。</w:t>
      </w:r>
    </w:p>
    <w:p>
      <w:pPr>
        <w:pStyle w:val="2"/>
        <w:spacing w:line="360" w:lineRule="auto"/>
        <w:ind w:firstLine="480" w:firstLineChars="200"/>
        <w:jc w:val="both"/>
        <w:rPr>
          <w:bCs/>
          <w:color w:val="auto"/>
          <w:highlight w:val="none"/>
        </w:rPr>
      </w:pPr>
      <w:r>
        <w:rPr>
          <w:bCs/>
          <w:color w:val="auto"/>
          <w:highlight w:val="none"/>
        </w:rPr>
        <w:t>2</w:t>
      </w:r>
      <w:r>
        <w:rPr>
          <w:rFonts w:hint="eastAsia"/>
          <w:bCs/>
          <w:color w:val="auto"/>
          <w:highlight w:val="none"/>
        </w:rPr>
        <w:t>、一旦我方中标，我方将严格履行合同规定的责任和义务。</w:t>
      </w:r>
    </w:p>
    <w:p>
      <w:pPr>
        <w:pStyle w:val="2"/>
        <w:spacing w:line="360" w:lineRule="auto"/>
        <w:ind w:firstLine="480" w:firstLineChars="200"/>
        <w:jc w:val="both"/>
        <w:rPr>
          <w:bCs/>
          <w:color w:val="auto"/>
          <w:highlight w:val="none"/>
        </w:rPr>
      </w:pPr>
      <w:r>
        <w:rPr>
          <w:bCs/>
          <w:color w:val="auto"/>
          <w:highlight w:val="none"/>
        </w:rPr>
        <w:t>3</w:t>
      </w:r>
      <w:r>
        <w:rPr>
          <w:rFonts w:hint="eastAsia"/>
          <w:bCs/>
          <w:color w:val="auto"/>
          <w:highlight w:val="none"/>
        </w:rPr>
        <w:t>、我方同意本</w:t>
      </w:r>
      <w:r>
        <w:rPr>
          <w:rFonts w:hint="eastAsia"/>
          <w:bCs/>
          <w:color w:val="auto"/>
          <w:highlight w:val="none"/>
          <w:lang w:val="en-US" w:eastAsia="zh-CN"/>
        </w:rPr>
        <w:t>招标</w:t>
      </w:r>
      <w:r>
        <w:rPr>
          <w:rFonts w:hint="eastAsia"/>
          <w:bCs/>
          <w:color w:val="auto"/>
          <w:highlight w:val="none"/>
        </w:rPr>
        <w:t>文件依据《关于对政府采购领域严重违法失信主体开展联合惩戒的合作备忘录》（发改财金〔2018〕1614号）等相关规定对我方可能存在的失信行为进行惩戒。</w:t>
      </w:r>
    </w:p>
    <w:p>
      <w:pPr>
        <w:pStyle w:val="2"/>
        <w:spacing w:line="360" w:lineRule="auto"/>
        <w:ind w:firstLine="480" w:firstLineChars="200"/>
        <w:jc w:val="both"/>
        <w:rPr>
          <w:bCs/>
          <w:color w:val="auto"/>
          <w:highlight w:val="none"/>
        </w:rPr>
      </w:pPr>
      <w:r>
        <w:rPr>
          <w:bCs/>
          <w:color w:val="auto"/>
          <w:highlight w:val="none"/>
        </w:rPr>
        <w:t>4</w:t>
      </w:r>
      <w:r>
        <w:rPr>
          <w:rFonts w:hint="eastAsia"/>
          <w:bCs/>
          <w:color w:val="auto"/>
          <w:highlight w:val="none"/>
        </w:rPr>
        <w:t>、我方为本项目提交的各投标文件正本</w:t>
      </w:r>
      <w:r>
        <w:rPr>
          <w:bCs/>
          <w:color w:val="auto"/>
          <w:highlight w:val="none"/>
        </w:rPr>
        <w:t>1</w:t>
      </w:r>
      <w:r>
        <w:rPr>
          <w:rFonts w:hint="eastAsia"/>
          <w:bCs/>
          <w:color w:val="auto"/>
          <w:highlight w:val="none"/>
        </w:rPr>
        <w:t>份、副本</w:t>
      </w:r>
      <w:r>
        <w:rPr>
          <w:rFonts w:hint="eastAsia"/>
          <w:bCs/>
          <w:color w:val="auto"/>
          <w:highlight w:val="none"/>
          <w:lang w:val="en-US" w:eastAsia="zh-CN"/>
        </w:rPr>
        <w:t>4</w:t>
      </w:r>
      <w:r>
        <w:rPr>
          <w:rFonts w:hint="eastAsia"/>
          <w:bCs/>
          <w:color w:val="auto"/>
          <w:highlight w:val="none"/>
        </w:rPr>
        <w:t>份，电子文档（</w:t>
      </w:r>
      <w:r>
        <w:rPr>
          <w:bCs/>
          <w:color w:val="auto"/>
          <w:highlight w:val="none"/>
        </w:rPr>
        <w:t>U</w:t>
      </w:r>
      <w:r>
        <w:rPr>
          <w:rFonts w:hint="eastAsia"/>
          <w:bCs/>
          <w:color w:val="auto"/>
          <w:highlight w:val="none"/>
        </w:rPr>
        <w:t>盘）</w:t>
      </w:r>
      <w:r>
        <w:rPr>
          <w:bCs/>
          <w:color w:val="auto"/>
          <w:highlight w:val="none"/>
        </w:rPr>
        <w:t>1</w:t>
      </w:r>
      <w:r>
        <w:rPr>
          <w:rFonts w:hint="eastAsia"/>
          <w:bCs/>
          <w:color w:val="auto"/>
          <w:highlight w:val="none"/>
        </w:rPr>
        <w:t>份，用于开标唱标的“开标一览表”</w:t>
      </w:r>
      <w:r>
        <w:rPr>
          <w:bCs/>
          <w:color w:val="auto"/>
          <w:highlight w:val="none"/>
        </w:rPr>
        <w:t>1</w:t>
      </w:r>
      <w:r>
        <w:rPr>
          <w:rFonts w:hint="eastAsia"/>
          <w:bCs/>
          <w:color w:val="auto"/>
          <w:highlight w:val="none"/>
        </w:rPr>
        <w:t>份。</w:t>
      </w:r>
    </w:p>
    <w:p>
      <w:pPr>
        <w:pStyle w:val="2"/>
        <w:spacing w:line="360" w:lineRule="auto"/>
        <w:ind w:firstLine="480" w:firstLineChars="200"/>
        <w:jc w:val="both"/>
        <w:rPr>
          <w:bCs/>
          <w:color w:val="auto"/>
          <w:highlight w:val="none"/>
        </w:rPr>
      </w:pPr>
      <w:r>
        <w:rPr>
          <w:bCs/>
          <w:color w:val="auto"/>
          <w:highlight w:val="none"/>
        </w:rPr>
        <w:t>5</w:t>
      </w:r>
      <w:r>
        <w:rPr>
          <w:rFonts w:hint="eastAsia"/>
          <w:bCs/>
          <w:color w:val="auto"/>
          <w:highlight w:val="none"/>
        </w:rPr>
        <w:t>、我方同意本次招标的投标有效期为天。</w:t>
      </w:r>
    </w:p>
    <w:p>
      <w:pPr>
        <w:pStyle w:val="2"/>
        <w:spacing w:line="360" w:lineRule="auto"/>
        <w:ind w:firstLine="480" w:firstLineChars="200"/>
        <w:jc w:val="both"/>
        <w:rPr>
          <w:bCs/>
          <w:color w:val="auto"/>
          <w:highlight w:val="none"/>
        </w:rPr>
      </w:pPr>
      <w:r>
        <w:rPr>
          <w:bCs/>
          <w:color w:val="auto"/>
          <w:highlight w:val="none"/>
        </w:rPr>
        <w:t>6</w:t>
      </w:r>
      <w:r>
        <w:rPr>
          <w:rFonts w:hint="eastAsia"/>
          <w:bCs/>
          <w:color w:val="auto"/>
          <w:highlight w:val="none"/>
        </w:rPr>
        <w:t>、我方愿意提供贵中心可能另外要求的，与投标有关的文件资料，并保证我方已提供和将要提供的文件资料是真实、准确的。</w:t>
      </w:r>
    </w:p>
    <w:p>
      <w:pPr>
        <w:pStyle w:val="2"/>
        <w:spacing w:line="360" w:lineRule="auto"/>
        <w:ind w:firstLine="480" w:firstLineChars="200"/>
        <w:jc w:val="both"/>
        <w:rPr>
          <w:bCs/>
          <w:color w:val="auto"/>
          <w:highlight w:val="none"/>
        </w:rPr>
      </w:pPr>
    </w:p>
    <w:p>
      <w:pPr>
        <w:pStyle w:val="2"/>
        <w:spacing w:line="360" w:lineRule="auto"/>
        <w:ind w:firstLine="480" w:firstLineChars="200"/>
        <w:jc w:val="both"/>
        <w:rPr>
          <w:bCs/>
          <w:color w:val="auto"/>
          <w:highlight w:val="none"/>
        </w:rPr>
      </w:pPr>
    </w:p>
    <w:p>
      <w:pPr>
        <w:spacing w:line="480" w:lineRule="auto"/>
        <w:ind w:firstLine="480" w:firstLineChars="200"/>
        <w:rPr>
          <w:color w:val="auto"/>
          <w:sz w:val="24"/>
          <w:highlight w:val="none"/>
        </w:rPr>
      </w:pPr>
      <w:r>
        <w:rPr>
          <w:rFonts w:hint="eastAsia"/>
          <w:color w:val="auto"/>
          <w:sz w:val="24"/>
          <w:highlight w:val="none"/>
        </w:rPr>
        <w:t xml:space="preserve">                  供应商名称：</w:t>
      </w:r>
      <w:r>
        <w:rPr>
          <w:rFonts w:hint="eastAsia"/>
          <w:color w:val="auto"/>
          <w:sz w:val="24"/>
          <w:highlight w:val="none"/>
          <w:u w:val="single"/>
        </w:rPr>
        <w:t xml:space="preserve">                             </w:t>
      </w:r>
      <w:r>
        <w:rPr>
          <w:rFonts w:hint="eastAsia"/>
          <w:color w:val="auto"/>
          <w:sz w:val="24"/>
          <w:highlight w:val="none"/>
        </w:rPr>
        <w:t>（盖单位公章）</w:t>
      </w:r>
    </w:p>
    <w:p>
      <w:pPr>
        <w:spacing w:line="480" w:lineRule="auto"/>
        <w:ind w:firstLine="480" w:firstLineChars="200"/>
        <w:rPr>
          <w:color w:val="auto"/>
          <w:sz w:val="24"/>
          <w:highlight w:val="none"/>
        </w:rPr>
      </w:pPr>
      <w:r>
        <w:rPr>
          <w:rFonts w:hint="eastAsia"/>
          <w:color w:val="auto"/>
          <w:sz w:val="24"/>
          <w:highlight w:val="none"/>
        </w:rPr>
        <w:t xml:space="preserve">                  法定代表人或授权代表：</w:t>
      </w:r>
      <w:r>
        <w:rPr>
          <w:rFonts w:hint="eastAsia"/>
          <w:color w:val="auto"/>
          <w:sz w:val="24"/>
          <w:highlight w:val="none"/>
          <w:u w:val="single"/>
        </w:rPr>
        <w:t xml:space="preserve">                   </w:t>
      </w:r>
      <w:r>
        <w:rPr>
          <w:rFonts w:hint="eastAsia"/>
          <w:color w:val="auto"/>
          <w:sz w:val="24"/>
          <w:highlight w:val="none"/>
        </w:rPr>
        <w:t>（签字）</w:t>
      </w:r>
    </w:p>
    <w:p>
      <w:pPr>
        <w:spacing w:line="480" w:lineRule="auto"/>
        <w:ind w:firstLine="480" w:firstLineChars="200"/>
        <w:rPr>
          <w:color w:val="auto"/>
          <w:sz w:val="24"/>
          <w:highlight w:val="none"/>
        </w:rPr>
      </w:pPr>
      <w:r>
        <w:rPr>
          <w:rFonts w:hint="eastAsia"/>
          <w:color w:val="auto"/>
          <w:sz w:val="24"/>
          <w:highlight w:val="none"/>
        </w:rPr>
        <w:t xml:space="preserve">                  日      期：</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w:t>
      </w:r>
    </w:p>
    <w:p>
      <w:pPr>
        <w:pStyle w:val="2"/>
        <w:spacing w:line="360" w:lineRule="auto"/>
        <w:ind w:firstLine="480" w:firstLineChars="200"/>
        <w:jc w:val="both"/>
        <w:rPr>
          <w:bCs/>
          <w:color w:val="auto"/>
          <w:highlight w:val="none"/>
        </w:rPr>
      </w:pPr>
    </w:p>
    <w:p>
      <w:pPr>
        <w:pStyle w:val="2"/>
        <w:spacing w:line="360" w:lineRule="auto"/>
        <w:ind w:firstLine="480" w:firstLineChars="200"/>
        <w:jc w:val="both"/>
        <w:rPr>
          <w:bCs/>
          <w:color w:val="auto"/>
          <w:highlight w:val="none"/>
        </w:rPr>
      </w:pPr>
    </w:p>
    <w:p>
      <w:pPr>
        <w:pStyle w:val="2"/>
        <w:spacing w:line="360" w:lineRule="auto"/>
        <w:ind w:firstLine="480" w:firstLineChars="200"/>
        <w:jc w:val="both"/>
        <w:rPr>
          <w:bCs/>
          <w:color w:val="auto"/>
          <w:highlight w:val="none"/>
        </w:rPr>
      </w:pPr>
    </w:p>
    <w:p>
      <w:pPr>
        <w:pStyle w:val="2"/>
        <w:spacing w:line="360" w:lineRule="auto"/>
        <w:ind w:firstLine="480" w:firstLineChars="200"/>
        <w:jc w:val="both"/>
        <w:rPr>
          <w:bCs/>
          <w:color w:val="auto"/>
          <w:highlight w:val="none"/>
        </w:rPr>
      </w:pPr>
    </w:p>
    <w:p>
      <w:pPr>
        <w:widowControl/>
        <w:autoSpaceDE/>
        <w:autoSpaceDN/>
        <w:rPr>
          <w:color w:val="auto"/>
          <w:sz w:val="24"/>
          <w:szCs w:val="24"/>
          <w:highlight w:val="none"/>
        </w:rPr>
      </w:pPr>
      <w:r>
        <w:rPr>
          <w:color w:val="auto"/>
          <w:highlight w:val="none"/>
        </w:rPr>
        <w:br w:type="page"/>
      </w:r>
    </w:p>
    <w:p>
      <w:pPr>
        <w:pStyle w:val="5"/>
        <w:bidi w:val="0"/>
        <w:rPr>
          <w:color w:val="auto"/>
          <w:highlight w:val="none"/>
          <w:lang w:val="en-US"/>
        </w:rPr>
      </w:pPr>
      <w:r>
        <w:rPr>
          <w:rFonts w:hint="eastAsia"/>
          <w:color w:val="auto"/>
          <w:highlight w:val="none"/>
          <w:lang w:val="en-US"/>
        </w:rPr>
        <w:t>二、开标一览表</w:t>
      </w:r>
    </w:p>
    <w:p>
      <w:pPr>
        <w:spacing w:line="360" w:lineRule="auto"/>
        <w:ind w:firstLine="480" w:firstLineChars="200"/>
        <w:rPr>
          <w:color w:val="auto"/>
          <w:sz w:val="24"/>
          <w:highlight w:val="none"/>
          <w:u w:val="single"/>
        </w:rPr>
      </w:pPr>
      <w:r>
        <w:rPr>
          <w:rFonts w:hint="eastAsia"/>
          <w:color w:val="auto"/>
          <w:sz w:val="24"/>
          <w:highlight w:val="none"/>
        </w:rPr>
        <w:t>项目名称：</w:t>
      </w:r>
      <w:r>
        <w:rPr>
          <w:rFonts w:hint="eastAsia"/>
          <w:color w:val="auto"/>
          <w:sz w:val="24"/>
          <w:highlight w:val="none"/>
          <w:u w:val="single"/>
        </w:rPr>
        <w:t xml:space="preserve">                                 </w:t>
      </w:r>
    </w:p>
    <w:p>
      <w:pPr>
        <w:spacing w:line="360" w:lineRule="auto"/>
        <w:ind w:firstLine="480" w:firstLineChars="200"/>
        <w:rPr>
          <w:rFonts w:hint="eastAsia"/>
          <w:color w:val="auto"/>
          <w:sz w:val="24"/>
          <w:highlight w:val="none"/>
          <w:u w:val="single"/>
        </w:rPr>
      </w:pPr>
      <w:r>
        <w:rPr>
          <w:rFonts w:hint="eastAsia"/>
          <w:color w:val="auto"/>
          <w:sz w:val="24"/>
          <w:highlight w:val="none"/>
        </w:rPr>
        <w:t>项目编号：</w:t>
      </w:r>
      <w:r>
        <w:rPr>
          <w:rFonts w:hint="eastAsia"/>
          <w:color w:val="auto"/>
          <w:sz w:val="24"/>
          <w:highlight w:val="none"/>
          <w:u w:val="single"/>
        </w:rPr>
        <w:t xml:space="preserve">                                 </w:t>
      </w:r>
    </w:p>
    <w:p>
      <w:pPr>
        <w:bidi w:val="0"/>
        <w:ind w:firstLine="480" w:firstLineChars="200"/>
        <w:rPr>
          <w:rFonts w:hint="default" w:ascii="宋体" w:hAnsi="宋体" w:eastAsia="宋体" w:cs="宋体"/>
          <w:b w:val="0"/>
          <w:color w:val="auto"/>
          <w:sz w:val="24"/>
          <w:szCs w:val="22"/>
          <w:highlight w:val="none"/>
          <w:lang w:val="en-US" w:eastAsia="zh-CN" w:bidi="ar-SA"/>
        </w:rPr>
      </w:pPr>
      <w:r>
        <w:rPr>
          <w:rFonts w:hint="eastAsia" w:ascii="宋体" w:hAnsi="宋体" w:eastAsia="宋体" w:cs="宋体"/>
          <w:b w:val="0"/>
          <w:color w:val="auto"/>
          <w:sz w:val="24"/>
          <w:szCs w:val="22"/>
          <w:highlight w:val="none"/>
          <w:lang w:val="en-US" w:eastAsia="zh-CN" w:bidi="ar-SA"/>
        </w:rPr>
        <w:t>包</w:t>
      </w:r>
      <w:r>
        <w:rPr>
          <w:rFonts w:hint="eastAsia" w:cs="宋体"/>
          <w:b w:val="0"/>
          <w:color w:val="auto"/>
          <w:sz w:val="24"/>
          <w:szCs w:val="22"/>
          <w:highlight w:val="none"/>
          <w:lang w:val="en-US" w:eastAsia="zh-CN" w:bidi="ar-SA"/>
        </w:rPr>
        <w:t xml:space="preserve">    </w:t>
      </w:r>
      <w:r>
        <w:rPr>
          <w:rFonts w:hint="eastAsia" w:ascii="宋体" w:hAnsi="宋体" w:eastAsia="宋体" w:cs="宋体"/>
          <w:b w:val="0"/>
          <w:color w:val="auto"/>
          <w:sz w:val="24"/>
          <w:szCs w:val="22"/>
          <w:highlight w:val="none"/>
          <w:lang w:val="en-US" w:eastAsia="zh-CN" w:bidi="ar-SA"/>
        </w:rPr>
        <w:t>号：</w:t>
      </w:r>
      <w:r>
        <w:rPr>
          <w:rFonts w:hint="eastAsia"/>
          <w:color w:val="auto"/>
          <w:sz w:val="24"/>
          <w:highlight w:val="none"/>
          <w:u w:val="single"/>
        </w:rPr>
        <w:t xml:space="preserve">                                 </w:t>
      </w:r>
    </w:p>
    <w:tbl>
      <w:tblPr>
        <w:tblStyle w:val="25"/>
        <w:tblW w:w="9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2"/>
        <w:gridCol w:w="1678"/>
        <w:gridCol w:w="991"/>
        <w:gridCol w:w="1187"/>
        <w:gridCol w:w="953"/>
        <w:gridCol w:w="903"/>
        <w:gridCol w:w="1451"/>
        <w:gridCol w:w="1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6" w:hRule="atLeast"/>
          <w:jc w:val="center"/>
        </w:trPr>
        <w:tc>
          <w:tcPr>
            <w:tcW w:w="722" w:type="dxa"/>
            <w:tcMar>
              <w:bottom w:w="0" w:type="dxa"/>
            </w:tcMar>
            <w:vAlign w:val="center"/>
          </w:tcPr>
          <w:p>
            <w:pPr>
              <w:wordWrap w:val="0"/>
              <w:autoSpaceDE/>
              <w:autoSpaceDN/>
              <w:adjustRightInd w:val="0"/>
              <w:snapToGrid w:val="0"/>
              <w:spacing w:line="360" w:lineRule="auto"/>
              <w:jc w:val="center"/>
              <w:rPr>
                <w:rFonts w:ascii="宋体" w:hAnsi="宋体" w:eastAsia="宋体"/>
                <w:color w:val="auto"/>
                <w:sz w:val="24"/>
                <w:szCs w:val="24"/>
                <w:highlight w:val="none"/>
                <w:lang w:val="en-US"/>
              </w:rPr>
            </w:pPr>
            <w:r>
              <w:rPr>
                <w:rFonts w:hint="eastAsia" w:ascii="宋体" w:hAnsi="宋体" w:eastAsia="宋体"/>
                <w:color w:val="auto"/>
                <w:sz w:val="24"/>
                <w:szCs w:val="24"/>
                <w:highlight w:val="none"/>
                <w:lang w:val="en-US"/>
              </w:rPr>
              <w:t>序号</w:t>
            </w:r>
          </w:p>
        </w:tc>
        <w:tc>
          <w:tcPr>
            <w:tcW w:w="1678" w:type="dxa"/>
            <w:tcMar>
              <w:bottom w:w="0" w:type="dxa"/>
            </w:tcMar>
            <w:vAlign w:val="center"/>
          </w:tcPr>
          <w:p>
            <w:pPr>
              <w:wordWrap w:val="0"/>
              <w:autoSpaceDE/>
              <w:autoSpaceDN/>
              <w:spacing w:line="360" w:lineRule="auto"/>
              <w:ind w:right="120" w:rightChars="50"/>
              <w:jc w:val="center"/>
              <w:rPr>
                <w:rFonts w:ascii="宋体" w:hAnsi="宋体" w:eastAsia="宋体"/>
                <w:color w:val="auto"/>
                <w:sz w:val="24"/>
                <w:szCs w:val="24"/>
                <w:highlight w:val="none"/>
                <w:lang w:val="en-US"/>
              </w:rPr>
            </w:pPr>
            <w:r>
              <w:rPr>
                <w:rFonts w:hint="eastAsia" w:ascii="宋体" w:hAnsi="宋体" w:eastAsia="宋体"/>
                <w:color w:val="auto"/>
                <w:sz w:val="24"/>
                <w:szCs w:val="24"/>
                <w:highlight w:val="none"/>
                <w:lang w:val="en-US" w:eastAsia="zh-CN"/>
              </w:rPr>
              <w:t>产品</w:t>
            </w:r>
            <w:r>
              <w:rPr>
                <w:rFonts w:hint="eastAsia" w:ascii="宋体" w:hAnsi="宋体" w:eastAsia="宋体"/>
                <w:color w:val="auto"/>
                <w:sz w:val="24"/>
                <w:szCs w:val="24"/>
                <w:highlight w:val="none"/>
                <w:lang w:val="en-US"/>
              </w:rPr>
              <w:t>名称</w:t>
            </w:r>
          </w:p>
        </w:tc>
        <w:tc>
          <w:tcPr>
            <w:tcW w:w="991" w:type="dxa"/>
            <w:tcMar>
              <w:bottom w:w="0" w:type="dxa"/>
            </w:tcMar>
            <w:vAlign w:val="center"/>
          </w:tcPr>
          <w:p>
            <w:pPr>
              <w:wordWrap w:val="0"/>
              <w:autoSpaceDE/>
              <w:autoSpaceDN/>
              <w:spacing w:line="360" w:lineRule="auto"/>
              <w:ind w:right="120" w:rightChars="50"/>
              <w:jc w:val="center"/>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品牌</w:t>
            </w:r>
          </w:p>
        </w:tc>
        <w:tc>
          <w:tcPr>
            <w:tcW w:w="1187" w:type="dxa"/>
            <w:tcMar>
              <w:bottom w:w="0" w:type="dxa"/>
            </w:tcMar>
            <w:vAlign w:val="center"/>
          </w:tcPr>
          <w:p>
            <w:pPr>
              <w:wordWrap w:val="0"/>
              <w:autoSpaceDE/>
              <w:autoSpaceDN/>
              <w:spacing w:line="360" w:lineRule="auto"/>
              <w:ind w:right="120" w:rightChars="50"/>
              <w:jc w:val="center"/>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规格型号</w:t>
            </w:r>
          </w:p>
        </w:tc>
        <w:tc>
          <w:tcPr>
            <w:tcW w:w="953" w:type="dxa"/>
            <w:tcMar>
              <w:bottom w:w="0" w:type="dxa"/>
            </w:tcMar>
            <w:vAlign w:val="center"/>
          </w:tcPr>
          <w:p>
            <w:pPr>
              <w:wordWrap w:val="0"/>
              <w:autoSpaceDE/>
              <w:autoSpaceDN/>
              <w:spacing w:line="360" w:lineRule="auto"/>
              <w:ind w:right="120" w:rightChars="50"/>
              <w:jc w:val="center"/>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数量</w:t>
            </w:r>
          </w:p>
        </w:tc>
        <w:tc>
          <w:tcPr>
            <w:tcW w:w="903" w:type="dxa"/>
            <w:tcMar>
              <w:bottom w:w="0" w:type="dxa"/>
            </w:tcMar>
            <w:vAlign w:val="center"/>
          </w:tcPr>
          <w:p>
            <w:pPr>
              <w:wordWrap w:val="0"/>
              <w:autoSpaceDE/>
              <w:autoSpaceDN/>
              <w:spacing w:line="360" w:lineRule="auto"/>
              <w:ind w:right="120" w:rightChars="50"/>
              <w:jc w:val="center"/>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单位</w:t>
            </w:r>
          </w:p>
        </w:tc>
        <w:tc>
          <w:tcPr>
            <w:tcW w:w="1451" w:type="dxa"/>
            <w:tcMar>
              <w:bottom w:w="0" w:type="dxa"/>
            </w:tcMar>
            <w:vAlign w:val="center"/>
          </w:tcPr>
          <w:p>
            <w:pPr>
              <w:wordWrap w:val="0"/>
              <w:autoSpaceDE/>
              <w:autoSpaceDN/>
              <w:spacing w:line="360" w:lineRule="auto"/>
              <w:ind w:right="120" w:rightChars="50"/>
              <w:jc w:val="both"/>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单价（元）</w:t>
            </w:r>
          </w:p>
        </w:tc>
        <w:tc>
          <w:tcPr>
            <w:tcW w:w="1381" w:type="dxa"/>
            <w:tcMar>
              <w:bottom w:w="0" w:type="dxa"/>
            </w:tcMar>
            <w:vAlign w:val="center"/>
          </w:tcPr>
          <w:p>
            <w:pPr>
              <w:wordWrap w:val="0"/>
              <w:autoSpaceDE/>
              <w:autoSpaceDN/>
              <w:spacing w:line="360" w:lineRule="auto"/>
              <w:ind w:right="120" w:rightChars="50"/>
              <w:jc w:val="center"/>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合计</w:t>
            </w:r>
            <w:r>
              <w:rPr>
                <w:rFonts w:hint="eastAsia"/>
                <w:color w:val="auto"/>
                <w:sz w:val="24"/>
                <w:szCs w:val="24"/>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atLeast"/>
          <w:jc w:val="center"/>
        </w:trPr>
        <w:tc>
          <w:tcPr>
            <w:tcW w:w="722" w:type="dxa"/>
            <w:tcMar>
              <w:bottom w:w="0" w:type="dxa"/>
            </w:tcMar>
            <w:vAlign w:val="center"/>
          </w:tcPr>
          <w:p>
            <w:pPr>
              <w:wordWrap w:val="0"/>
              <w:autoSpaceDE/>
              <w:autoSpaceDN/>
              <w:adjustRightInd w:val="0"/>
              <w:snapToGrid w:val="0"/>
              <w:spacing w:line="360" w:lineRule="auto"/>
              <w:jc w:val="center"/>
              <w:rPr>
                <w:rFonts w:ascii="宋体" w:hAnsi="宋体" w:eastAsia="宋体"/>
                <w:color w:val="auto"/>
                <w:sz w:val="24"/>
                <w:szCs w:val="24"/>
                <w:highlight w:val="none"/>
                <w:lang w:val="en-US"/>
              </w:rPr>
            </w:pPr>
            <w:r>
              <w:rPr>
                <w:rFonts w:hint="eastAsia" w:ascii="宋体" w:hAnsi="宋体" w:eastAsia="宋体"/>
                <w:color w:val="auto"/>
                <w:sz w:val="24"/>
                <w:szCs w:val="24"/>
                <w:highlight w:val="none"/>
                <w:lang w:val="en-US"/>
              </w:rPr>
              <w:t>1</w:t>
            </w:r>
          </w:p>
        </w:tc>
        <w:tc>
          <w:tcPr>
            <w:tcW w:w="1678" w:type="dxa"/>
            <w:tcMar>
              <w:bottom w:w="0" w:type="dxa"/>
            </w:tcMar>
            <w:vAlign w:val="center"/>
          </w:tcPr>
          <w:p>
            <w:pPr>
              <w:wordWrap w:val="0"/>
              <w:autoSpaceDE/>
              <w:autoSpaceDN/>
              <w:spacing w:line="360" w:lineRule="auto"/>
              <w:ind w:right="120" w:rightChars="50"/>
              <w:jc w:val="center"/>
              <w:rPr>
                <w:rFonts w:hint="default" w:ascii="宋体" w:hAnsi="宋体" w:eastAsia="宋体"/>
                <w:color w:val="auto"/>
                <w:sz w:val="24"/>
                <w:szCs w:val="24"/>
                <w:highlight w:val="none"/>
                <w:lang w:val="en-US" w:eastAsia="zh-CN"/>
              </w:rPr>
            </w:pPr>
          </w:p>
        </w:tc>
        <w:tc>
          <w:tcPr>
            <w:tcW w:w="991" w:type="dxa"/>
            <w:tcMar>
              <w:bottom w:w="0" w:type="dxa"/>
            </w:tcMar>
            <w:vAlign w:val="center"/>
          </w:tcPr>
          <w:p>
            <w:pPr>
              <w:wordWrap w:val="0"/>
              <w:autoSpaceDE/>
              <w:autoSpaceDN/>
              <w:spacing w:line="360" w:lineRule="auto"/>
              <w:ind w:right="120" w:rightChars="50"/>
              <w:jc w:val="center"/>
              <w:rPr>
                <w:rFonts w:ascii="宋体" w:hAnsi="宋体" w:eastAsia="宋体"/>
                <w:color w:val="auto"/>
                <w:sz w:val="24"/>
                <w:szCs w:val="24"/>
                <w:highlight w:val="none"/>
                <w:lang w:val="en-US"/>
              </w:rPr>
            </w:pPr>
          </w:p>
        </w:tc>
        <w:tc>
          <w:tcPr>
            <w:tcW w:w="1187" w:type="dxa"/>
            <w:tcMar>
              <w:bottom w:w="0" w:type="dxa"/>
            </w:tcMar>
            <w:vAlign w:val="center"/>
          </w:tcPr>
          <w:p>
            <w:pPr>
              <w:wordWrap w:val="0"/>
              <w:autoSpaceDE/>
              <w:autoSpaceDN/>
              <w:spacing w:line="360" w:lineRule="auto"/>
              <w:ind w:right="120" w:rightChars="50"/>
              <w:jc w:val="center"/>
              <w:rPr>
                <w:rFonts w:ascii="宋体" w:hAnsi="宋体" w:eastAsia="宋体"/>
                <w:color w:val="auto"/>
                <w:sz w:val="24"/>
                <w:szCs w:val="24"/>
                <w:highlight w:val="none"/>
                <w:lang w:val="en-US"/>
              </w:rPr>
            </w:pPr>
          </w:p>
        </w:tc>
        <w:tc>
          <w:tcPr>
            <w:tcW w:w="953" w:type="dxa"/>
            <w:tcMar>
              <w:bottom w:w="0" w:type="dxa"/>
            </w:tcMar>
            <w:vAlign w:val="center"/>
          </w:tcPr>
          <w:p>
            <w:pPr>
              <w:wordWrap w:val="0"/>
              <w:autoSpaceDE/>
              <w:autoSpaceDN/>
              <w:spacing w:line="360" w:lineRule="auto"/>
              <w:ind w:right="120" w:rightChars="50"/>
              <w:jc w:val="center"/>
              <w:rPr>
                <w:rFonts w:ascii="宋体" w:hAnsi="宋体" w:eastAsia="宋体"/>
                <w:color w:val="auto"/>
                <w:sz w:val="24"/>
                <w:szCs w:val="24"/>
                <w:highlight w:val="none"/>
                <w:u w:val="single"/>
                <w:lang w:val="en-US"/>
              </w:rPr>
            </w:pPr>
          </w:p>
        </w:tc>
        <w:tc>
          <w:tcPr>
            <w:tcW w:w="903" w:type="dxa"/>
            <w:tcMar>
              <w:bottom w:w="0" w:type="dxa"/>
            </w:tcMar>
            <w:vAlign w:val="center"/>
          </w:tcPr>
          <w:p>
            <w:pPr>
              <w:wordWrap w:val="0"/>
              <w:autoSpaceDE/>
              <w:autoSpaceDN/>
              <w:spacing w:line="360" w:lineRule="auto"/>
              <w:ind w:right="120" w:rightChars="50"/>
              <w:jc w:val="center"/>
              <w:rPr>
                <w:rFonts w:ascii="宋体" w:hAnsi="宋体" w:eastAsia="宋体"/>
                <w:color w:val="auto"/>
                <w:sz w:val="24"/>
                <w:szCs w:val="24"/>
                <w:highlight w:val="none"/>
                <w:u w:val="single"/>
                <w:lang w:val="en-US"/>
              </w:rPr>
            </w:pPr>
          </w:p>
        </w:tc>
        <w:tc>
          <w:tcPr>
            <w:tcW w:w="1451" w:type="dxa"/>
            <w:tcMar>
              <w:bottom w:w="0" w:type="dxa"/>
            </w:tcMar>
            <w:vAlign w:val="center"/>
          </w:tcPr>
          <w:p>
            <w:pPr>
              <w:wordWrap w:val="0"/>
              <w:autoSpaceDE/>
              <w:autoSpaceDN/>
              <w:spacing w:line="360" w:lineRule="auto"/>
              <w:ind w:right="120" w:rightChars="50"/>
              <w:jc w:val="center"/>
              <w:rPr>
                <w:rFonts w:ascii="宋体" w:hAnsi="宋体" w:eastAsia="宋体"/>
                <w:color w:val="auto"/>
                <w:sz w:val="24"/>
                <w:szCs w:val="24"/>
                <w:highlight w:val="none"/>
                <w:u w:val="single"/>
                <w:lang w:val="en-US"/>
              </w:rPr>
            </w:pPr>
          </w:p>
        </w:tc>
        <w:tc>
          <w:tcPr>
            <w:tcW w:w="1381" w:type="dxa"/>
            <w:tcMar>
              <w:bottom w:w="0" w:type="dxa"/>
            </w:tcMar>
            <w:vAlign w:val="center"/>
          </w:tcPr>
          <w:p>
            <w:pPr>
              <w:wordWrap w:val="0"/>
              <w:autoSpaceDE/>
              <w:autoSpaceDN/>
              <w:spacing w:line="360" w:lineRule="auto"/>
              <w:ind w:right="120" w:rightChars="50"/>
              <w:jc w:val="center"/>
              <w:rPr>
                <w:rFonts w:ascii="宋体" w:hAnsi="宋体" w:eastAsia="宋体"/>
                <w:color w:val="auto"/>
                <w:sz w:val="24"/>
                <w:szCs w:val="24"/>
                <w:highlight w:val="none"/>
                <w:u w:val="singl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atLeast"/>
          <w:jc w:val="center"/>
        </w:trPr>
        <w:tc>
          <w:tcPr>
            <w:tcW w:w="722" w:type="dxa"/>
            <w:tcMar>
              <w:bottom w:w="0" w:type="dxa"/>
            </w:tcMar>
            <w:vAlign w:val="center"/>
          </w:tcPr>
          <w:p>
            <w:pPr>
              <w:wordWrap w:val="0"/>
              <w:autoSpaceDE/>
              <w:autoSpaceDN/>
              <w:adjustRightInd w:val="0"/>
              <w:snapToGrid w:val="0"/>
              <w:spacing w:line="360" w:lineRule="auto"/>
              <w:jc w:val="center"/>
              <w:rPr>
                <w:rFonts w:hint="eastAsia" w:ascii="宋体" w:hAnsi="宋体" w:eastAsia="宋体"/>
                <w:color w:val="auto"/>
                <w:sz w:val="24"/>
                <w:szCs w:val="24"/>
                <w:highlight w:val="none"/>
                <w:lang w:val="en-US" w:eastAsia="zh-CN"/>
              </w:rPr>
            </w:pPr>
            <w:r>
              <w:rPr>
                <w:rFonts w:hint="eastAsia"/>
                <w:color w:val="auto"/>
                <w:sz w:val="24"/>
                <w:szCs w:val="24"/>
                <w:highlight w:val="none"/>
                <w:lang w:val="en-US" w:eastAsia="zh-CN"/>
              </w:rPr>
              <w:t>2</w:t>
            </w:r>
          </w:p>
        </w:tc>
        <w:tc>
          <w:tcPr>
            <w:tcW w:w="1678" w:type="dxa"/>
            <w:tcMar>
              <w:bottom w:w="0" w:type="dxa"/>
            </w:tcMar>
            <w:vAlign w:val="center"/>
          </w:tcPr>
          <w:p>
            <w:pPr>
              <w:wordWrap w:val="0"/>
              <w:autoSpaceDE/>
              <w:autoSpaceDN/>
              <w:spacing w:line="360" w:lineRule="auto"/>
              <w:ind w:right="120" w:rightChars="50"/>
              <w:jc w:val="center"/>
              <w:rPr>
                <w:rFonts w:hint="default" w:ascii="宋体" w:hAnsi="宋体" w:eastAsia="宋体"/>
                <w:color w:val="auto"/>
                <w:sz w:val="24"/>
                <w:szCs w:val="24"/>
                <w:highlight w:val="none"/>
                <w:lang w:val="en-US" w:eastAsia="zh-CN"/>
              </w:rPr>
            </w:pPr>
          </w:p>
        </w:tc>
        <w:tc>
          <w:tcPr>
            <w:tcW w:w="991" w:type="dxa"/>
            <w:tcMar>
              <w:bottom w:w="0" w:type="dxa"/>
            </w:tcMar>
            <w:vAlign w:val="center"/>
          </w:tcPr>
          <w:p>
            <w:pPr>
              <w:wordWrap w:val="0"/>
              <w:autoSpaceDE/>
              <w:autoSpaceDN/>
              <w:spacing w:line="360" w:lineRule="auto"/>
              <w:ind w:right="120" w:rightChars="50"/>
              <w:jc w:val="center"/>
              <w:rPr>
                <w:rFonts w:ascii="宋体" w:hAnsi="宋体" w:eastAsia="宋体"/>
                <w:color w:val="auto"/>
                <w:sz w:val="24"/>
                <w:szCs w:val="24"/>
                <w:highlight w:val="none"/>
                <w:lang w:val="en-US"/>
              </w:rPr>
            </w:pPr>
          </w:p>
        </w:tc>
        <w:tc>
          <w:tcPr>
            <w:tcW w:w="1187" w:type="dxa"/>
            <w:tcMar>
              <w:bottom w:w="0" w:type="dxa"/>
            </w:tcMar>
            <w:vAlign w:val="center"/>
          </w:tcPr>
          <w:p>
            <w:pPr>
              <w:wordWrap w:val="0"/>
              <w:autoSpaceDE/>
              <w:autoSpaceDN/>
              <w:spacing w:line="360" w:lineRule="auto"/>
              <w:ind w:right="120" w:rightChars="50"/>
              <w:jc w:val="center"/>
              <w:rPr>
                <w:rFonts w:ascii="宋体" w:hAnsi="宋体" w:eastAsia="宋体"/>
                <w:color w:val="auto"/>
                <w:sz w:val="24"/>
                <w:szCs w:val="24"/>
                <w:highlight w:val="none"/>
                <w:lang w:val="en-US"/>
              </w:rPr>
            </w:pPr>
          </w:p>
        </w:tc>
        <w:tc>
          <w:tcPr>
            <w:tcW w:w="953" w:type="dxa"/>
            <w:tcMar>
              <w:bottom w:w="0" w:type="dxa"/>
            </w:tcMar>
            <w:vAlign w:val="center"/>
          </w:tcPr>
          <w:p>
            <w:pPr>
              <w:wordWrap w:val="0"/>
              <w:autoSpaceDE/>
              <w:autoSpaceDN/>
              <w:spacing w:line="360" w:lineRule="auto"/>
              <w:ind w:right="120" w:rightChars="50"/>
              <w:jc w:val="center"/>
              <w:rPr>
                <w:rFonts w:ascii="宋体" w:hAnsi="宋体" w:eastAsia="宋体"/>
                <w:color w:val="auto"/>
                <w:sz w:val="24"/>
                <w:szCs w:val="24"/>
                <w:highlight w:val="none"/>
                <w:u w:val="single"/>
                <w:lang w:val="en-US"/>
              </w:rPr>
            </w:pPr>
          </w:p>
        </w:tc>
        <w:tc>
          <w:tcPr>
            <w:tcW w:w="903" w:type="dxa"/>
            <w:tcMar>
              <w:bottom w:w="0" w:type="dxa"/>
            </w:tcMar>
            <w:vAlign w:val="center"/>
          </w:tcPr>
          <w:p>
            <w:pPr>
              <w:wordWrap w:val="0"/>
              <w:autoSpaceDE/>
              <w:autoSpaceDN/>
              <w:spacing w:line="360" w:lineRule="auto"/>
              <w:ind w:right="120" w:rightChars="50"/>
              <w:jc w:val="center"/>
              <w:rPr>
                <w:rFonts w:ascii="宋体" w:hAnsi="宋体" w:eastAsia="宋体"/>
                <w:color w:val="auto"/>
                <w:sz w:val="24"/>
                <w:szCs w:val="24"/>
                <w:highlight w:val="none"/>
                <w:u w:val="single"/>
                <w:lang w:val="en-US"/>
              </w:rPr>
            </w:pPr>
          </w:p>
        </w:tc>
        <w:tc>
          <w:tcPr>
            <w:tcW w:w="1451" w:type="dxa"/>
            <w:tcMar>
              <w:bottom w:w="0" w:type="dxa"/>
            </w:tcMar>
            <w:vAlign w:val="center"/>
          </w:tcPr>
          <w:p>
            <w:pPr>
              <w:wordWrap w:val="0"/>
              <w:autoSpaceDE/>
              <w:autoSpaceDN/>
              <w:spacing w:line="360" w:lineRule="auto"/>
              <w:ind w:right="120" w:rightChars="50"/>
              <w:jc w:val="center"/>
              <w:rPr>
                <w:rFonts w:ascii="宋体" w:hAnsi="宋体" w:eastAsia="宋体"/>
                <w:color w:val="auto"/>
                <w:sz w:val="24"/>
                <w:szCs w:val="24"/>
                <w:highlight w:val="none"/>
                <w:u w:val="single"/>
                <w:lang w:val="en-US"/>
              </w:rPr>
            </w:pPr>
          </w:p>
        </w:tc>
        <w:tc>
          <w:tcPr>
            <w:tcW w:w="1381" w:type="dxa"/>
            <w:tcMar>
              <w:bottom w:w="0" w:type="dxa"/>
            </w:tcMar>
            <w:vAlign w:val="center"/>
          </w:tcPr>
          <w:p>
            <w:pPr>
              <w:wordWrap w:val="0"/>
              <w:autoSpaceDE/>
              <w:autoSpaceDN/>
              <w:spacing w:line="360" w:lineRule="auto"/>
              <w:ind w:right="120" w:rightChars="50"/>
              <w:jc w:val="center"/>
              <w:rPr>
                <w:rFonts w:ascii="宋体" w:hAnsi="宋体" w:eastAsia="宋体"/>
                <w:color w:val="auto"/>
                <w:sz w:val="24"/>
                <w:szCs w:val="24"/>
                <w:highlight w:val="none"/>
                <w:u w:val="singl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atLeast"/>
          <w:jc w:val="center"/>
        </w:trPr>
        <w:tc>
          <w:tcPr>
            <w:tcW w:w="722" w:type="dxa"/>
            <w:tcMar>
              <w:bottom w:w="0" w:type="dxa"/>
            </w:tcMar>
            <w:vAlign w:val="center"/>
          </w:tcPr>
          <w:p>
            <w:pPr>
              <w:wordWrap w:val="0"/>
              <w:autoSpaceDE/>
              <w:autoSpaceDN/>
              <w:adjustRightInd w:val="0"/>
              <w:snapToGrid w:val="0"/>
              <w:spacing w:line="360" w:lineRule="auto"/>
              <w:jc w:val="center"/>
              <w:rPr>
                <w:rFonts w:hint="eastAsia" w:ascii="宋体" w:hAnsi="宋体" w:eastAsia="宋体"/>
                <w:color w:val="auto"/>
                <w:sz w:val="24"/>
                <w:szCs w:val="24"/>
                <w:highlight w:val="none"/>
                <w:lang w:val="en-US" w:eastAsia="zh-CN"/>
              </w:rPr>
            </w:pPr>
            <w:r>
              <w:rPr>
                <w:rFonts w:hint="eastAsia"/>
                <w:color w:val="auto"/>
                <w:sz w:val="24"/>
                <w:szCs w:val="24"/>
                <w:highlight w:val="none"/>
                <w:lang w:val="en-US" w:eastAsia="zh-CN"/>
              </w:rPr>
              <w:t>3</w:t>
            </w:r>
          </w:p>
        </w:tc>
        <w:tc>
          <w:tcPr>
            <w:tcW w:w="1678" w:type="dxa"/>
            <w:tcMar>
              <w:bottom w:w="0" w:type="dxa"/>
            </w:tcMar>
            <w:vAlign w:val="center"/>
          </w:tcPr>
          <w:p>
            <w:pPr>
              <w:wordWrap w:val="0"/>
              <w:autoSpaceDE/>
              <w:autoSpaceDN/>
              <w:spacing w:line="360" w:lineRule="auto"/>
              <w:ind w:right="120" w:rightChars="50"/>
              <w:jc w:val="center"/>
              <w:rPr>
                <w:rFonts w:hint="default" w:ascii="宋体" w:hAnsi="宋体" w:eastAsia="宋体"/>
                <w:color w:val="auto"/>
                <w:sz w:val="24"/>
                <w:szCs w:val="24"/>
                <w:highlight w:val="none"/>
                <w:lang w:val="en-US" w:eastAsia="zh-CN"/>
              </w:rPr>
            </w:pPr>
          </w:p>
        </w:tc>
        <w:tc>
          <w:tcPr>
            <w:tcW w:w="991" w:type="dxa"/>
            <w:tcMar>
              <w:bottom w:w="0" w:type="dxa"/>
            </w:tcMar>
            <w:vAlign w:val="center"/>
          </w:tcPr>
          <w:p>
            <w:pPr>
              <w:wordWrap w:val="0"/>
              <w:autoSpaceDE/>
              <w:autoSpaceDN/>
              <w:spacing w:line="360" w:lineRule="auto"/>
              <w:ind w:right="120" w:rightChars="50"/>
              <w:jc w:val="center"/>
              <w:rPr>
                <w:rFonts w:ascii="宋体" w:hAnsi="宋体" w:eastAsia="宋体"/>
                <w:color w:val="auto"/>
                <w:sz w:val="24"/>
                <w:szCs w:val="24"/>
                <w:highlight w:val="none"/>
                <w:lang w:val="en-US"/>
              </w:rPr>
            </w:pPr>
          </w:p>
        </w:tc>
        <w:tc>
          <w:tcPr>
            <w:tcW w:w="1187" w:type="dxa"/>
            <w:tcMar>
              <w:bottom w:w="0" w:type="dxa"/>
            </w:tcMar>
            <w:vAlign w:val="center"/>
          </w:tcPr>
          <w:p>
            <w:pPr>
              <w:wordWrap w:val="0"/>
              <w:autoSpaceDE/>
              <w:autoSpaceDN/>
              <w:spacing w:line="360" w:lineRule="auto"/>
              <w:ind w:right="120" w:rightChars="50"/>
              <w:jc w:val="center"/>
              <w:rPr>
                <w:rFonts w:ascii="宋体" w:hAnsi="宋体" w:eastAsia="宋体"/>
                <w:color w:val="auto"/>
                <w:sz w:val="24"/>
                <w:szCs w:val="24"/>
                <w:highlight w:val="none"/>
                <w:lang w:val="en-US"/>
              </w:rPr>
            </w:pPr>
          </w:p>
        </w:tc>
        <w:tc>
          <w:tcPr>
            <w:tcW w:w="953" w:type="dxa"/>
            <w:tcMar>
              <w:bottom w:w="0" w:type="dxa"/>
            </w:tcMar>
            <w:vAlign w:val="center"/>
          </w:tcPr>
          <w:p>
            <w:pPr>
              <w:wordWrap w:val="0"/>
              <w:autoSpaceDE/>
              <w:autoSpaceDN/>
              <w:spacing w:line="360" w:lineRule="auto"/>
              <w:ind w:right="120" w:rightChars="50"/>
              <w:jc w:val="center"/>
              <w:rPr>
                <w:rFonts w:ascii="宋体" w:hAnsi="宋体" w:eastAsia="宋体"/>
                <w:color w:val="auto"/>
                <w:sz w:val="24"/>
                <w:szCs w:val="24"/>
                <w:highlight w:val="none"/>
                <w:u w:val="single"/>
                <w:lang w:val="en-US"/>
              </w:rPr>
            </w:pPr>
          </w:p>
        </w:tc>
        <w:tc>
          <w:tcPr>
            <w:tcW w:w="903" w:type="dxa"/>
            <w:tcMar>
              <w:bottom w:w="0" w:type="dxa"/>
            </w:tcMar>
            <w:vAlign w:val="center"/>
          </w:tcPr>
          <w:p>
            <w:pPr>
              <w:wordWrap w:val="0"/>
              <w:autoSpaceDE/>
              <w:autoSpaceDN/>
              <w:spacing w:line="360" w:lineRule="auto"/>
              <w:ind w:right="120" w:rightChars="50"/>
              <w:jc w:val="center"/>
              <w:rPr>
                <w:rFonts w:ascii="宋体" w:hAnsi="宋体" w:eastAsia="宋体"/>
                <w:color w:val="auto"/>
                <w:sz w:val="24"/>
                <w:szCs w:val="24"/>
                <w:highlight w:val="none"/>
                <w:u w:val="single"/>
                <w:lang w:val="en-US"/>
              </w:rPr>
            </w:pPr>
          </w:p>
        </w:tc>
        <w:tc>
          <w:tcPr>
            <w:tcW w:w="1451" w:type="dxa"/>
            <w:tcMar>
              <w:bottom w:w="0" w:type="dxa"/>
            </w:tcMar>
            <w:vAlign w:val="center"/>
          </w:tcPr>
          <w:p>
            <w:pPr>
              <w:wordWrap w:val="0"/>
              <w:autoSpaceDE/>
              <w:autoSpaceDN/>
              <w:spacing w:line="360" w:lineRule="auto"/>
              <w:ind w:right="120" w:rightChars="50"/>
              <w:jc w:val="center"/>
              <w:rPr>
                <w:rFonts w:ascii="宋体" w:hAnsi="宋体" w:eastAsia="宋体"/>
                <w:color w:val="auto"/>
                <w:sz w:val="24"/>
                <w:szCs w:val="24"/>
                <w:highlight w:val="none"/>
                <w:u w:val="single"/>
                <w:lang w:val="en-US"/>
              </w:rPr>
            </w:pPr>
          </w:p>
        </w:tc>
        <w:tc>
          <w:tcPr>
            <w:tcW w:w="1381" w:type="dxa"/>
            <w:tcMar>
              <w:bottom w:w="0" w:type="dxa"/>
            </w:tcMar>
            <w:vAlign w:val="center"/>
          </w:tcPr>
          <w:p>
            <w:pPr>
              <w:wordWrap w:val="0"/>
              <w:autoSpaceDE/>
              <w:autoSpaceDN/>
              <w:spacing w:line="360" w:lineRule="auto"/>
              <w:ind w:right="120" w:rightChars="50"/>
              <w:jc w:val="center"/>
              <w:rPr>
                <w:rFonts w:ascii="宋体" w:hAnsi="宋体" w:eastAsia="宋体"/>
                <w:color w:val="auto"/>
                <w:sz w:val="24"/>
                <w:szCs w:val="24"/>
                <w:highlight w:val="none"/>
                <w:u w:val="singl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9" w:hRule="atLeast"/>
          <w:jc w:val="center"/>
        </w:trPr>
        <w:tc>
          <w:tcPr>
            <w:tcW w:w="9266" w:type="dxa"/>
            <w:gridSpan w:val="8"/>
            <w:tcMar>
              <w:bottom w:w="0" w:type="dxa"/>
            </w:tcMar>
            <w:vAlign w:val="center"/>
          </w:tcPr>
          <w:p>
            <w:pPr>
              <w:wordWrap w:val="0"/>
              <w:autoSpaceDE/>
              <w:autoSpaceDN/>
              <w:spacing w:line="360" w:lineRule="auto"/>
              <w:ind w:right="120" w:rightChars="50"/>
              <w:jc w:val="both"/>
              <w:rPr>
                <w:rFonts w:ascii="宋体" w:hAnsi="宋体" w:eastAsia="宋体"/>
                <w:color w:val="auto"/>
                <w:sz w:val="24"/>
                <w:szCs w:val="24"/>
                <w:highlight w:val="none"/>
                <w:u w:val="single"/>
                <w:lang w:val="en-US"/>
              </w:rPr>
            </w:pPr>
            <w:r>
              <w:rPr>
                <w:rFonts w:hint="eastAsia" w:ascii="宋体" w:hAnsi="宋体" w:eastAsia="宋体"/>
                <w:color w:val="auto"/>
                <w:sz w:val="24"/>
                <w:szCs w:val="24"/>
                <w:highlight w:val="none"/>
                <w:lang w:val="en-US" w:eastAsia="zh-CN"/>
              </w:rPr>
              <w:t>合计金额:</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lang w:val="en-US" w:eastAsia="zh-CN"/>
              </w:rPr>
              <w:t>元（大写：</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lang w:val="en-US" w:eastAsia="zh-CN"/>
              </w:rPr>
              <w:t>元）</w:t>
            </w:r>
          </w:p>
        </w:tc>
      </w:tr>
    </w:tbl>
    <w:p>
      <w:pPr>
        <w:pStyle w:val="2"/>
        <w:spacing w:line="360" w:lineRule="auto"/>
        <w:ind w:firstLine="600" w:firstLineChars="200"/>
        <w:jc w:val="both"/>
        <w:rPr>
          <w:color w:val="auto"/>
          <w:sz w:val="30"/>
          <w:highlight w:val="none"/>
        </w:rPr>
      </w:pPr>
    </w:p>
    <w:p>
      <w:pPr>
        <w:spacing w:line="360" w:lineRule="auto"/>
        <w:ind w:firstLine="420" w:firstLineChars="200"/>
        <w:rPr>
          <w:color w:val="auto"/>
          <w:sz w:val="21"/>
          <w:szCs w:val="21"/>
          <w:highlight w:val="none"/>
        </w:rPr>
      </w:pPr>
      <w:r>
        <w:rPr>
          <w:rFonts w:hint="eastAsia"/>
          <w:color w:val="auto"/>
          <w:sz w:val="21"/>
          <w:szCs w:val="21"/>
          <w:highlight w:val="none"/>
        </w:rPr>
        <w:t>注：</w:t>
      </w:r>
    </w:p>
    <w:p>
      <w:pPr>
        <w:spacing w:line="360" w:lineRule="auto"/>
        <w:ind w:firstLine="480" w:firstLineChars="200"/>
        <w:rPr>
          <w:rFonts w:ascii="宋体" w:hAnsi="宋体"/>
          <w:color w:val="auto"/>
          <w:szCs w:val="21"/>
          <w:highlight w:val="none"/>
        </w:rPr>
      </w:pPr>
      <w:r>
        <w:rPr>
          <w:rFonts w:hint="eastAsia"/>
          <w:color w:val="auto"/>
          <w:szCs w:val="21"/>
          <w:highlight w:val="none"/>
          <w:lang w:val="en-US" w:eastAsia="zh-CN"/>
        </w:rPr>
        <w:t>1.</w:t>
      </w:r>
      <w:r>
        <w:rPr>
          <w:rFonts w:hint="eastAsia" w:ascii="宋体" w:hAnsi="宋体"/>
          <w:color w:val="auto"/>
          <w:szCs w:val="21"/>
          <w:highlight w:val="none"/>
          <w:lang w:eastAsia="zh-CN"/>
        </w:rPr>
        <w:t>所有报价均用人民币表示,报价包含全部工作内容所需的</w:t>
      </w:r>
      <w:r>
        <w:rPr>
          <w:rFonts w:hint="eastAsia"/>
          <w:color w:val="auto"/>
          <w:szCs w:val="21"/>
          <w:highlight w:val="none"/>
          <w:lang w:eastAsia="zh-CN"/>
        </w:rPr>
        <w:t>生产制作、产品运费</w:t>
      </w:r>
      <w:r>
        <w:rPr>
          <w:rFonts w:hint="eastAsia" w:ascii="宋体" w:hAnsi="宋体"/>
          <w:color w:val="auto"/>
          <w:szCs w:val="21"/>
          <w:highlight w:val="none"/>
          <w:lang w:eastAsia="zh-CN"/>
        </w:rPr>
        <w:t>、售后服务费、税费、保险、设备</w:t>
      </w:r>
      <w:r>
        <w:rPr>
          <w:rFonts w:hint="eastAsia"/>
          <w:color w:val="auto"/>
          <w:szCs w:val="21"/>
          <w:highlight w:val="none"/>
          <w:lang w:eastAsia="zh-CN"/>
        </w:rPr>
        <w:t>、</w:t>
      </w:r>
      <w:r>
        <w:rPr>
          <w:rFonts w:hint="eastAsia" w:ascii="宋体" w:hAnsi="宋体"/>
          <w:color w:val="auto"/>
          <w:szCs w:val="21"/>
          <w:highlight w:val="none"/>
          <w:lang w:eastAsia="zh-CN"/>
        </w:rPr>
        <w:t>人工、材料、管理、培训和招标文件规定的其它费用</w:t>
      </w:r>
      <w:r>
        <w:rPr>
          <w:rFonts w:hint="eastAsia" w:ascii="宋体" w:hAnsi="宋体"/>
          <w:color w:val="auto"/>
          <w:szCs w:val="21"/>
          <w:highlight w:val="none"/>
        </w:rPr>
        <w:t>。</w:t>
      </w:r>
      <w:r>
        <w:rPr>
          <w:rFonts w:hint="eastAsia" w:ascii="宋体" w:hAnsi="宋体"/>
          <w:color w:val="auto"/>
          <w:szCs w:val="21"/>
          <w:highlight w:val="none"/>
          <w:lang w:val="en-US" w:eastAsia="zh-CN"/>
        </w:rPr>
        <w:t>投标报价不得超过最高限价</w:t>
      </w:r>
      <w:r>
        <w:rPr>
          <w:rFonts w:hint="eastAsia"/>
          <w:color w:val="auto"/>
          <w:szCs w:val="21"/>
          <w:highlight w:val="none"/>
          <w:lang w:val="en-US" w:eastAsia="zh-CN"/>
        </w:rPr>
        <w:t>。</w:t>
      </w:r>
    </w:p>
    <w:p>
      <w:pPr>
        <w:spacing w:line="360" w:lineRule="auto"/>
        <w:ind w:firstLine="480" w:firstLineChars="200"/>
        <w:rPr>
          <w:rFonts w:ascii="宋体" w:hAnsi="宋体"/>
          <w:color w:val="auto"/>
          <w:szCs w:val="21"/>
          <w:highlight w:val="none"/>
        </w:rPr>
      </w:pPr>
      <w:r>
        <w:rPr>
          <w:rFonts w:hint="eastAsia"/>
          <w:color w:val="auto"/>
          <w:szCs w:val="21"/>
          <w:highlight w:val="none"/>
          <w:lang w:val="en-US" w:eastAsia="zh-CN"/>
        </w:rPr>
        <w:t>2</w:t>
      </w:r>
      <w:r>
        <w:rPr>
          <w:rFonts w:hint="eastAsia" w:ascii="宋体" w:hAnsi="宋体"/>
          <w:color w:val="auto"/>
          <w:szCs w:val="21"/>
          <w:highlight w:val="none"/>
        </w:rPr>
        <w:t>.“报价表”若为多页的，每页均需由法定代表人或授权代表签字并盖供应商印章。</w:t>
      </w:r>
    </w:p>
    <w:p>
      <w:pPr>
        <w:spacing w:line="360" w:lineRule="auto"/>
        <w:ind w:firstLine="480" w:firstLineChars="200"/>
        <w:rPr>
          <w:rFonts w:hint="eastAsia" w:ascii="宋体" w:hAnsi="宋体"/>
          <w:color w:val="auto"/>
          <w:szCs w:val="21"/>
          <w:highlight w:val="none"/>
        </w:rPr>
      </w:pPr>
      <w:r>
        <w:rPr>
          <w:rFonts w:hint="eastAsia"/>
          <w:color w:val="auto"/>
          <w:szCs w:val="21"/>
          <w:highlight w:val="none"/>
          <w:lang w:val="en-US" w:eastAsia="zh-CN"/>
        </w:rPr>
        <w:t>3</w:t>
      </w:r>
      <w:r>
        <w:rPr>
          <w:rFonts w:hint="eastAsia" w:ascii="宋体" w:hAnsi="宋体"/>
          <w:color w:val="auto"/>
          <w:szCs w:val="21"/>
          <w:highlight w:val="none"/>
        </w:rPr>
        <w:t>.该表必须单独密封封装用于开标时唱标，未单独密封封装的将不予评审。</w:t>
      </w:r>
    </w:p>
    <w:p>
      <w:pPr>
        <w:pStyle w:val="2"/>
        <w:rPr>
          <w:rFonts w:hint="eastAsia"/>
          <w:color w:val="auto"/>
          <w:highlight w:val="none"/>
        </w:rPr>
      </w:pPr>
    </w:p>
    <w:p>
      <w:pPr>
        <w:pStyle w:val="2"/>
        <w:spacing w:line="360" w:lineRule="auto"/>
        <w:ind w:firstLine="480" w:firstLineChars="200"/>
        <w:jc w:val="both"/>
        <w:rPr>
          <w:bCs/>
          <w:color w:val="auto"/>
          <w:highlight w:val="none"/>
        </w:rPr>
      </w:pPr>
    </w:p>
    <w:p>
      <w:pPr>
        <w:pStyle w:val="2"/>
        <w:spacing w:line="360" w:lineRule="auto"/>
        <w:ind w:firstLine="480" w:firstLineChars="200"/>
        <w:jc w:val="both"/>
        <w:rPr>
          <w:bCs/>
          <w:color w:val="auto"/>
          <w:highlight w:val="none"/>
        </w:rPr>
      </w:pPr>
    </w:p>
    <w:p>
      <w:pPr>
        <w:pStyle w:val="2"/>
        <w:spacing w:line="360" w:lineRule="auto"/>
        <w:ind w:firstLine="480" w:firstLineChars="200"/>
        <w:jc w:val="both"/>
        <w:rPr>
          <w:bCs/>
          <w:color w:val="auto"/>
          <w:highlight w:val="none"/>
        </w:rPr>
      </w:pPr>
    </w:p>
    <w:p>
      <w:pPr>
        <w:spacing w:line="480" w:lineRule="auto"/>
        <w:ind w:firstLine="480" w:firstLineChars="200"/>
        <w:rPr>
          <w:color w:val="auto"/>
          <w:sz w:val="24"/>
          <w:highlight w:val="none"/>
        </w:rPr>
      </w:pPr>
      <w:r>
        <w:rPr>
          <w:rFonts w:hint="eastAsia"/>
          <w:color w:val="auto"/>
          <w:sz w:val="24"/>
          <w:highlight w:val="none"/>
        </w:rPr>
        <w:t xml:space="preserve">                  供应商名称：</w:t>
      </w:r>
      <w:r>
        <w:rPr>
          <w:rFonts w:hint="eastAsia"/>
          <w:color w:val="auto"/>
          <w:sz w:val="24"/>
          <w:highlight w:val="none"/>
          <w:u w:val="single"/>
        </w:rPr>
        <w:t xml:space="preserve">                             </w:t>
      </w:r>
      <w:r>
        <w:rPr>
          <w:rFonts w:hint="eastAsia"/>
          <w:color w:val="auto"/>
          <w:sz w:val="24"/>
          <w:highlight w:val="none"/>
        </w:rPr>
        <w:t>（盖单位公章）</w:t>
      </w:r>
    </w:p>
    <w:p>
      <w:pPr>
        <w:spacing w:line="480" w:lineRule="auto"/>
        <w:ind w:firstLine="480" w:firstLineChars="200"/>
        <w:rPr>
          <w:color w:val="auto"/>
          <w:sz w:val="24"/>
          <w:highlight w:val="none"/>
        </w:rPr>
      </w:pPr>
      <w:r>
        <w:rPr>
          <w:rFonts w:hint="eastAsia"/>
          <w:color w:val="auto"/>
          <w:sz w:val="24"/>
          <w:highlight w:val="none"/>
        </w:rPr>
        <w:t xml:space="preserve">                  法定代表人或授权代表：</w:t>
      </w:r>
      <w:r>
        <w:rPr>
          <w:rFonts w:hint="eastAsia"/>
          <w:color w:val="auto"/>
          <w:sz w:val="24"/>
          <w:highlight w:val="none"/>
          <w:u w:val="single"/>
        </w:rPr>
        <w:t xml:space="preserve">                   </w:t>
      </w:r>
      <w:r>
        <w:rPr>
          <w:rFonts w:hint="eastAsia"/>
          <w:color w:val="auto"/>
          <w:sz w:val="24"/>
          <w:highlight w:val="none"/>
        </w:rPr>
        <w:t>（签字）</w:t>
      </w:r>
    </w:p>
    <w:p>
      <w:pPr>
        <w:spacing w:line="480" w:lineRule="auto"/>
        <w:ind w:firstLine="480" w:firstLineChars="200"/>
        <w:rPr>
          <w:rFonts w:hint="eastAsia"/>
          <w:color w:val="auto"/>
          <w:sz w:val="24"/>
          <w:highlight w:val="none"/>
        </w:rPr>
      </w:pPr>
      <w:r>
        <w:rPr>
          <w:rFonts w:hint="eastAsia"/>
          <w:color w:val="auto"/>
          <w:sz w:val="24"/>
          <w:highlight w:val="none"/>
        </w:rPr>
        <w:t xml:space="preserve">                  日      期：</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w:t>
      </w:r>
    </w:p>
    <w:p>
      <w:pPr>
        <w:rPr>
          <w:rFonts w:hint="eastAsia"/>
          <w:color w:val="auto"/>
          <w:highlight w:val="none"/>
          <w:lang w:val="en-US" w:eastAsia="zh-CN"/>
        </w:rPr>
      </w:pPr>
      <w:r>
        <w:rPr>
          <w:rFonts w:hint="eastAsia"/>
          <w:color w:val="auto"/>
          <w:highlight w:val="none"/>
          <w:lang w:val="en-US" w:eastAsia="zh-CN"/>
        </w:rPr>
        <w:br w:type="page"/>
      </w:r>
    </w:p>
    <w:p>
      <w:pPr>
        <w:pStyle w:val="5"/>
        <w:bidi w:val="0"/>
        <w:rPr>
          <w:color w:val="auto"/>
          <w:highlight w:val="none"/>
          <w:lang w:val="en-US"/>
        </w:rPr>
      </w:pPr>
      <w:r>
        <w:rPr>
          <w:rFonts w:hint="eastAsia"/>
          <w:color w:val="auto"/>
          <w:highlight w:val="none"/>
          <w:lang w:val="en-US" w:eastAsia="zh-CN"/>
        </w:rPr>
        <w:t>三</w:t>
      </w:r>
      <w:r>
        <w:rPr>
          <w:rFonts w:hint="eastAsia"/>
          <w:color w:val="auto"/>
          <w:highlight w:val="none"/>
          <w:lang w:val="en-US"/>
        </w:rPr>
        <w:t>、技术、服务要求应答表</w:t>
      </w:r>
    </w:p>
    <w:p>
      <w:pPr>
        <w:spacing w:line="360" w:lineRule="auto"/>
        <w:ind w:firstLine="480" w:firstLineChars="200"/>
        <w:rPr>
          <w:color w:val="auto"/>
          <w:sz w:val="24"/>
          <w:highlight w:val="none"/>
          <w:u w:val="single"/>
        </w:rPr>
      </w:pPr>
      <w:r>
        <w:rPr>
          <w:rFonts w:hint="eastAsia"/>
          <w:color w:val="auto"/>
          <w:sz w:val="24"/>
          <w:highlight w:val="none"/>
        </w:rPr>
        <w:t>项目名称：</w:t>
      </w:r>
      <w:r>
        <w:rPr>
          <w:rFonts w:hint="eastAsia"/>
          <w:color w:val="auto"/>
          <w:sz w:val="24"/>
          <w:highlight w:val="none"/>
          <w:u w:val="single"/>
        </w:rPr>
        <w:t xml:space="preserve">                                 </w:t>
      </w:r>
    </w:p>
    <w:p>
      <w:pPr>
        <w:spacing w:line="360" w:lineRule="auto"/>
        <w:ind w:firstLine="480" w:firstLineChars="200"/>
        <w:rPr>
          <w:rFonts w:hint="eastAsia"/>
          <w:color w:val="auto"/>
          <w:sz w:val="24"/>
          <w:highlight w:val="none"/>
          <w:u w:val="single"/>
        </w:rPr>
      </w:pPr>
      <w:r>
        <w:rPr>
          <w:rFonts w:hint="eastAsia"/>
          <w:color w:val="auto"/>
          <w:sz w:val="24"/>
          <w:highlight w:val="none"/>
        </w:rPr>
        <w:t>项目编号：</w:t>
      </w:r>
      <w:r>
        <w:rPr>
          <w:rFonts w:hint="eastAsia"/>
          <w:color w:val="auto"/>
          <w:sz w:val="24"/>
          <w:highlight w:val="none"/>
          <w:u w:val="single"/>
        </w:rPr>
        <w:t xml:space="preserve">                                 </w:t>
      </w:r>
    </w:p>
    <w:p>
      <w:pPr>
        <w:bidi w:val="0"/>
        <w:ind w:firstLine="480" w:firstLineChars="200"/>
        <w:rPr>
          <w:rFonts w:hint="eastAsia" w:ascii="宋体" w:hAnsi="宋体" w:eastAsia="宋体" w:cs="宋体"/>
          <w:b w:val="0"/>
          <w:color w:val="auto"/>
          <w:sz w:val="24"/>
          <w:szCs w:val="22"/>
          <w:highlight w:val="none"/>
          <w:lang w:val="en-US" w:eastAsia="zh-CN" w:bidi="ar-SA"/>
        </w:rPr>
      </w:pPr>
      <w:r>
        <w:rPr>
          <w:rFonts w:hint="eastAsia" w:ascii="宋体" w:hAnsi="宋体" w:eastAsia="宋体" w:cs="宋体"/>
          <w:b w:val="0"/>
          <w:color w:val="auto"/>
          <w:sz w:val="24"/>
          <w:szCs w:val="22"/>
          <w:highlight w:val="none"/>
          <w:lang w:val="en-US" w:eastAsia="zh-CN" w:bidi="ar-SA"/>
        </w:rPr>
        <w:t>包    号：</w:t>
      </w:r>
      <w:r>
        <w:rPr>
          <w:rFonts w:hint="eastAsia" w:ascii="宋体" w:hAnsi="宋体" w:eastAsia="宋体" w:cs="宋体"/>
          <w:b w:val="0"/>
          <w:color w:val="auto"/>
          <w:sz w:val="24"/>
          <w:szCs w:val="22"/>
          <w:highlight w:val="none"/>
          <w:u w:val="single"/>
          <w:lang w:val="en-US" w:eastAsia="zh-CN" w:bidi="ar-SA"/>
        </w:rPr>
        <w:t xml:space="preserve">                                 </w:t>
      </w:r>
    </w:p>
    <w:tbl>
      <w:tblPr>
        <w:tblStyle w:val="25"/>
        <w:tblW w:w="98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1"/>
        <w:gridCol w:w="2220"/>
        <w:gridCol w:w="2586"/>
        <w:gridCol w:w="2539"/>
        <w:gridCol w:w="16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jc w:val="center"/>
        </w:trPr>
        <w:tc>
          <w:tcPr>
            <w:tcW w:w="821" w:type="dxa"/>
            <w:vAlign w:val="center"/>
          </w:tcPr>
          <w:p>
            <w:pPr>
              <w:pStyle w:val="50"/>
              <w:jc w:val="center"/>
              <w:rPr>
                <w:b/>
                <w:color w:val="auto"/>
                <w:sz w:val="21"/>
                <w:szCs w:val="22"/>
                <w:highlight w:val="none"/>
              </w:rPr>
            </w:pPr>
            <w:r>
              <w:rPr>
                <w:rFonts w:hint="eastAsia"/>
                <w:b/>
                <w:color w:val="auto"/>
                <w:sz w:val="21"/>
                <w:szCs w:val="22"/>
                <w:highlight w:val="none"/>
              </w:rPr>
              <w:t>序号</w:t>
            </w:r>
          </w:p>
        </w:tc>
        <w:tc>
          <w:tcPr>
            <w:tcW w:w="2220" w:type="dxa"/>
            <w:vAlign w:val="center"/>
          </w:tcPr>
          <w:p>
            <w:pPr>
              <w:pStyle w:val="50"/>
              <w:jc w:val="center"/>
              <w:rPr>
                <w:b/>
                <w:color w:val="auto"/>
                <w:sz w:val="21"/>
                <w:szCs w:val="22"/>
                <w:highlight w:val="none"/>
              </w:rPr>
            </w:pPr>
            <w:r>
              <w:rPr>
                <w:rFonts w:hint="eastAsia"/>
                <w:b/>
                <w:color w:val="auto"/>
                <w:sz w:val="21"/>
                <w:szCs w:val="22"/>
                <w:highlight w:val="none"/>
              </w:rPr>
              <w:t>货物名称</w:t>
            </w:r>
          </w:p>
        </w:tc>
        <w:tc>
          <w:tcPr>
            <w:tcW w:w="2586" w:type="dxa"/>
            <w:vAlign w:val="center"/>
          </w:tcPr>
          <w:p>
            <w:pPr>
              <w:pStyle w:val="50"/>
              <w:jc w:val="center"/>
              <w:rPr>
                <w:b/>
                <w:color w:val="auto"/>
                <w:sz w:val="21"/>
                <w:szCs w:val="22"/>
                <w:highlight w:val="none"/>
              </w:rPr>
            </w:pPr>
            <w:r>
              <w:rPr>
                <w:rFonts w:hint="eastAsia"/>
                <w:b/>
                <w:color w:val="auto"/>
                <w:sz w:val="21"/>
                <w:szCs w:val="22"/>
                <w:highlight w:val="none"/>
              </w:rPr>
              <w:t>招标文件要求</w:t>
            </w:r>
          </w:p>
        </w:tc>
        <w:tc>
          <w:tcPr>
            <w:tcW w:w="2539" w:type="dxa"/>
            <w:vAlign w:val="center"/>
          </w:tcPr>
          <w:p>
            <w:pPr>
              <w:pStyle w:val="50"/>
              <w:jc w:val="center"/>
              <w:rPr>
                <w:b/>
                <w:color w:val="auto"/>
                <w:sz w:val="21"/>
                <w:szCs w:val="22"/>
                <w:highlight w:val="none"/>
              </w:rPr>
            </w:pPr>
            <w:r>
              <w:rPr>
                <w:rFonts w:hint="eastAsia"/>
                <w:b/>
                <w:color w:val="auto"/>
                <w:sz w:val="21"/>
                <w:szCs w:val="22"/>
                <w:highlight w:val="none"/>
              </w:rPr>
              <w:t>投标文件响应</w:t>
            </w:r>
          </w:p>
        </w:tc>
        <w:tc>
          <w:tcPr>
            <w:tcW w:w="1688" w:type="dxa"/>
            <w:vAlign w:val="center"/>
          </w:tcPr>
          <w:p>
            <w:pPr>
              <w:pStyle w:val="50"/>
              <w:jc w:val="center"/>
              <w:rPr>
                <w:b/>
                <w:color w:val="auto"/>
                <w:sz w:val="21"/>
                <w:szCs w:val="22"/>
                <w:highlight w:val="none"/>
              </w:rPr>
            </w:pPr>
            <w:r>
              <w:rPr>
                <w:rFonts w:hint="eastAsia"/>
                <w:b/>
                <w:color w:val="auto"/>
                <w:sz w:val="21"/>
                <w:szCs w:val="22"/>
                <w:highlight w:val="none"/>
              </w:rPr>
              <w:t>偏离情况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jc w:val="center"/>
        </w:trPr>
        <w:tc>
          <w:tcPr>
            <w:tcW w:w="821" w:type="dxa"/>
            <w:vAlign w:val="center"/>
          </w:tcPr>
          <w:p>
            <w:pPr>
              <w:pStyle w:val="50"/>
              <w:jc w:val="center"/>
              <w:rPr>
                <w:rFonts w:ascii="Times New Roman"/>
                <w:color w:val="auto"/>
                <w:sz w:val="22"/>
                <w:szCs w:val="22"/>
                <w:highlight w:val="none"/>
              </w:rPr>
            </w:pPr>
          </w:p>
        </w:tc>
        <w:tc>
          <w:tcPr>
            <w:tcW w:w="2220" w:type="dxa"/>
            <w:vAlign w:val="center"/>
          </w:tcPr>
          <w:p>
            <w:pPr>
              <w:pStyle w:val="50"/>
              <w:jc w:val="center"/>
              <w:rPr>
                <w:rFonts w:ascii="Times New Roman"/>
                <w:color w:val="auto"/>
                <w:sz w:val="22"/>
                <w:szCs w:val="22"/>
                <w:highlight w:val="none"/>
              </w:rPr>
            </w:pPr>
          </w:p>
        </w:tc>
        <w:tc>
          <w:tcPr>
            <w:tcW w:w="2586" w:type="dxa"/>
            <w:vAlign w:val="center"/>
          </w:tcPr>
          <w:p>
            <w:pPr>
              <w:pStyle w:val="50"/>
              <w:jc w:val="center"/>
              <w:rPr>
                <w:rFonts w:ascii="Times New Roman"/>
                <w:color w:val="auto"/>
                <w:sz w:val="22"/>
                <w:szCs w:val="22"/>
                <w:highlight w:val="none"/>
              </w:rPr>
            </w:pPr>
          </w:p>
        </w:tc>
        <w:tc>
          <w:tcPr>
            <w:tcW w:w="2539" w:type="dxa"/>
            <w:vAlign w:val="center"/>
          </w:tcPr>
          <w:p>
            <w:pPr>
              <w:pStyle w:val="50"/>
              <w:jc w:val="center"/>
              <w:rPr>
                <w:rFonts w:ascii="Times New Roman"/>
                <w:color w:val="auto"/>
                <w:sz w:val="22"/>
                <w:szCs w:val="22"/>
                <w:highlight w:val="none"/>
              </w:rPr>
            </w:pPr>
          </w:p>
        </w:tc>
        <w:tc>
          <w:tcPr>
            <w:tcW w:w="1688" w:type="dxa"/>
            <w:vAlign w:val="center"/>
          </w:tcPr>
          <w:p>
            <w:pPr>
              <w:pStyle w:val="50"/>
              <w:jc w:val="center"/>
              <w:rPr>
                <w:rFonts w:ascii="Times New Roman"/>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jc w:val="center"/>
        </w:trPr>
        <w:tc>
          <w:tcPr>
            <w:tcW w:w="821" w:type="dxa"/>
            <w:vAlign w:val="center"/>
          </w:tcPr>
          <w:p>
            <w:pPr>
              <w:pStyle w:val="50"/>
              <w:jc w:val="center"/>
              <w:rPr>
                <w:rFonts w:ascii="Times New Roman"/>
                <w:color w:val="auto"/>
                <w:sz w:val="22"/>
                <w:szCs w:val="22"/>
                <w:highlight w:val="none"/>
              </w:rPr>
            </w:pPr>
          </w:p>
        </w:tc>
        <w:tc>
          <w:tcPr>
            <w:tcW w:w="2220" w:type="dxa"/>
            <w:vAlign w:val="center"/>
          </w:tcPr>
          <w:p>
            <w:pPr>
              <w:pStyle w:val="50"/>
              <w:jc w:val="center"/>
              <w:rPr>
                <w:rFonts w:ascii="Times New Roman"/>
                <w:color w:val="auto"/>
                <w:sz w:val="22"/>
                <w:szCs w:val="22"/>
                <w:highlight w:val="none"/>
              </w:rPr>
            </w:pPr>
          </w:p>
        </w:tc>
        <w:tc>
          <w:tcPr>
            <w:tcW w:w="2586" w:type="dxa"/>
            <w:vAlign w:val="center"/>
          </w:tcPr>
          <w:p>
            <w:pPr>
              <w:pStyle w:val="50"/>
              <w:jc w:val="center"/>
              <w:rPr>
                <w:rFonts w:ascii="Times New Roman"/>
                <w:color w:val="auto"/>
                <w:sz w:val="22"/>
                <w:szCs w:val="22"/>
                <w:highlight w:val="none"/>
              </w:rPr>
            </w:pPr>
          </w:p>
        </w:tc>
        <w:tc>
          <w:tcPr>
            <w:tcW w:w="2539" w:type="dxa"/>
            <w:vAlign w:val="center"/>
          </w:tcPr>
          <w:p>
            <w:pPr>
              <w:pStyle w:val="50"/>
              <w:jc w:val="center"/>
              <w:rPr>
                <w:rFonts w:ascii="Times New Roman"/>
                <w:color w:val="auto"/>
                <w:sz w:val="22"/>
                <w:szCs w:val="22"/>
                <w:highlight w:val="none"/>
              </w:rPr>
            </w:pPr>
          </w:p>
        </w:tc>
        <w:tc>
          <w:tcPr>
            <w:tcW w:w="1688" w:type="dxa"/>
            <w:vAlign w:val="center"/>
          </w:tcPr>
          <w:p>
            <w:pPr>
              <w:pStyle w:val="50"/>
              <w:jc w:val="center"/>
              <w:rPr>
                <w:rFonts w:ascii="Times New Roman"/>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jc w:val="center"/>
        </w:trPr>
        <w:tc>
          <w:tcPr>
            <w:tcW w:w="821" w:type="dxa"/>
            <w:vAlign w:val="center"/>
          </w:tcPr>
          <w:p>
            <w:pPr>
              <w:pStyle w:val="50"/>
              <w:jc w:val="center"/>
              <w:rPr>
                <w:rFonts w:ascii="Times New Roman"/>
                <w:color w:val="auto"/>
                <w:sz w:val="22"/>
                <w:szCs w:val="22"/>
                <w:highlight w:val="none"/>
              </w:rPr>
            </w:pPr>
          </w:p>
        </w:tc>
        <w:tc>
          <w:tcPr>
            <w:tcW w:w="2220" w:type="dxa"/>
            <w:vAlign w:val="center"/>
          </w:tcPr>
          <w:p>
            <w:pPr>
              <w:pStyle w:val="50"/>
              <w:jc w:val="center"/>
              <w:rPr>
                <w:rFonts w:ascii="Times New Roman"/>
                <w:color w:val="auto"/>
                <w:sz w:val="22"/>
                <w:szCs w:val="22"/>
                <w:highlight w:val="none"/>
              </w:rPr>
            </w:pPr>
          </w:p>
        </w:tc>
        <w:tc>
          <w:tcPr>
            <w:tcW w:w="2586" w:type="dxa"/>
            <w:vAlign w:val="center"/>
          </w:tcPr>
          <w:p>
            <w:pPr>
              <w:pStyle w:val="50"/>
              <w:jc w:val="center"/>
              <w:rPr>
                <w:rFonts w:ascii="Times New Roman"/>
                <w:color w:val="auto"/>
                <w:sz w:val="22"/>
                <w:szCs w:val="22"/>
                <w:highlight w:val="none"/>
              </w:rPr>
            </w:pPr>
          </w:p>
        </w:tc>
        <w:tc>
          <w:tcPr>
            <w:tcW w:w="2539" w:type="dxa"/>
            <w:vAlign w:val="center"/>
          </w:tcPr>
          <w:p>
            <w:pPr>
              <w:pStyle w:val="50"/>
              <w:jc w:val="center"/>
              <w:rPr>
                <w:rFonts w:ascii="Times New Roman"/>
                <w:color w:val="auto"/>
                <w:sz w:val="22"/>
                <w:szCs w:val="22"/>
                <w:highlight w:val="none"/>
              </w:rPr>
            </w:pPr>
          </w:p>
        </w:tc>
        <w:tc>
          <w:tcPr>
            <w:tcW w:w="1688" w:type="dxa"/>
            <w:vAlign w:val="center"/>
          </w:tcPr>
          <w:p>
            <w:pPr>
              <w:pStyle w:val="50"/>
              <w:jc w:val="center"/>
              <w:rPr>
                <w:rFonts w:ascii="Times New Roman"/>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jc w:val="center"/>
        </w:trPr>
        <w:tc>
          <w:tcPr>
            <w:tcW w:w="821" w:type="dxa"/>
            <w:vAlign w:val="center"/>
          </w:tcPr>
          <w:p>
            <w:pPr>
              <w:pStyle w:val="50"/>
              <w:jc w:val="center"/>
              <w:rPr>
                <w:rFonts w:ascii="Times New Roman"/>
                <w:color w:val="auto"/>
                <w:sz w:val="22"/>
                <w:szCs w:val="22"/>
                <w:highlight w:val="none"/>
              </w:rPr>
            </w:pPr>
          </w:p>
        </w:tc>
        <w:tc>
          <w:tcPr>
            <w:tcW w:w="2220" w:type="dxa"/>
            <w:vAlign w:val="center"/>
          </w:tcPr>
          <w:p>
            <w:pPr>
              <w:pStyle w:val="50"/>
              <w:jc w:val="center"/>
              <w:rPr>
                <w:rFonts w:ascii="Times New Roman"/>
                <w:color w:val="auto"/>
                <w:sz w:val="22"/>
                <w:szCs w:val="22"/>
                <w:highlight w:val="none"/>
              </w:rPr>
            </w:pPr>
          </w:p>
        </w:tc>
        <w:tc>
          <w:tcPr>
            <w:tcW w:w="2586" w:type="dxa"/>
            <w:vAlign w:val="center"/>
          </w:tcPr>
          <w:p>
            <w:pPr>
              <w:pStyle w:val="50"/>
              <w:jc w:val="center"/>
              <w:rPr>
                <w:rFonts w:ascii="Times New Roman"/>
                <w:color w:val="auto"/>
                <w:sz w:val="22"/>
                <w:szCs w:val="22"/>
                <w:highlight w:val="none"/>
              </w:rPr>
            </w:pPr>
          </w:p>
        </w:tc>
        <w:tc>
          <w:tcPr>
            <w:tcW w:w="2539" w:type="dxa"/>
            <w:vAlign w:val="center"/>
          </w:tcPr>
          <w:p>
            <w:pPr>
              <w:pStyle w:val="50"/>
              <w:jc w:val="center"/>
              <w:rPr>
                <w:rFonts w:ascii="Times New Roman"/>
                <w:color w:val="auto"/>
                <w:sz w:val="22"/>
                <w:szCs w:val="22"/>
                <w:highlight w:val="none"/>
              </w:rPr>
            </w:pPr>
          </w:p>
        </w:tc>
        <w:tc>
          <w:tcPr>
            <w:tcW w:w="1688" w:type="dxa"/>
            <w:vAlign w:val="center"/>
          </w:tcPr>
          <w:p>
            <w:pPr>
              <w:pStyle w:val="50"/>
              <w:jc w:val="center"/>
              <w:rPr>
                <w:rFonts w:ascii="Times New Roman"/>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jc w:val="center"/>
        </w:trPr>
        <w:tc>
          <w:tcPr>
            <w:tcW w:w="821" w:type="dxa"/>
            <w:vAlign w:val="center"/>
          </w:tcPr>
          <w:p>
            <w:pPr>
              <w:pStyle w:val="50"/>
              <w:jc w:val="center"/>
              <w:rPr>
                <w:rFonts w:ascii="Times New Roman"/>
                <w:color w:val="auto"/>
                <w:sz w:val="22"/>
                <w:szCs w:val="22"/>
                <w:highlight w:val="none"/>
              </w:rPr>
            </w:pPr>
          </w:p>
        </w:tc>
        <w:tc>
          <w:tcPr>
            <w:tcW w:w="2220" w:type="dxa"/>
            <w:vAlign w:val="center"/>
          </w:tcPr>
          <w:p>
            <w:pPr>
              <w:pStyle w:val="50"/>
              <w:jc w:val="center"/>
              <w:rPr>
                <w:rFonts w:ascii="Times New Roman"/>
                <w:color w:val="auto"/>
                <w:sz w:val="22"/>
                <w:szCs w:val="22"/>
                <w:highlight w:val="none"/>
              </w:rPr>
            </w:pPr>
          </w:p>
        </w:tc>
        <w:tc>
          <w:tcPr>
            <w:tcW w:w="2586" w:type="dxa"/>
            <w:vAlign w:val="center"/>
          </w:tcPr>
          <w:p>
            <w:pPr>
              <w:pStyle w:val="50"/>
              <w:jc w:val="center"/>
              <w:rPr>
                <w:rFonts w:ascii="Times New Roman"/>
                <w:color w:val="auto"/>
                <w:sz w:val="22"/>
                <w:szCs w:val="22"/>
                <w:highlight w:val="none"/>
              </w:rPr>
            </w:pPr>
          </w:p>
        </w:tc>
        <w:tc>
          <w:tcPr>
            <w:tcW w:w="2539" w:type="dxa"/>
            <w:vAlign w:val="center"/>
          </w:tcPr>
          <w:p>
            <w:pPr>
              <w:pStyle w:val="50"/>
              <w:jc w:val="center"/>
              <w:rPr>
                <w:rFonts w:ascii="Times New Roman"/>
                <w:color w:val="auto"/>
                <w:sz w:val="22"/>
                <w:szCs w:val="22"/>
                <w:highlight w:val="none"/>
              </w:rPr>
            </w:pPr>
          </w:p>
        </w:tc>
        <w:tc>
          <w:tcPr>
            <w:tcW w:w="1688" w:type="dxa"/>
            <w:vAlign w:val="center"/>
          </w:tcPr>
          <w:p>
            <w:pPr>
              <w:pStyle w:val="50"/>
              <w:jc w:val="center"/>
              <w:rPr>
                <w:rFonts w:ascii="Times New Roman"/>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jc w:val="center"/>
        </w:trPr>
        <w:tc>
          <w:tcPr>
            <w:tcW w:w="821" w:type="dxa"/>
            <w:vAlign w:val="center"/>
          </w:tcPr>
          <w:p>
            <w:pPr>
              <w:pStyle w:val="50"/>
              <w:jc w:val="center"/>
              <w:rPr>
                <w:rFonts w:ascii="Times New Roman"/>
                <w:color w:val="auto"/>
                <w:sz w:val="22"/>
                <w:szCs w:val="22"/>
                <w:highlight w:val="none"/>
              </w:rPr>
            </w:pPr>
          </w:p>
        </w:tc>
        <w:tc>
          <w:tcPr>
            <w:tcW w:w="2220" w:type="dxa"/>
            <w:vAlign w:val="center"/>
          </w:tcPr>
          <w:p>
            <w:pPr>
              <w:pStyle w:val="50"/>
              <w:jc w:val="center"/>
              <w:rPr>
                <w:rFonts w:ascii="Times New Roman"/>
                <w:color w:val="auto"/>
                <w:sz w:val="22"/>
                <w:szCs w:val="22"/>
                <w:highlight w:val="none"/>
              </w:rPr>
            </w:pPr>
          </w:p>
        </w:tc>
        <w:tc>
          <w:tcPr>
            <w:tcW w:w="2586" w:type="dxa"/>
            <w:vAlign w:val="center"/>
          </w:tcPr>
          <w:p>
            <w:pPr>
              <w:pStyle w:val="50"/>
              <w:jc w:val="center"/>
              <w:rPr>
                <w:rFonts w:ascii="Times New Roman"/>
                <w:color w:val="auto"/>
                <w:sz w:val="22"/>
                <w:szCs w:val="22"/>
                <w:highlight w:val="none"/>
              </w:rPr>
            </w:pPr>
          </w:p>
        </w:tc>
        <w:tc>
          <w:tcPr>
            <w:tcW w:w="2539" w:type="dxa"/>
            <w:vAlign w:val="center"/>
          </w:tcPr>
          <w:p>
            <w:pPr>
              <w:pStyle w:val="50"/>
              <w:jc w:val="center"/>
              <w:rPr>
                <w:rFonts w:ascii="Times New Roman"/>
                <w:color w:val="auto"/>
                <w:sz w:val="22"/>
                <w:szCs w:val="22"/>
                <w:highlight w:val="none"/>
              </w:rPr>
            </w:pPr>
          </w:p>
        </w:tc>
        <w:tc>
          <w:tcPr>
            <w:tcW w:w="1688" w:type="dxa"/>
            <w:vAlign w:val="center"/>
          </w:tcPr>
          <w:p>
            <w:pPr>
              <w:pStyle w:val="50"/>
              <w:jc w:val="center"/>
              <w:rPr>
                <w:rFonts w:ascii="Times New Roman"/>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jc w:val="center"/>
        </w:trPr>
        <w:tc>
          <w:tcPr>
            <w:tcW w:w="821" w:type="dxa"/>
            <w:vAlign w:val="center"/>
          </w:tcPr>
          <w:p>
            <w:pPr>
              <w:pStyle w:val="50"/>
              <w:jc w:val="center"/>
              <w:rPr>
                <w:rFonts w:ascii="Times New Roman"/>
                <w:color w:val="auto"/>
                <w:sz w:val="22"/>
                <w:szCs w:val="22"/>
                <w:highlight w:val="none"/>
              </w:rPr>
            </w:pPr>
          </w:p>
        </w:tc>
        <w:tc>
          <w:tcPr>
            <w:tcW w:w="2220" w:type="dxa"/>
            <w:vAlign w:val="center"/>
          </w:tcPr>
          <w:p>
            <w:pPr>
              <w:pStyle w:val="50"/>
              <w:jc w:val="center"/>
              <w:rPr>
                <w:rFonts w:ascii="Times New Roman"/>
                <w:color w:val="auto"/>
                <w:sz w:val="22"/>
                <w:szCs w:val="22"/>
                <w:highlight w:val="none"/>
              </w:rPr>
            </w:pPr>
          </w:p>
        </w:tc>
        <w:tc>
          <w:tcPr>
            <w:tcW w:w="2586" w:type="dxa"/>
            <w:vAlign w:val="center"/>
          </w:tcPr>
          <w:p>
            <w:pPr>
              <w:pStyle w:val="50"/>
              <w:jc w:val="center"/>
              <w:rPr>
                <w:rFonts w:ascii="Times New Roman"/>
                <w:color w:val="auto"/>
                <w:sz w:val="22"/>
                <w:szCs w:val="22"/>
                <w:highlight w:val="none"/>
              </w:rPr>
            </w:pPr>
          </w:p>
        </w:tc>
        <w:tc>
          <w:tcPr>
            <w:tcW w:w="2539" w:type="dxa"/>
            <w:vAlign w:val="center"/>
          </w:tcPr>
          <w:p>
            <w:pPr>
              <w:pStyle w:val="50"/>
              <w:jc w:val="center"/>
              <w:rPr>
                <w:rFonts w:ascii="Times New Roman"/>
                <w:color w:val="auto"/>
                <w:sz w:val="22"/>
                <w:szCs w:val="22"/>
                <w:highlight w:val="none"/>
              </w:rPr>
            </w:pPr>
          </w:p>
        </w:tc>
        <w:tc>
          <w:tcPr>
            <w:tcW w:w="1688" w:type="dxa"/>
            <w:vAlign w:val="center"/>
          </w:tcPr>
          <w:p>
            <w:pPr>
              <w:pStyle w:val="50"/>
              <w:jc w:val="center"/>
              <w:rPr>
                <w:rFonts w:ascii="Times New Roman"/>
                <w:color w:val="auto"/>
                <w:sz w:val="22"/>
                <w:szCs w:val="22"/>
                <w:highlight w:val="none"/>
              </w:rPr>
            </w:pPr>
          </w:p>
        </w:tc>
      </w:tr>
    </w:tbl>
    <w:p>
      <w:pPr>
        <w:pStyle w:val="2"/>
        <w:spacing w:line="360" w:lineRule="auto"/>
        <w:ind w:firstLine="480" w:firstLineChars="200"/>
        <w:jc w:val="both"/>
        <w:rPr>
          <w:color w:val="auto"/>
          <w:highlight w:val="none"/>
        </w:rPr>
      </w:pPr>
    </w:p>
    <w:p>
      <w:pPr>
        <w:pStyle w:val="2"/>
        <w:spacing w:line="360" w:lineRule="auto"/>
        <w:ind w:firstLine="480" w:firstLineChars="200"/>
        <w:jc w:val="both"/>
        <w:rPr>
          <w:color w:val="auto"/>
          <w:highlight w:val="none"/>
        </w:rPr>
      </w:pPr>
    </w:p>
    <w:p>
      <w:pPr>
        <w:spacing w:line="360" w:lineRule="auto"/>
        <w:ind w:firstLine="420" w:firstLineChars="200"/>
        <w:rPr>
          <w:color w:val="auto"/>
          <w:sz w:val="21"/>
          <w:szCs w:val="21"/>
          <w:highlight w:val="none"/>
        </w:rPr>
      </w:pPr>
      <w:r>
        <w:rPr>
          <w:rFonts w:hint="eastAsia"/>
          <w:color w:val="auto"/>
          <w:sz w:val="21"/>
          <w:szCs w:val="21"/>
          <w:highlight w:val="none"/>
        </w:rPr>
        <w:t>注：供应商必须据实填写，不得虚假填写，否则将取消其投标或中标资格。</w:t>
      </w:r>
    </w:p>
    <w:p>
      <w:pPr>
        <w:pStyle w:val="2"/>
        <w:spacing w:line="360" w:lineRule="auto"/>
        <w:ind w:firstLine="480" w:firstLineChars="200"/>
        <w:jc w:val="both"/>
        <w:rPr>
          <w:color w:val="auto"/>
          <w:highlight w:val="none"/>
        </w:rPr>
      </w:pPr>
    </w:p>
    <w:p>
      <w:pPr>
        <w:pStyle w:val="2"/>
        <w:spacing w:line="360" w:lineRule="auto"/>
        <w:ind w:firstLine="480" w:firstLineChars="200"/>
        <w:jc w:val="both"/>
        <w:rPr>
          <w:color w:val="auto"/>
          <w:highlight w:val="none"/>
        </w:rPr>
      </w:pPr>
    </w:p>
    <w:p>
      <w:pPr>
        <w:spacing w:line="480" w:lineRule="auto"/>
        <w:ind w:firstLine="480" w:firstLineChars="200"/>
        <w:rPr>
          <w:color w:val="auto"/>
          <w:sz w:val="24"/>
          <w:highlight w:val="none"/>
        </w:rPr>
      </w:pPr>
      <w:r>
        <w:rPr>
          <w:rFonts w:hint="eastAsia"/>
          <w:color w:val="auto"/>
          <w:sz w:val="24"/>
          <w:highlight w:val="none"/>
        </w:rPr>
        <w:t xml:space="preserve">                  供应商名称：</w:t>
      </w:r>
      <w:r>
        <w:rPr>
          <w:rFonts w:hint="eastAsia"/>
          <w:color w:val="auto"/>
          <w:sz w:val="24"/>
          <w:highlight w:val="none"/>
          <w:u w:val="single"/>
        </w:rPr>
        <w:t xml:space="preserve">                             </w:t>
      </w:r>
      <w:r>
        <w:rPr>
          <w:rFonts w:hint="eastAsia"/>
          <w:color w:val="auto"/>
          <w:sz w:val="24"/>
          <w:highlight w:val="none"/>
        </w:rPr>
        <w:t>（盖单位公章）</w:t>
      </w:r>
    </w:p>
    <w:p>
      <w:pPr>
        <w:spacing w:line="480" w:lineRule="auto"/>
        <w:ind w:firstLine="480" w:firstLineChars="200"/>
        <w:rPr>
          <w:color w:val="auto"/>
          <w:sz w:val="24"/>
          <w:highlight w:val="none"/>
        </w:rPr>
      </w:pPr>
      <w:r>
        <w:rPr>
          <w:rFonts w:hint="eastAsia"/>
          <w:color w:val="auto"/>
          <w:sz w:val="24"/>
          <w:highlight w:val="none"/>
        </w:rPr>
        <w:t xml:space="preserve">                  法定代表人或授权代表：</w:t>
      </w:r>
      <w:r>
        <w:rPr>
          <w:rFonts w:hint="eastAsia"/>
          <w:color w:val="auto"/>
          <w:sz w:val="24"/>
          <w:highlight w:val="none"/>
          <w:u w:val="single"/>
        </w:rPr>
        <w:t xml:space="preserve">                   </w:t>
      </w:r>
      <w:r>
        <w:rPr>
          <w:rFonts w:hint="eastAsia"/>
          <w:color w:val="auto"/>
          <w:sz w:val="24"/>
          <w:highlight w:val="none"/>
        </w:rPr>
        <w:t>（签字）</w:t>
      </w:r>
    </w:p>
    <w:p>
      <w:pPr>
        <w:spacing w:line="480" w:lineRule="auto"/>
        <w:ind w:firstLine="480" w:firstLineChars="200"/>
        <w:rPr>
          <w:bCs/>
          <w:color w:val="auto"/>
          <w:sz w:val="24"/>
          <w:szCs w:val="24"/>
          <w:highlight w:val="none"/>
        </w:rPr>
      </w:pPr>
      <w:r>
        <w:rPr>
          <w:rFonts w:hint="eastAsia"/>
          <w:color w:val="auto"/>
          <w:sz w:val="24"/>
          <w:highlight w:val="none"/>
        </w:rPr>
        <w:t xml:space="preserve">                  日      期：</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w:t>
      </w:r>
    </w:p>
    <w:p>
      <w:pPr>
        <w:rPr>
          <w:rFonts w:hint="eastAsia"/>
          <w:color w:val="auto"/>
          <w:highlight w:val="none"/>
          <w:lang w:val="en-US" w:eastAsia="zh-CN"/>
        </w:rPr>
      </w:pPr>
      <w:r>
        <w:rPr>
          <w:rFonts w:hint="eastAsia"/>
          <w:color w:val="auto"/>
          <w:highlight w:val="none"/>
          <w:lang w:val="en-US" w:eastAsia="zh-CN"/>
        </w:rPr>
        <w:br w:type="page"/>
      </w:r>
    </w:p>
    <w:p>
      <w:pPr>
        <w:pStyle w:val="5"/>
        <w:bidi w:val="0"/>
        <w:rPr>
          <w:color w:val="auto"/>
          <w:highlight w:val="none"/>
          <w:lang w:val="en-US"/>
        </w:rPr>
      </w:pPr>
      <w:r>
        <w:rPr>
          <w:rFonts w:hint="eastAsia"/>
          <w:color w:val="auto"/>
          <w:highlight w:val="none"/>
          <w:lang w:val="en-US" w:eastAsia="zh-CN"/>
        </w:rPr>
        <w:t>四</w:t>
      </w:r>
      <w:r>
        <w:rPr>
          <w:rFonts w:hint="eastAsia"/>
          <w:color w:val="auto"/>
          <w:highlight w:val="none"/>
          <w:lang w:val="en-US"/>
        </w:rPr>
        <w:t>、商务应答表</w:t>
      </w:r>
    </w:p>
    <w:p>
      <w:pPr>
        <w:spacing w:line="360" w:lineRule="auto"/>
        <w:ind w:firstLine="480" w:firstLineChars="200"/>
        <w:rPr>
          <w:color w:val="auto"/>
          <w:sz w:val="24"/>
          <w:highlight w:val="none"/>
          <w:u w:val="single"/>
        </w:rPr>
      </w:pPr>
      <w:r>
        <w:rPr>
          <w:rFonts w:hint="eastAsia"/>
          <w:color w:val="auto"/>
          <w:sz w:val="24"/>
          <w:highlight w:val="none"/>
        </w:rPr>
        <w:t>项目名称：</w:t>
      </w:r>
      <w:r>
        <w:rPr>
          <w:rFonts w:hint="eastAsia"/>
          <w:color w:val="auto"/>
          <w:sz w:val="24"/>
          <w:highlight w:val="none"/>
          <w:u w:val="single"/>
        </w:rPr>
        <w:t xml:space="preserve">                                 </w:t>
      </w:r>
    </w:p>
    <w:p>
      <w:pPr>
        <w:spacing w:line="360" w:lineRule="auto"/>
        <w:ind w:firstLine="480" w:firstLineChars="200"/>
        <w:rPr>
          <w:rFonts w:hint="eastAsia"/>
          <w:color w:val="auto"/>
          <w:sz w:val="24"/>
          <w:highlight w:val="none"/>
          <w:u w:val="single"/>
        </w:rPr>
      </w:pPr>
      <w:r>
        <w:rPr>
          <w:rFonts w:hint="eastAsia"/>
          <w:color w:val="auto"/>
          <w:sz w:val="24"/>
          <w:highlight w:val="none"/>
        </w:rPr>
        <w:t>项目编号：</w:t>
      </w:r>
      <w:r>
        <w:rPr>
          <w:rFonts w:hint="eastAsia"/>
          <w:color w:val="auto"/>
          <w:sz w:val="24"/>
          <w:highlight w:val="none"/>
          <w:u w:val="single"/>
        </w:rPr>
        <w:t xml:space="preserve">                                 </w:t>
      </w:r>
    </w:p>
    <w:p>
      <w:pPr>
        <w:bidi w:val="0"/>
        <w:ind w:firstLine="480" w:firstLineChars="200"/>
        <w:rPr>
          <w:color w:val="auto"/>
          <w:highlight w:val="none"/>
          <w:lang w:val="en-US"/>
        </w:rPr>
      </w:pPr>
      <w:r>
        <w:rPr>
          <w:rFonts w:hint="eastAsia" w:ascii="宋体" w:hAnsi="宋体" w:eastAsia="宋体" w:cs="宋体"/>
          <w:b w:val="0"/>
          <w:color w:val="auto"/>
          <w:sz w:val="24"/>
          <w:szCs w:val="22"/>
          <w:highlight w:val="none"/>
          <w:lang w:val="en-US" w:eastAsia="zh-CN" w:bidi="ar-SA"/>
        </w:rPr>
        <w:t>包</w:t>
      </w:r>
      <w:r>
        <w:rPr>
          <w:rFonts w:hint="eastAsia" w:cs="宋体"/>
          <w:b w:val="0"/>
          <w:color w:val="auto"/>
          <w:sz w:val="24"/>
          <w:szCs w:val="22"/>
          <w:highlight w:val="none"/>
          <w:lang w:val="en-US" w:eastAsia="zh-CN" w:bidi="ar-SA"/>
        </w:rPr>
        <w:t xml:space="preserve">    </w:t>
      </w:r>
      <w:r>
        <w:rPr>
          <w:rFonts w:hint="eastAsia" w:ascii="宋体" w:hAnsi="宋体" w:eastAsia="宋体" w:cs="宋体"/>
          <w:b w:val="0"/>
          <w:color w:val="auto"/>
          <w:sz w:val="24"/>
          <w:szCs w:val="22"/>
          <w:highlight w:val="none"/>
          <w:lang w:val="en-US" w:eastAsia="zh-CN" w:bidi="ar-SA"/>
        </w:rPr>
        <w:t>号：</w:t>
      </w:r>
      <w:r>
        <w:rPr>
          <w:rFonts w:hint="eastAsia"/>
          <w:color w:val="auto"/>
          <w:sz w:val="24"/>
          <w:highlight w:val="none"/>
          <w:u w:val="single"/>
        </w:rPr>
        <w:t xml:space="preserve">                                 </w:t>
      </w:r>
    </w:p>
    <w:tbl>
      <w:tblPr>
        <w:tblStyle w:val="25"/>
        <w:tblW w:w="9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42"/>
        <w:gridCol w:w="2070"/>
        <w:gridCol w:w="2045"/>
        <w:gridCol w:w="2589"/>
        <w:gridCol w:w="1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1442" w:type="dxa"/>
            <w:vAlign w:val="center"/>
          </w:tcPr>
          <w:p>
            <w:pPr>
              <w:pStyle w:val="50"/>
              <w:jc w:val="center"/>
              <w:rPr>
                <w:b/>
                <w:color w:val="auto"/>
                <w:sz w:val="21"/>
                <w:szCs w:val="22"/>
                <w:highlight w:val="none"/>
              </w:rPr>
            </w:pPr>
            <w:r>
              <w:rPr>
                <w:rFonts w:hint="eastAsia"/>
                <w:b/>
                <w:color w:val="auto"/>
                <w:sz w:val="21"/>
                <w:szCs w:val="22"/>
                <w:highlight w:val="none"/>
              </w:rPr>
              <w:t>序号</w:t>
            </w:r>
          </w:p>
        </w:tc>
        <w:tc>
          <w:tcPr>
            <w:tcW w:w="2070" w:type="dxa"/>
            <w:vAlign w:val="center"/>
          </w:tcPr>
          <w:p>
            <w:pPr>
              <w:pStyle w:val="50"/>
              <w:jc w:val="center"/>
              <w:rPr>
                <w:b/>
                <w:color w:val="auto"/>
                <w:sz w:val="21"/>
                <w:szCs w:val="22"/>
                <w:highlight w:val="none"/>
              </w:rPr>
            </w:pPr>
            <w:r>
              <w:rPr>
                <w:rFonts w:hint="eastAsia"/>
                <w:b/>
                <w:color w:val="auto"/>
                <w:sz w:val="21"/>
                <w:szCs w:val="22"/>
                <w:highlight w:val="none"/>
              </w:rPr>
              <w:t>招标要求</w:t>
            </w:r>
          </w:p>
        </w:tc>
        <w:tc>
          <w:tcPr>
            <w:tcW w:w="2045" w:type="dxa"/>
            <w:vAlign w:val="center"/>
          </w:tcPr>
          <w:p>
            <w:pPr>
              <w:pStyle w:val="50"/>
              <w:jc w:val="center"/>
              <w:rPr>
                <w:b/>
                <w:color w:val="auto"/>
                <w:sz w:val="21"/>
                <w:szCs w:val="22"/>
                <w:highlight w:val="none"/>
              </w:rPr>
            </w:pPr>
            <w:r>
              <w:rPr>
                <w:rFonts w:hint="eastAsia"/>
                <w:b/>
                <w:color w:val="auto"/>
                <w:sz w:val="21"/>
                <w:szCs w:val="22"/>
                <w:highlight w:val="none"/>
              </w:rPr>
              <w:t>投标应答</w:t>
            </w:r>
          </w:p>
        </w:tc>
        <w:tc>
          <w:tcPr>
            <w:tcW w:w="2589" w:type="dxa"/>
            <w:vAlign w:val="center"/>
          </w:tcPr>
          <w:p>
            <w:pPr>
              <w:pStyle w:val="50"/>
              <w:jc w:val="center"/>
              <w:rPr>
                <w:b/>
                <w:color w:val="auto"/>
                <w:sz w:val="21"/>
                <w:szCs w:val="22"/>
                <w:highlight w:val="none"/>
              </w:rPr>
            </w:pPr>
            <w:r>
              <w:rPr>
                <w:rFonts w:hint="eastAsia"/>
                <w:b/>
                <w:color w:val="auto"/>
                <w:sz w:val="21"/>
                <w:szCs w:val="22"/>
                <w:highlight w:val="none"/>
              </w:rPr>
              <w:t>是否偏离</w:t>
            </w:r>
          </w:p>
        </w:tc>
        <w:tc>
          <w:tcPr>
            <w:tcW w:w="1391" w:type="dxa"/>
            <w:vAlign w:val="center"/>
          </w:tcPr>
          <w:p>
            <w:pPr>
              <w:pStyle w:val="50"/>
              <w:jc w:val="center"/>
              <w:rPr>
                <w:b/>
                <w:color w:val="auto"/>
                <w:sz w:val="21"/>
                <w:szCs w:val="22"/>
                <w:highlight w:val="none"/>
              </w:rPr>
            </w:pPr>
            <w:r>
              <w:rPr>
                <w:rFonts w:hint="eastAsia"/>
                <w:b/>
                <w:color w:val="auto"/>
                <w:sz w:val="21"/>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1" w:hRule="atLeast"/>
          <w:jc w:val="center"/>
        </w:trPr>
        <w:tc>
          <w:tcPr>
            <w:tcW w:w="1442" w:type="dxa"/>
            <w:vAlign w:val="center"/>
          </w:tcPr>
          <w:p>
            <w:pPr>
              <w:pStyle w:val="50"/>
              <w:jc w:val="center"/>
              <w:rPr>
                <w:rFonts w:ascii="Times New Roman"/>
                <w:color w:val="auto"/>
                <w:sz w:val="24"/>
                <w:szCs w:val="22"/>
                <w:highlight w:val="none"/>
              </w:rPr>
            </w:pPr>
          </w:p>
        </w:tc>
        <w:tc>
          <w:tcPr>
            <w:tcW w:w="2070" w:type="dxa"/>
            <w:vAlign w:val="center"/>
          </w:tcPr>
          <w:p>
            <w:pPr>
              <w:pStyle w:val="50"/>
              <w:jc w:val="center"/>
              <w:rPr>
                <w:rFonts w:ascii="Times New Roman"/>
                <w:color w:val="auto"/>
                <w:sz w:val="24"/>
                <w:szCs w:val="22"/>
                <w:highlight w:val="none"/>
              </w:rPr>
            </w:pPr>
          </w:p>
        </w:tc>
        <w:tc>
          <w:tcPr>
            <w:tcW w:w="2045" w:type="dxa"/>
            <w:vAlign w:val="center"/>
          </w:tcPr>
          <w:p>
            <w:pPr>
              <w:pStyle w:val="50"/>
              <w:jc w:val="center"/>
              <w:rPr>
                <w:rFonts w:ascii="Times New Roman"/>
                <w:color w:val="auto"/>
                <w:sz w:val="24"/>
                <w:szCs w:val="22"/>
                <w:highlight w:val="none"/>
              </w:rPr>
            </w:pPr>
          </w:p>
        </w:tc>
        <w:tc>
          <w:tcPr>
            <w:tcW w:w="2589" w:type="dxa"/>
            <w:vAlign w:val="center"/>
          </w:tcPr>
          <w:p>
            <w:pPr>
              <w:pStyle w:val="50"/>
              <w:jc w:val="center"/>
              <w:rPr>
                <w:rFonts w:ascii="Times New Roman"/>
                <w:color w:val="auto"/>
                <w:sz w:val="24"/>
                <w:szCs w:val="22"/>
                <w:highlight w:val="none"/>
              </w:rPr>
            </w:pPr>
          </w:p>
        </w:tc>
        <w:tc>
          <w:tcPr>
            <w:tcW w:w="1391" w:type="dxa"/>
            <w:vAlign w:val="center"/>
          </w:tcPr>
          <w:p>
            <w:pPr>
              <w:pStyle w:val="50"/>
              <w:jc w:val="center"/>
              <w:rPr>
                <w:rFonts w:ascii="Times New Roman"/>
                <w:color w:val="auto"/>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1" w:hRule="atLeast"/>
          <w:jc w:val="center"/>
        </w:trPr>
        <w:tc>
          <w:tcPr>
            <w:tcW w:w="1442" w:type="dxa"/>
            <w:vAlign w:val="center"/>
          </w:tcPr>
          <w:p>
            <w:pPr>
              <w:pStyle w:val="50"/>
              <w:jc w:val="center"/>
              <w:rPr>
                <w:rFonts w:ascii="Times New Roman"/>
                <w:color w:val="auto"/>
                <w:sz w:val="24"/>
                <w:szCs w:val="22"/>
                <w:highlight w:val="none"/>
              </w:rPr>
            </w:pPr>
          </w:p>
        </w:tc>
        <w:tc>
          <w:tcPr>
            <w:tcW w:w="2070" w:type="dxa"/>
            <w:vAlign w:val="center"/>
          </w:tcPr>
          <w:p>
            <w:pPr>
              <w:pStyle w:val="50"/>
              <w:jc w:val="center"/>
              <w:rPr>
                <w:rFonts w:ascii="Times New Roman"/>
                <w:color w:val="auto"/>
                <w:sz w:val="24"/>
                <w:szCs w:val="22"/>
                <w:highlight w:val="none"/>
              </w:rPr>
            </w:pPr>
          </w:p>
        </w:tc>
        <w:tc>
          <w:tcPr>
            <w:tcW w:w="2045" w:type="dxa"/>
            <w:vAlign w:val="center"/>
          </w:tcPr>
          <w:p>
            <w:pPr>
              <w:pStyle w:val="50"/>
              <w:jc w:val="center"/>
              <w:rPr>
                <w:rFonts w:ascii="Times New Roman"/>
                <w:color w:val="auto"/>
                <w:sz w:val="24"/>
                <w:szCs w:val="22"/>
                <w:highlight w:val="none"/>
              </w:rPr>
            </w:pPr>
          </w:p>
        </w:tc>
        <w:tc>
          <w:tcPr>
            <w:tcW w:w="2589" w:type="dxa"/>
            <w:vAlign w:val="center"/>
          </w:tcPr>
          <w:p>
            <w:pPr>
              <w:pStyle w:val="50"/>
              <w:jc w:val="center"/>
              <w:rPr>
                <w:rFonts w:ascii="Times New Roman"/>
                <w:color w:val="auto"/>
                <w:sz w:val="24"/>
                <w:szCs w:val="22"/>
                <w:highlight w:val="none"/>
              </w:rPr>
            </w:pPr>
          </w:p>
        </w:tc>
        <w:tc>
          <w:tcPr>
            <w:tcW w:w="1391" w:type="dxa"/>
            <w:vAlign w:val="center"/>
          </w:tcPr>
          <w:p>
            <w:pPr>
              <w:pStyle w:val="50"/>
              <w:jc w:val="center"/>
              <w:rPr>
                <w:rFonts w:ascii="Times New Roman"/>
                <w:color w:val="auto"/>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1" w:hRule="atLeast"/>
          <w:jc w:val="center"/>
        </w:trPr>
        <w:tc>
          <w:tcPr>
            <w:tcW w:w="1442" w:type="dxa"/>
            <w:vAlign w:val="center"/>
          </w:tcPr>
          <w:p>
            <w:pPr>
              <w:pStyle w:val="50"/>
              <w:jc w:val="center"/>
              <w:rPr>
                <w:rFonts w:ascii="Times New Roman"/>
                <w:color w:val="auto"/>
                <w:sz w:val="24"/>
                <w:szCs w:val="22"/>
                <w:highlight w:val="none"/>
              </w:rPr>
            </w:pPr>
          </w:p>
        </w:tc>
        <w:tc>
          <w:tcPr>
            <w:tcW w:w="2070" w:type="dxa"/>
            <w:vAlign w:val="center"/>
          </w:tcPr>
          <w:p>
            <w:pPr>
              <w:pStyle w:val="50"/>
              <w:jc w:val="center"/>
              <w:rPr>
                <w:rFonts w:ascii="Times New Roman"/>
                <w:color w:val="auto"/>
                <w:sz w:val="24"/>
                <w:szCs w:val="22"/>
                <w:highlight w:val="none"/>
              </w:rPr>
            </w:pPr>
          </w:p>
        </w:tc>
        <w:tc>
          <w:tcPr>
            <w:tcW w:w="2045" w:type="dxa"/>
            <w:vAlign w:val="center"/>
          </w:tcPr>
          <w:p>
            <w:pPr>
              <w:pStyle w:val="50"/>
              <w:jc w:val="center"/>
              <w:rPr>
                <w:rFonts w:ascii="Times New Roman"/>
                <w:color w:val="auto"/>
                <w:sz w:val="24"/>
                <w:szCs w:val="22"/>
                <w:highlight w:val="none"/>
              </w:rPr>
            </w:pPr>
          </w:p>
        </w:tc>
        <w:tc>
          <w:tcPr>
            <w:tcW w:w="2589" w:type="dxa"/>
            <w:vAlign w:val="center"/>
          </w:tcPr>
          <w:p>
            <w:pPr>
              <w:pStyle w:val="50"/>
              <w:jc w:val="center"/>
              <w:rPr>
                <w:rFonts w:ascii="Times New Roman"/>
                <w:color w:val="auto"/>
                <w:sz w:val="24"/>
                <w:szCs w:val="22"/>
                <w:highlight w:val="none"/>
              </w:rPr>
            </w:pPr>
          </w:p>
        </w:tc>
        <w:tc>
          <w:tcPr>
            <w:tcW w:w="1391" w:type="dxa"/>
            <w:vAlign w:val="center"/>
          </w:tcPr>
          <w:p>
            <w:pPr>
              <w:pStyle w:val="50"/>
              <w:jc w:val="center"/>
              <w:rPr>
                <w:rFonts w:ascii="Times New Roman"/>
                <w:color w:val="auto"/>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5" w:hRule="atLeast"/>
          <w:jc w:val="center"/>
        </w:trPr>
        <w:tc>
          <w:tcPr>
            <w:tcW w:w="1442" w:type="dxa"/>
            <w:vAlign w:val="center"/>
          </w:tcPr>
          <w:p>
            <w:pPr>
              <w:pStyle w:val="50"/>
              <w:jc w:val="center"/>
              <w:rPr>
                <w:rFonts w:ascii="Times New Roman"/>
                <w:color w:val="auto"/>
                <w:sz w:val="24"/>
                <w:szCs w:val="22"/>
                <w:highlight w:val="none"/>
              </w:rPr>
            </w:pPr>
          </w:p>
        </w:tc>
        <w:tc>
          <w:tcPr>
            <w:tcW w:w="2070" w:type="dxa"/>
            <w:vAlign w:val="center"/>
          </w:tcPr>
          <w:p>
            <w:pPr>
              <w:pStyle w:val="50"/>
              <w:jc w:val="center"/>
              <w:rPr>
                <w:rFonts w:ascii="Times New Roman"/>
                <w:color w:val="auto"/>
                <w:sz w:val="24"/>
                <w:szCs w:val="22"/>
                <w:highlight w:val="none"/>
              </w:rPr>
            </w:pPr>
          </w:p>
        </w:tc>
        <w:tc>
          <w:tcPr>
            <w:tcW w:w="2045" w:type="dxa"/>
            <w:vAlign w:val="center"/>
          </w:tcPr>
          <w:p>
            <w:pPr>
              <w:pStyle w:val="50"/>
              <w:jc w:val="center"/>
              <w:rPr>
                <w:rFonts w:ascii="Times New Roman"/>
                <w:color w:val="auto"/>
                <w:sz w:val="24"/>
                <w:szCs w:val="22"/>
                <w:highlight w:val="none"/>
              </w:rPr>
            </w:pPr>
          </w:p>
        </w:tc>
        <w:tc>
          <w:tcPr>
            <w:tcW w:w="2589" w:type="dxa"/>
            <w:vAlign w:val="center"/>
          </w:tcPr>
          <w:p>
            <w:pPr>
              <w:pStyle w:val="50"/>
              <w:jc w:val="center"/>
              <w:rPr>
                <w:rFonts w:ascii="Times New Roman"/>
                <w:color w:val="auto"/>
                <w:sz w:val="24"/>
                <w:szCs w:val="22"/>
                <w:highlight w:val="none"/>
              </w:rPr>
            </w:pPr>
          </w:p>
        </w:tc>
        <w:tc>
          <w:tcPr>
            <w:tcW w:w="1391" w:type="dxa"/>
            <w:vAlign w:val="center"/>
          </w:tcPr>
          <w:p>
            <w:pPr>
              <w:pStyle w:val="50"/>
              <w:jc w:val="center"/>
              <w:rPr>
                <w:rFonts w:ascii="Times New Roman"/>
                <w:color w:val="auto"/>
                <w:sz w:val="24"/>
                <w:szCs w:val="22"/>
                <w:highlight w:val="none"/>
              </w:rPr>
            </w:pPr>
          </w:p>
        </w:tc>
      </w:tr>
    </w:tbl>
    <w:p>
      <w:pPr>
        <w:pStyle w:val="2"/>
        <w:spacing w:line="360" w:lineRule="auto"/>
        <w:ind w:firstLine="480" w:firstLineChars="200"/>
        <w:jc w:val="both"/>
        <w:rPr>
          <w:bCs/>
          <w:color w:val="auto"/>
          <w:highlight w:val="none"/>
        </w:rPr>
      </w:pPr>
    </w:p>
    <w:p>
      <w:pPr>
        <w:pStyle w:val="2"/>
        <w:spacing w:line="360" w:lineRule="auto"/>
        <w:ind w:firstLine="480" w:firstLineChars="200"/>
        <w:jc w:val="both"/>
        <w:rPr>
          <w:bCs/>
          <w:color w:val="auto"/>
          <w:highlight w:val="none"/>
        </w:rPr>
      </w:pPr>
    </w:p>
    <w:p>
      <w:pPr>
        <w:spacing w:line="360" w:lineRule="auto"/>
        <w:ind w:firstLine="420" w:firstLineChars="200"/>
        <w:rPr>
          <w:color w:val="auto"/>
          <w:sz w:val="21"/>
          <w:szCs w:val="21"/>
          <w:highlight w:val="none"/>
        </w:rPr>
      </w:pPr>
      <w:r>
        <w:rPr>
          <w:rFonts w:hint="eastAsia"/>
          <w:color w:val="auto"/>
          <w:sz w:val="21"/>
          <w:szCs w:val="21"/>
          <w:highlight w:val="none"/>
        </w:rPr>
        <w:t>注：供应商必须据实填写，不得虚假响应，否则将取消其投标或中标资格。</w:t>
      </w:r>
    </w:p>
    <w:p>
      <w:pPr>
        <w:pStyle w:val="2"/>
        <w:spacing w:line="360" w:lineRule="auto"/>
        <w:ind w:firstLine="480" w:firstLineChars="200"/>
        <w:jc w:val="both"/>
        <w:rPr>
          <w:bCs/>
          <w:color w:val="auto"/>
          <w:highlight w:val="none"/>
        </w:rPr>
      </w:pPr>
    </w:p>
    <w:p>
      <w:pPr>
        <w:pStyle w:val="2"/>
        <w:spacing w:line="360" w:lineRule="auto"/>
        <w:ind w:firstLine="480" w:firstLineChars="200"/>
        <w:jc w:val="both"/>
        <w:rPr>
          <w:bCs/>
          <w:color w:val="auto"/>
          <w:highlight w:val="none"/>
        </w:rPr>
      </w:pPr>
    </w:p>
    <w:p>
      <w:pPr>
        <w:pStyle w:val="2"/>
        <w:spacing w:line="360" w:lineRule="auto"/>
        <w:ind w:firstLine="480" w:firstLineChars="200"/>
        <w:jc w:val="both"/>
        <w:rPr>
          <w:bCs/>
          <w:color w:val="auto"/>
          <w:highlight w:val="none"/>
        </w:rPr>
      </w:pPr>
    </w:p>
    <w:p>
      <w:pPr>
        <w:spacing w:line="480" w:lineRule="auto"/>
        <w:ind w:firstLine="480" w:firstLineChars="200"/>
        <w:rPr>
          <w:color w:val="auto"/>
          <w:sz w:val="24"/>
          <w:highlight w:val="none"/>
        </w:rPr>
      </w:pPr>
      <w:r>
        <w:rPr>
          <w:rFonts w:hint="eastAsia"/>
          <w:color w:val="auto"/>
          <w:sz w:val="24"/>
          <w:highlight w:val="none"/>
        </w:rPr>
        <w:t xml:space="preserve">                  供应商名称：</w:t>
      </w:r>
      <w:r>
        <w:rPr>
          <w:rFonts w:hint="eastAsia"/>
          <w:color w:val="auto"/>
          <w:sz w:val="24"/>
          <w:highlight w:val="none"/>
          <w:u w:val="single"/>
        </w:rPr>
        <w:t xml:space="preserve">                             </w:t>
      </w:r>
      <w:r>
        <w:rPr>
          <w:rFonts w:hint="eastAsia"/>
          <w:color w:val="auto"/>
          <w:sz w:val="24"/>
          <w:highlight w:val="none"/>
        </w:rPr>
        <w:t>（盖单位公章）</w:t>
      </w:r>
    </w:p>
    <w:p>
      <w:pPr>
        <w:spacing w:line="480" w:lineRule="auto"/>
        <w:ind w:firstLine="480" w:firstLineChars="200"/>
        <w:rPr>
          <w:color w:val="auto"/>
          <w:sz w:val="24"/>
          <w:highlight w:val="none"/>
        </w:rPr>
      </w:pPr>
      <w:r>
        <w:rPr>
          <w:rFonts w:hint="eastAsia"/>
          <w:color w:val="auto"/>
          <w:sz w:val="24"/>
          <w:highlight w:val="none"/>
        </w:rPr>
        <w:t xml:space="preserve">                  法定代表人或授权代表：</w:t>
      </w:r>
      <w:r>
        <w:rPr>
          <w:rFonts w:hint="eastAsia"/>
          <w:color w:val="auto"/>
          <w:sz w:val="24"/>
          <w:highlight w:val="none"/>
          <w:u w:val="single"/>
        </w:rPr>
        <w:t xml:space="preserve">                   </w:t>
      </w:r>
      <w:r>
        <w:rPr>
          <w:rFonts w:hint="eastAsia"/>
          <w:color w:val="auto"/>
          <w:sz w:val="24"/>
          <w:highlight w:val="none"/>
        </w:rPr>
        <w:t>（签字）</w:t>
      </w:r>
    </w:p>
    <w:p>
      <w:pPr>
        <w:spacing w:line="480" w:lineRule="auto"/>
        <w:ind w:firstLine="480" w:firstLineChars="200"/>
        <w:rPr>
          <w:bCs/>
          <w:color w:val="auto"/>
          <w:sz w:val="24"/>
          <w:szCs w:val="24"/>
          <w:highlight w:val="none"/>
        </w:rPr>
      </w:pPr>
      <w:r>
        <w:rPr>
          <w:rFonts w:hint="eastAsia"/>
          <w:color w:val="auto"/>
          <w:sz w:val="24"/>
          <w:highlight w:val="none"/>
        </w:rPr>
        <w:t xml:space="preserve">                  日      期：</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w:t>
      </w:r>
    </w:p>
    <w:p>
      <w:pPr>
        <w:pStyle w:val="2"/>
        <w:spacing w:line="360" w:lineRule="auto"/>
        <w:ind w:firstLine="480" w:firstLineChars="200"/>
        <w:jc w:val="both"/>
        <w:rPr>
          <w:bCs/>
          <w:color w:val="auto"/>
          <w:highlight w:val="none"/>
        </w:rPr>
      </w:pPr>
    </w:p>
    <w:p>
      <w:pPr>
        <w:widowControl/>
        <w:autoSpaceDE/>
        <w:autoSpaceDN/>
        <w:rPr>
          <w:color w:val="auto"/>
          <w:sz w:val="24"/>
          <w:szCs w:val="24"/>
          <w:highlight w:val="none"/>
        </w:rPr>
      </w:pPr>
      <w:r>
        <w:rPr>
          <w:color w:val="auto"/>
          <w:highlight w:val="none"/>
        </w:rPr>
        <w:br w:type="page"/>
      </w:r>
    </w:p>
    <w:p>
      <w:pPr>
        <w:pStyle w:val="5"/>
        <w:bidi w:val="0"/>
        <w:rPr>
          <w:color w:val="auto"/>
          <w:highlight w:val="none"/>
          <w:lang w:val="en-US"/>
        </w:rPr>
      </w:pPr>
      <w:r>
        <w:rPr>
          <w:rFonts w:hint="eastAsia"/>
          <w:color w:val="auto"/>
          <w:highlight w:val="none"/>
          <w:lang w:val="en-US" w:eastAsia="zh-CN"/>
        </w:rPr>
        <w:t>五</w:t>
      </w:r>
      <w:r>
        <w:rPr>
          <w:rFonts w:hint="eastAsia"/>
          <w:color w:val="auto"/>
          <w:highlight w:val="none"/>
          <w:lang w:val="en-US"/>
        </w:rPr>
        <w:t>、投标人类似项目业绩一览表</w:t>
      </w:r>
    </w:p>
    <w:p>
      <w:pPr>
        <w:spacing w:line="360" w:lineRule="auto"/>
        <w:ind w:firstLine="480" w:firstLineChars="200"/>
        <w:rPr>
          <w:color w:val="auto"/>
          <w:sz w:val="24"/>
          <w:highlight w:val="none"/>
          <w:u w:val="single"/>
        </w:rPr>
      </w:pPr>
      <w:r>
        <w:rPr>
          <w:rFonts w:hint="eastAsia"/>
          <w:color w:val="auto"/>
          <w:sz w:val="24"/>
          <w:highlight w:val="none"/>
        </w:rPr>
        <w:t>项目名称：</w:t>
      </w:r>
      <w:r>
        <w:rPr>
          <w:rFonts w:hint="eastAsia"/>
          <w:color w:val="auto"/>
          <w:sz w:val="24"/>
          <w:highlight w:val="none"/>
          <w:u w:val="single"/>
        </w:rPr>
        <w:t xml:space="preserve">                                 </w:t>
      </w:r>
    </w:p>
    <w:p>
      <w:pPr>
        <w:spacing w:line="360" w:lineRule="auto"/>
        <w:ind w:firstLine="480" w:firstLineChars="200"/>
        <w:rPr>
          <w:rFonts w:hint="eastAsia"/>
          <w:color w:val="auto"/>
          <w:sz w:val="24"/>
          <w:highlight w:val="none"/>
          <w:u w:val="single"/>
        </w:rPr>
      </w:pPr>
      <w:r>
        <w:rPr>
          <w:rFonts w:hint="eastAsia"/>
          <w:color w:val="auto"/>
          <w:sz w:val="24"/>
          <w:highlight w:val="none"/>
        </w:rPr>
        <w:t>项目编号：</w:t>
      </w:r>
      <w:r>
        <w:rPr>
          <w:rFonts w:hint="eastAsia"/>
          <w:color w:val="auto"/>
          <w:sz w:val="24"/>
          <w:highlight w:val="none"/>
          <w:u w:val="single"/>
        </w:rPr>
        <w:t xml:space="preserve">                                 </w:t>
      </w:r>
    </w:p>
    <w:p>
      <w:pPr>
        <w:bidi w:val="0"/>
        <w:ind w:firstLine="480" w:firstLineChars="200"/>
        <w:rPr>
          <w:color w:val="auto"/>
          <w:highlight w:val="none"/>
        </w:rPr>
      </w:pPr>
      <w:r>
        <w:rPr>
          <w:rFonts w:hint="eastAsia"/>
          <w:color w:val="auto"/>
          <w:highlight w:val="none"/>
          <w:lang w:val="en-US" w:eastAsia="zh-CN"/>
        </w:rPr>
        <w:t>包    号：</w:t>
      </w:r>
      <w:r>
        <w:rPr>
          <w:rFonts w:hint="eastAsia"/>
          <w:color w:val="auto"/>
          <w:highlight w:val="none"/>
          <w:u w:val="single"/>
        </w:rPr>
        <w:t xml:space="preserve">                                 </w:t>
      </w:r>
    </w:p>
    <w:tbl>
      <w:tblPr>
        <w:tblStyle w:val="25"/>
        <w:tblW w:w="95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0"/>
        <w:gridCol w:w="1598"/>
        <w:gridCol w:w="1466"/>
        <w:gridCol w:w="1353"/>
        <w:gridCol w:w="1346"/>
        <w:gridCol w:w="1508"/>
        <w:gridCol w:w="14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jc w:val="center"/>
        </w:trPr>
        <w:tc>
          <w:tcPr>
            <w:tcW w:w="800" w:type="dxa"/>
            <w:vAlign w:val="center"/>
          </w:tcPr>
          <w:p>
            <w:pPr>
              <w:pStyle w:val="50"/>
              <w:jc w:val="center"/>
              <w:rPr>
                <w:b/>
                <w:color w:val="auto"/>
                <w:sz w:val="21"/>
                <w:szCs w:val="22"/>
                <w:highlight w:val="none"/>
              </w:rPr>
            </w:pPr>
            <w:r>
              <w:rPr>
                <w:rFonts w:hint="eastAsia"/>
                <w:b/>
                <w:color w:val="auto"/>
                <w:sz w:val="21"/>
                <w:szCs w:val="22"/>
                <w:highlight w:val="none"/>
              </w:rPr>
              <w:t>年份</w:t>
            </w:r>
          </w:p>
        </w:tc>
        <w:tc>
          <w:tcPr>
            <w:tcW w:w="1598" w:type="dxa"/>
            <w:vAlign w:val="center"/>
          </w:tcPr>
          <w:p>
            <w:pPr>
              <w:pStyle w:val="50"/>
              <w:jc w:val="center"/>
              <w:rPr>
                <w:b/>
                <w:color w:val="auto"/>
                <w:sz w:val="21"/>
                <w:szCs w:val="22"/>
                <w:highlight w:val="none"/>
              </w:rPr>
            </w:pPr>
            <w:r>
              <w:rPr>
                <w:rFonts w:hint="eastAsia"/>
                <w:b/>
                <w:color w:val="auto"/>
                <w:sz w:val="21"/>
                <w:szCs w:val="22"/>
                <w:highlight w:val="none"/>
              </w:rPr>
              <w:t>用户名称</w:t>
            </w:r>
          </w:p>
        </w:tc>
        <w:tc>
          <w:tcPr>
            <w:tcW w:w="1466" w:type="dxa"/>
            <w:vAlign w:val="center"/>
          </w:tcPr>
          <w:p>
            <w:pPr>
              <w:pStyle w:val="50"/>
              <w:jc w:val="center"/>
              <w:rPr>
                <w:b/>
                <w:color w:val="auto"/>
                <w:sz w:val="21"/>
                <w:szCs w:val="22"/>
                <w:highlight w:val="none"/>
              </w:rPr>
            </w:pPr>
            <w:r>
              <w:rPr>
                <w:rFonts w:hint="eastAsia"/>
                <w:b/>
                <w:color w:val="auto"/>
                <w:sz w:val="21"/>
                <w:szCs w:val="22"/>
                <w:highlight w:val="none"/>
              </w:rPr>
              <w:t>项目名称</w:t>
            </w:r>
          </w:p>
        </w:tc>
        <w:tc>
          <w:tcPr>
            <w:tcW w:w="1353" w:type="dxa"/>
            <w:vAlign w:val="center"/>
          </w:tcPr>
          <w:p>
            <w:pPr>
              <w:pStyle w:val="50"/>
              <w:jc w:val="center"/>
              <w:rPr>
                <w:b/>
                <w:color w:val="auto"/>
                <w:sz w:val="21"/>
                <w:szCs w:val="22"/>
                <w:highlight w:val="none"/>
              </w:rPr>
            </w:pPr>
            <w:r>
              <w:rPr>
                <w:rFonts w:hint="eastAsia"/>
                <w:b/>
                <w:color w:val="auto"/>
                <w:sz w:val="21"/>
                <w:szCs w:val="22"/>
                <w:highlight w:val="none"/>
              </w:rPr>
              <w:t>完成时间</w:t>
            </w:r>
          </w:p>
        </w:tc>
        <w:tc>
          <w:tcPr>
            <w:tcW w:w="1346" w:type="dxa"/>
            <w:vAlign w:val="center"/>
          </w:tcPr>
          <w:p>
            <w:pPr>
              <w:pStyle w:val="50"/>
              <w:jc w:val="center"/>
              <w:rPr>
                <w:b/>
                <w:color w:val="auto"/>
                <w:sz w:val="21"/>
                <w:szCs w:val="22"/>
                <w:highlight w:val="none"/>
              </w:rPr>
            </w:pPr>
            <w:r>
              <w:rPr>
                <w:rFonts w:hint="eastAsia"/>
                <w:b/>
                <w:color w:val="auto"/>
                <w:sz w:val="21"/>
                <w:szCs w:val="22"/>
                <w:highlight w:val="none"/>
              </w:rPr>
              <w:t>合同金额</w:t>
            </w:r>
          </w:p>
        </w:tc>
        <w:tc>
          <w:tcPr>
            <w:tcW w:w="1508" w:type="dxa"/>
            <w:vAlign w:val="center"/>
          </w:tcPr>
          <w:p>
            <w:pPr>
              <w:pStyle w:val="50"/>
              <w:jc w:val="center"/>
              <w:rPr>
                <w:b/>
                <w:color w:val="auto"/>
                <w:sz w:val="21"/>
                <w:szCs w:val="22"/>
                <w:highlight w:val="none"/>
              </w:rPr>
            </w:pPr>
            <w:r>
              <w:rPr>
                <w:rFonts w:hint="eastAsia"/>
                <w:b/>
                <w:color w:val="auto"/>
                <w:sz w:val="21"/>
                <w:szCs w:val="22"/>
                <w:highlight w:val="none"/>
              </w:rPr>
              <w:t>是否通过验收</w:t>
            </w:r>
          </w:p>
        </w:tc>
        <w:tc>
          <w:tcPr>
            <w:tcW w:w="1458" w:type="dxa"/>
            <w:vAlign w:val="center"/>
          </w:tcPr>
          <w:p>
            <w:pPr>
              <w:pStyle w:val="50"/>
              <w:jc w:val="center"/>
              <w:rPr>
                <w:b/>
                <w:color w:val="auto"/>
                <w:sz w:val="21"/>
                <w:szCs w:val="22"/>
                <w:highlight w:val="none"/>
              </w:rPr>
            </w:pPr>
            <w:r>
              <w:rPr>
                <w:rFonts w:hint="eastAsia"/>
                <w:b/>
                <w:color w:val="auto"/>
                <w:sz w:val="21"/>
                <w:szCs w:val="22"/>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jc w:val="center"/>
        </w:trPr>
        <w:tc>
          <w:tcPr>
            <w:tcW w:w="800" w:type="dxa"/>
            <w:vAlign w:val="center"/>
          </w:tcPr>
          <w:p>
            <w:pPr>
              <w:pStyle w:val="50"/>
              <w:jc w:val="center"/>
              <w:rPr>
                <w:rFonts w:ascii="Times New Roman"/>
                <w:color w:val="auto"/>
                <w:sz w:val="24"/>
                <w:szCs w:val="22"/>
                <w:highlight w:val="none"/>
              </w:rPr>
            </w:pPr>
          </w:p>
        </w:tc>
        <w:tc>
          <w:tcPr>
            <w:tcW w:w="1598" w:type="dxa"/>
            <w:vAlign w:val="center"/>
          </w:tcPr>
          <w:p>
            <w:pPr>
              <w:pStyle w:val="50"/>
              <w:jc w:val="center"/>
              <w:rPr>
                <w:rFonts w:ascii="Times New Roman"/>
                <w:color w:val="auto"/>
                <w:sz w:val="24"/>
                <w:szCs w:val="22"/>
                <w:highlight w:val="none"/>
              </w:rPr>
            </w:pPr>
          </w:p>
        </w:tc>
        <w:tc>
          <w:tcPr>
            <w:tcW w:w="1466" w:type="dxa"/>
            <w:vAlign w:val="center"/>
          </w:tcPr>
          <w:p>
            <w:pPr>
              <w:pStyle w:val="50"/>
              <w:jc w:val="center"/>
              <w:rPr>
                <w:rFonts w:ascii="Times New Roman"/>
                <w:color w:val="auto"/>
                <w:sz w:val="24"/>
                <w:szCs w:val="22"/>
                <w:highlight w:val="none"/>
              </w:rPr>
            </w:pPr>
          </w:p>
        </w:tc>
        <w:tc>
          <w:tcPr>
            <w:tcW w:w="1353" w:type="dxa"/>
            <w:vAlign w:val="center"/>
          </w:tcPr>
          <w:p>
            <w:pPr>
              <w:pStyle w:val="50"/>
              <w:jc w:val="center"/>
              <w:rPr>
                <w:rFonts w:ascii="Times New Roman"/>
                <w:color w:val="auto"/>
                <w:sz w:val="24"/>
                <w:szCs w:val="22"/>
                <w:highlight w:val="none"/>
              </w:rPr>
            </w:pPr>
          </w:p>
        </w:tc>
        <w:tc>
          <w:tcPr>
            <w:tcW w:w="1346" w:type="dxa"/>
            <w:vAlign w:val="center"/>
          </w:tcPr>
          <w:p>
            <w:pPr>
              <w:pStyle w:val="50"/>
              <w:jc w:val="center"/>
              <w:rPr>
                <w:rFonts w:ascii="Times New Roman"/>
                <w:color w:val="auto"/>
                <w:sz w:val="24"/>
                <w:szCs w:val="22"/>
                <w:highlight w:val="none"/>
              </w:rPr>
            </w:pPr>
          </w:p>
        </w:tc>
        <w:tc>
          <w:tcPr>
            <w:tcW w:w="1508" w:type="dxa"/>
            <w:vAlign w:val="center"/>
          </w:tcPr>
          <w:p>
            <w:pPr>
              <w:pStyle w:val="50"/>
              <w:jc w:val="center"/>
              <w:rPr>
                <w:rFonts w:ascii="Times New Roman"/>
                <w:color w:val="auto"/>
                <w:sz w:val="24"/>
                <w:szCs w:val="22"/>
                <w:highlight w:val="none"/>
              </w:rPr>
            </w:pPr>
          </w:p>
        </w:tc>
        <w:tc>
          <w:tcPr>
            <w:tcW w:w="1458" w:type="dxa"/>
            <w:vAlign w:val="center"/>
          </w:tcPr>
          <w:p>
            <w:pPr>
              <w:pStyle w:val="50"/>
              <w:jc w:val="center"/>
              <w:rPr>
                <w:rFonts w:ascii="Times New Roman"/>
                <w:color w:val="auto"/>
                <w:sz w:val="24"/>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jc w:val="center"/>
        </w:trPr>
        <w:tc>
          <w:tcPr>
            <w:tcW w:w="800" w:type="dxa"/>
            <w:vAlign w:val="center"/>
          </w:tcPr>
          <w:p>
            <w:pPr>
              <w:pStyle w:val="50"/>
              <w:jc w:val="center"/>
              <w:rPr>
                <w:rFonts w:ascii="Times New Roman"/>
                <w:color w:val="auto"/>
                <w:sz w:val="24"/>
                <w:szCs w:val="22"/>
                <w:highlight w:val="none"/>
              </w:rPr>
            </w:pPr>
          </w:p>
        </w:tc>
        <w:tc>
          <w:tcPr>
            <w:tcW w:w="1598" w:type="dxa"/>
            <w:vAlign w:val="center"/>
          </w:tcPr>
          <w:p>
            <w:pPr>
              <w:pStyle w:val="50"/>
              <w:jc w:val="center"/>
              <w:rPr>
                <w:rFonts w:ascii="Times New Roman"/>
                <w:color w:val="auto"/>
                <w:sz w:val="24"/>
                <w:szCs w:val="22"/>
                <w:highlight w:val="none"/>
              </w:rPr>
            </w:pPr>
          </w:p>
        </w:tc>
        <w:tc>
          <w:tcPr>
            <w:tcW w:w="1466" w:type="dxa"/>
            <w:vAlign w:val="center"/>
          </w:tcPr>
          <w:p>
            <w:pPr>
              <w:pStyle w:val="50"/>
              <w:jc w:val="center"/>
              <w:rPr>
                <w:rFonts w:ascii="Times New Roman"/>
                <w:color w:val="auto"/>
                <w:sz w:val="24"/>
                <w:szCs w:val="22"/>
                <w:highlight w:val="none"/>
              </w:rPr>
            </w:pPr>
          </w:p>
        </w:tc>
        <w:tc>
          <w:tcPr>
            <w:tcW w:w="1353" w:type="dxa"/>
            <w:vAlign w:val="center"/>
          </w:tcPr>
          <w:p>
            <w:pPr>
              <w:pStyle w:val="50"/>
              <w:jc w:val="center"/>
              <w:rPr>
                <w:rFonts w:ascii="Times New Roman"/>
                <w:color w:val="auto"/>
                <w:sz w:val="24"/>
                <w:szCs w:val="22"/>
                <w:highlight w:val="none"/>
              </w:rPr>
            </w:pPr>
          </w:p>
        </w:tc>
        <w:tc>
          <w:tcPr>
            <w:tcW w:w="1346" w:type="dxa"/>
            <w:vAlign w:val="center"/>
          </w:tcPr>
          <w:p>
            <w:pPr>
              <w:pStyle w:val="50"/>
              <w:jc w:val="center"/>
              <w:rPr>
                <w:rFonts w:ascii="Times New Roman"/>
                <w:color w:val="auto"/>
                <w:sz w:val="24"/>
                <w:szCs w:val="22"/>
                <w:highlight w:val="none"/>
              </w:rPr>
            </w:pPr>
          </w:p>
        </w:tc>
        <w:tc>
          <w:tcPr>
            <w:tcW w:w="1508" w:type="dxa"/>
            <w:vAlign w:val="center"/>
          </w:tcPr>
          <w:p>
            <w:pPr>
              <w:pStyle w:val="50"/>
              <w:jc w:val="center"/>
              <w:rPr>
                <w:rFonts w:ascii="Times New Roman"/>
                <w:color w:val="auto"/>
                <w:sz w:val="24"/>
                <w:szCs w:val="22"/>
                <w:highlight w:val="none"/>
              </w:rPr>
            </w:pPr>
          </w:p>
        </w:tc>
        <w:tc>
          <w:tcPr>
            <w:tcW w:w="1458" w:type="dxa"/>
            <w:vAlign w:val="center"/>
          </w:tcPr>
          <w:p>
            <w:pPr>
              <w:pStyle w:val="50"/>
              <w:jc w:val="center"/>
              <w:rPr>
                <w:rFonts w:ascii="Times New Roman"/>
                <w:color w:val="auto"/>
                <w:sz w:val="24"/>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jc w:val="center"/>
        </w:trPr>
        <w:tc>
          <w:tcPr>
            <w:tcW w:w="800" w:type="dxa"/>
            <w:vAlign w:val="center"/>
          </w:tcPr>
          <w:p>
            <w:pPr>
              <w:pStyle w:val="50"/>
              <w:jc w:val="center"/>
              <w:rPr>
                <w:rFonts w:ascii="Times New Roman"/>
                <w:color w:val="auto"/>
                <w:sz w:val="24"/>
                <w:szCs w:val="22"/>
                <w:highlight w:val="none"/>
              </w:rPr>
            </w:pPr>
          </w:p>
        </w:tc>
        <w:tc>
          <w:tcPr>
            <w:tcW w:w="1598" w:type="dxa"/>
            <w:vAlign w:val="center"/>
          </w:tcPr>
          <w:p>
            <w:pPr>
              <w:pStyle w:val="50"/>
              <w:jc w:val="center"/>
              <w:rPr>
                <w:rFonts w:ascii="Times New Roman"/>
                <w:color w:val="auto"/>
                <w:sz w:val="24"/>
                <w:szCs w:val="22"/>
                <w:highlight w:val="none"/>
              </w:rPr>
            </w:pPr>
          </w:p>
        </w:tc>
        <w:tc>
          <w:tcPr>
            <w:tcW w:w="1466" w:type="dxa"/>
            <w:vAlign w:val="center"/>
          </w:tcPr>
          <w:p>
            <w:pPr>
              <w:pStyle w:val="50"/>
              <w:jc w:val="center"/>
              <w:rPr>
                <w:rFonts w:ascii="Times New Roman"/>
                <w:color w:val="auto"/>
                <w:sz w:val="24"/>
                <w:szCs w:val="22"/>
                <w:highlight w:val="none"/>
              </w:rPr>
            </w:pPr>
          </w:p>
        </w:tc>
        <w:tc>
          <w:tcPr>
            <w:tcW w:w="1353" w:type="dxa"/>
            <w:vAlign w:val="center"/>
          </w:tcPr>
          <w:p>
            <w:pPr>
              <w:pStyle w:val="50"/>
              <w:jc w:val="center"/>
              <w:rPr>
                <w:rFonts w:ascii="Times New Roman"/>
                <w:color w:val="auto"/>
                <w:sz w:val="24"/>
                <w:szCs w:val="22"/>
                <w:highlight w:val="none"/>
              </w:rPr>
            </w:pPr>
          </w:p>
        </w:tc>
        <w:tc>
          <w:tcPr>
            <w:tcW w:w="1346" w:type="dxa"/>
            <w:vAlign w:val="center"/>
          </w:tcPr>
          <w:p>
            <w:pPr>
              <w:pStyle w:val="50"/>
              <w:jc w:val="center"/>
              <w:rPr>
                <w:rFonts w:ascii="Times New Roman"/>
                <w:color w:val="auto"/>
                <w:sz w:val="24"/>
                <w:szCs w:val="22"/>
                <w:highlight w:val="none"/>
              </w:rPr>
            </w:pPr>
          </w:p>
        </w:tc>
        <w:tc>
          <w:tcPr>
            <w:tcW w:w="1508" w:type="dxa"/>
            <w:vAlign w:val="center"/>
          </w:tcPr>
          <w:p>
            <w:pPr>
              <w:pStyle w:val="50"/>
              <w:jc w:val="center"/>
              <w:rPr>
                <w:rFonts w:ascii="Times New Roman"/>
                <w:color w:val="auto"/>
                <w:sz w:val="24"/>
                <w:szCs w:val="22"/>
                <w:highlight w:val="none"/>
              </w:rPr>
            </w:pPr>
          </w:p>
        </w:tc>
        <w:tc>
          <w:tcPr>
            <w:tcW w:w="1458" w:type="dxa"/>
            <w:vAlign w:val="center"/>
          </w:tcPr>
          <w:p>
            <w:pPr>
              <w:pStyle w:val="50"/>
              <w:jc w:val="center"/>
              <w:rPr>
                <w:rFonts w:ascii="Times New Roman"/>
                <w:color w:val="auto"/>
                <w:sz w:val="24"/>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jc w:val="center"/>
        </w:trPr>
        <w:tc>
          <w:tcPr>
            <w:tcW w:w="800" w:type="dxa"/>
            <w:vAlign w:val="center"/>
          </w:tcPr>
          <w:p>
            <w:pPr>
              <w:pStyle w:val="50"/>
              <w:jc w:val="center"/>
              <w:rPr>
                <w:rFonts w:ascii="Times New Roman"/>
                <w:color w:val="auto"/>
                <w:sz w:val="24"/>
                <w:szCs w:val="22"/>
                <w:highlight w:val="none"/>
              </w:rPr>
            </w:pPr>
          </w:p>
        </w:tc>
        <w:tc>
          <w:tcPr>
            <w:tcW w:w="1598" w:type="dxa"/>
            <w:vAlign w:val="center"/>
          </w:tcPr>
          <w:p>
            <w:pPr>
              <w:pStyle w:val="50"/>
              <w:jc w:val="center"/>
              <w:rPr>
                <w:rFonts w:ascii="Times New Roman"/>
                <w:color w:val="auto"/>
                <w:sz w:val="24"/>
                <w:szCs w:val="22"/>
                <w:highlight w:val="none"/>
              </w:rPr>
            </w:pPr>
          </w:p>
        </w:tc>
        <w:tc>
          <w:tcPr>
            <w:tcW w:w="1466" w:type="dxa"/>
            <w:vAlign w:val="center"/>
          </w:tcPr>
          <w:p>
            <w:pPr>
              <w:pStyle w:val="50"/>
              <w:jc w:val="center"/>
              <w:rPr>
                <w:rFonts w:ascii="Times New Roman"/>
                <w:color w:val="auto"/>
                <w:sz w:val="24"/>
                <w:szCs w:val="22"/>
                <w:highlight w:val="none"/>
              </w:rPr>
            </w:pPr>
          </w:p>
        </w:tc>
        <w:tc>
          <w:tcPr>
            <w:tcW w:w="1353" w:type="dxa"/>
            <w:vAlign w:val="center"/>
          </w:tcPr>
          <w:p>
            <w:pPr>
              <w:pStyle w:val="50"/>
              <w:jc w:val="center"/>
              <w:rPr>
                <w:rFonts w:ascii="Times New Roman"/>
                <w:color w:val="auto"/>
                <w:sz w:val="24"/>
                <w:szCs w:val="22"/>
                <w:highlight w:val="none"/>
              </w:rPr>
            </w:pPr>
          </w:p>
        </w:tc>
        <w:tc>
          <w:tcPr>
            <w:tcW w:w="1346" w:type="dxa"/>
            <w:vAlign w:val="center"/>
          </w:tcPr>
          <w:p>
            <w:pPr>
              <w:pStyle w:val="50"/>
              <w:jc w:val="center"/>
              <w:rPr>
                <w:rFonts w:ascii="Times New Roman"/>
                <w:color w:val="auto"/>
                <w:sz w:val="24"/>
                <w:szCs w:val="22"/>
                <w:highlight w:val="none"/>
              </w:rPr>
            </w:pPr>
          </w:p>
        </w:tc>
        <w:tc>
          <w:tcPr>
            <w:tcW w:w="1508" w:type="dxa"/>
            <w:vAlign w:val="center"/>
          </w:tcPr>
          <w:p>
            <w:pPr>
              <w:pStyle w:val="50"/>
              <w:jc w:val="center"/>
              <w:rPr>
                <w:rFonts w:ascii="Times New Roman"/>
                <w:color w:val="auto"/>
                <w:sz w:val="24"/>
                <w:szCs w:val="22"/>
                <w:highlight w:val="none"/>
              </w:rPr>
            </w:pPr>
          </w:p>
        </w:tc>
        <w:tc>
          <w:tcPr>
            <w:tcW w:w="1458" w:type="dxa"/>
            <w:vAlign w:val="center"/>
          </w:tcPr>
          <w:p>
            <w:pPr>
              <w:pStyle w:val="50"/>
              <w:jc w:val="center"/>
              <w:rPr>
                <w:rFonts w:ascii="Times New Roman"/>
                <w:color w:val="auto"/>
                <w:sz w:val="24"/>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jc w:val="center"/>
        </w:trPr>
        <w:tc>
          <w:tcPr>
            <w:tcW w:w="800" w:type="dxa"/>
            <w:vAlign w:val="center"/>
          </w:tcPr>
          <w:p>
            <w:pPr>
              <w:pStyle w:val="50"/>
              <w:jc w:val="center"/>
              <w:rPr>
                <w:rFonts w:ascii="Times New Roman"/>
                <w:color w:val="auto"/>
                <w:sz w:val="24"/>
                <w:szCs w:val="22"/>
                <w:highlight w:val="none"/>
              </w:rPr>
            </w:pPr>
          </w:p>
        </w:tc>
        <w:tc>
          <w:tcPr>
            <w:tcW w:w="1598" w:type="dxa"/>
            <w:vAlign w:val="center"/>
          </w:tcPr>
          <w:p>
            <w:pPr>
              <w:pStyle w:val="50"/>
              <w:jc w:val="center"/>
              <w:rPr>
                <w:rFonts w:ascii="Times New Roman"/>
                <w:color w:val="auto"/>
                <w:sz w:val="24"/>
                <w:szCs w:val="22"/>
                <w:highlight w:val="none"/>
              </w:rPr>
            </w:pPr>
          </w:p>
        </w:tc>
        <w:tc>
          <w:tcPr>
            <w:tcW w:w="1466" w:type="dxa"/>
            <w:vAlign w:val="center"/>
          </w:tcPr>
          <w:p>
            <w:pPr>
              <w:pStyle w:val="50"/>
              <w:jc w:val="center"/>
              <w:rPr>
                <w:rFonts w:ascii="Times New Roman"/>
                <w:color w:val="auto"/>
                <w:sz w:val="24"/>
                <w:szCs w:val="22"/>
                <w:highlight w:val="none"/>
              </w:rPr>
            </w:pPr>
          </w:p>
        </w:tc>
        <w:tc>
          <w:tcPr>
            <w:tcW w:w="1353" w:type="dxa"/>
            <w:vAlign w:val="center"/>
          </w:tcPr>
          <w:p>
            <w:pPr>
              <w:pStyle w:val="50"/>
              <w:jc w:val="center"/>
              <w:rPr>
                <w:rFonts w:ascii="Times New Roman"/>
                <w:color w:val="auto"/>
                <w:sz w:val="24"/>
                <w:szCs w:val="22"/>
                <w:highlight w:val="none"/>
              </w:rPr>
            </w:pPr>
          </w:p>
        </w:tc>
        <w:tc>
          <w:tcPr>
            <w:tcW w:w="1346" w:type="dxa"/>
            <w:vAlign w:val="center"/>
          </w:tcPr>
          <w:p>
            <w:pPr>
              <w:pStyle w:val="50"/>
              <w:jc w:val="center"/>
              <w:rPr>
                <w:rFonts w:ascii="Times New Roman"/>
                <w:color w:val="auto"/>
                <w:sz w:val="24"/>
                <w:szCs w:val="22"/>
                <w:highlight w:val="none"/>
              </w:rPr>
            </w:pPr>
          </w:p>
        </w:tc>
        <w:tc>
          <w:tcPr>
            <w:tcW w:w="1508" w:type="dxa"/>
            <w:vAlign w:val="center"/>
          </w:tcPr>
          <w:p>
            <w:pPr>
              <w:pStyle w:val="50"/>
              <w:jc w:val="center"/>
              <w:rPr>
                <w:rFonts w:ascii="Times New Roman"/>
                <w:color w:val="auto"/>
                <w:sz w:val="24"/>
                <w:szCs w:val="22"/>
                <w:highlight w:val="none"/>
              </w:rPr>
            </w:pPr>
          </w:p>
        </w:tc>
        <w:tc>
          <w:tcPr>
            <w:tcW w:w="1458" w:type="dxa"/>
            <w:vAlign w:val="center"/>
          </w:tcPr>
          <w:p>
            <w:pPr>
              <w:pStyle w:val="50"/>
              <w:jc w:val="center"/>
              <w:rPr>
                <w:rFonts w:ascii="Times New Roman"/>
                <w:color w:val="auto"/>
                <w:sz w:val="24"/>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jc w:val="center"/>
        </w:trPr>
        <w:tc>
          <w:tcPr>
            <w:tcW w:w="800" w:type="dxa"/>
            <w:vAlign w:val="center"/>
          </w:tcPr>
          <w:p>
            <w:pPr>
              <w:pStyle w:val="50"/>
              <w:jc w:val="center"/>
              <w:rPr>
                <w:rFonts w:ascii="Times New Roman"/>
                <w:color w:val="auto"/>
                <w:sz w:val="24"/>
                <w:szCs w:val="22"/>
                <w:highlight w:val="none"/>
              </w:rPr>
            </w:pPr>
          </w:p>
        </w:tc>
        <w:tc>
          <w:tcPr>
            <w:tcW w:w="1598" w:type="dxa"/>
            <w:vAlign w:val="center"/>
          </w:tcPr>
          <w:p>
            <w:pPr>
              <w:pStyle w:val="50"/>
              <w:jc w:val="center"/>
              <w:rPr>
                <w:rFonts w:ascii="Times New Roman"/>
                <w:color w:val="auto"/>
                <w:sz w:val="24"/>
                <w:szCs w:val="22"/>
                <w:highlight w:val="none"/>
              </w:rPr>
            </w:pPr>
          </w:p>
        </w:tc>
        <w:tc>
          <w:tcPr>
            <w:tcW w:w="1466" w:type="dxa"/>
            <w:vAlign w:val="center"/>
          </w:tcPr>
          <w:p>
            <w:pPr>
              <w:pStyle w:val="50"/>
              <w:jc w:val="center"/>
              <w:rPr>
                <w:rFonts w:ascii="Times New Roman"/>
                <w:color w:val="auto"/>
                <w:sz w:val="24"/>
                <w:szCs w:val="22"/>
                <w:highlight w:val="none"/>
              </w:rPr>
            </w:pPr>
          </w:p>
        </w:tc>
        <w:tc>
          <w:tcPr>
            <w:tcW w:w="1353" w:type="dxa"/>
            <w:vAlign w:val="center"/>
          </w:tcPr>
          <w:p>
            <w:pPr>
              <w:pStyle w:val="50"/>
              <w:jc w:val="center"/>
              <w:rPr>
                <w:rFonts w:ascii="Times New Roman"/>
                <w:color w:val="auto"/>
                <w:sz w:val="24"/>
                <w:szCs w:val="22"/>
                <w:highlight w:val="none"/>
              </w:rPr>
            </w:pPr>
          </w:p>
        </w:tc>
        <w:tc>
          <w:tcPr>
            <w:tcW w:w="1346" w:type="dxa"/>
            <w:vAlign w:val="center"/>
          </w:tcPr>
          <w:p>
            <w:pPr>
              <w:pStyle w:val="50"/>
              <w:jc w:val="center"/>
              <w:rPr>
                <w:rFonts w:ascii="Times New Roman"/>
                <w:color w:val="auto"/>
                <w:sz w:val="24"/>
                <w:szCs w:val="22"/>
                <w:highlight w:val="none"/>
              </w:rPr>
            </w:pPr>
          </w:p>
        </w:tc>
        <w:tc>
          <w:tcPr>
            <w:tcW w:w="1508" w:type="dxa"/>
            <w:vAlign w:val="center"/>
          </w:tcPr>
          <w:p>
            <w:pPr>
              <w:pStyle w:val="50"/>
              <w:jc w:val="center"/>
              <w:rPr>
                <w:rFonts w:ascii="Times New Roman"/>
                <w:color w:val="auto"/>
                <w:sz w:val="24"/>
                <w:szCs w:val="22"/>
                <w:highlight w:val="none"/>
              </w:rPr>
            </w:pPr>
          </w:p>
        </w:tc>
        <w:tc>
          <w:tcPr>
            <w:tcW w:w="1458" w:type="dxa"/>
            <w:vAlign w:val="center"/>
          </w:tcPr>
          <w:p>
            <w:pPr>
              <w:pStyle w:val="50"/>
              <w:jc w:val="center"/>
              <w:rPr>
                <w:rFonts w:ascii="Times New Roman"/>
                <w:color w:val="auto"/>
                <w:sz w:val="24"/>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jc w:val="center"/>
        </w:trPr>
        <w:tc>
          <w:tcPr>
            <w:tcW w:w="800" w:type="dxa"/>
            <w:vAlign w:val="center"/>
          </w:tcPr>
          <w:p>
            <w:pPr>
              <w:pStyle w:val="50"/>
              <w:jc w:val="center"/>
              <w:rPr>
                <w:rFonts w:ascii="Times New Roman"/>
                <w:color w:val="auto"/>
                <w:sz w:val="24"/>
                <w:szCs w:val="22"/>
                <w:highlight w:val="none"/>
              </w:rPr>
            </w:pPr>
          </w:p>
        </w:tc>
        <w:tc>
          <w:tcPr>
            <w:tcW w:w="1598" w:type="dxa"/>
            <w:vAlign w:val="center"/>
          </w:tcPr>
          <w:p>
            <w:pPr>
              <w:pStyle w:val="50"/>
              <w:jc w:val="center"/>
              <w:rPr>
                <w:rFonts w:ascii="Times New Roman"/>
                <w:color w:val="auto"/>
                <w:sz w:val="24"/>
                <w:szCs w:val="22"/>
                <w:highlight w:val="none"/>
              </w:rPr>
            </w:pPr>
          </w:p>
        </w:tc>
        <w:tc>
          <w:tcPr>
            <w:tcW w:w="1466" w:type="dxa"/>
            <w:vAlign w:val="center"/>
          </w:tcPr>
          <w:p>
            <w:pPr>
              <w:pStyle w:val="50"/>
              <w:jc w:val="center"/>
              <w:rPr>
                <w:rFonts w:ascii="Times New Roman"/>
                <w:color w:val="auto"/>
                <w:sz w:val="24"/>
                <w:szCs w:val="22"/>
                <w:highlight w:val="none"/>
              </w:rPr>
            </w:pPr>
          </w:p>
        </w:tc>
        <w:tc>
          <w:tcPr>
            <w:tcW w:w="1353" w:type="dxa"/>
            <w:vAlign w:val="center"/>
          </w:tcPr>
          <w:p>
            <w:pPr>
              <w:pStyle w:val="50"/>
              <w:jc w:val="center"/>
              <w:rPr>
                <w:rFonts w:ascii="Times New Roman"/>
                <w:color w:val="auto"/>
                <w:sz w:val="24"/>
                <w:szCs w:val="22"/>
                <w:highlight w:val="none"/>
              </w:rPr>
            </w:pPr>
          </w:p>
        </w:tc>
        <w:tc>
          <w:tcPr>
            <w:tcW w:w="1346" w:type="dxa"/>
            <w:vAlign w:val="center"/>
          </w:tcPr>
          <w:p>
            <w:pPr>
              <w:pStyle w:val="50"/>
              <w:jc w:val="center"/>
              <w:rPr>
                <w:rFonts w:ascii="Times New Roman"/>
                <w:color w:val="auto"/>
                <w:sz w:val="24"/>
                <w:szCs w:val="22"/>
                <w:highlight w:val="none"/>
              </w:rPr>
            </w:pPr>
          </w:p>
        </w:tc>
        <w:tc>
          <w:tcPr>
            <w:tcW w:w="1508" w:type="dxa"/>
            <w:vAlign w:val="center"/>
          </w:tcPr>
          <w:p>
            <w:pPr>
              <w:pStyle w:val="50"/>
              <w:jc w:val="center"/>
              <w:rPr>
                <w:rFonts w:ascii="Times New Roman"/>
                <w:color w:val="auto"/>
                <w:sz w:val="24"/>
                <w:szCs w:val="22"/>
                <w:highlight w:val="none"/>
              </w:rPr>
            </w:pPr>
          </w:p>
        </w:tc>
        <w:tc>
          <w:tcPr>
            <w:tcW w:w="1458" w:type="dxa"/>
            <w:vAlign w:val="center"/>
          </w:tcPr>
          <w:p>
            <w:pPr>
              <w:pStyle w:val="50"/>
              <w:jc w:val="center"/>
              <w:rPr>
                <w:rFonts w:ascii="Times New Roman"/>
                <w:color w:val="auto"/>
                <w:sz w:val="24"/>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jc w:val="center"/>
        </w:trPr>
        <w:tc>
          <w:tcPr>
            <w:tcW w:w="800" w:type="dxa"/>
            <w:vAlign w:val="center"/>
          </w:tcPr>
          <w:p>
            <w:pPr>
              <w:pStyle w:val="50"/>
              <w:jc w:val="center"/>
              <w:rPr>
                <w:rFonts w:ascii="Times New Roman"/>
                <w:color w:val="auto"/>
                <w:sz w:val="24"/>
                <w:szCs w:val="22"/>
                <w:highlight w:val="none"/>
              </w:rPr>
            </w:pPr>
          </w:p>
        </w:tc>
        <w:tc>
          <w:tcPr>
            <w:tcW w:w="1598" w:type="dxa"/>
            <w:vAlign w:val="center"/>
          </w:tcPr>
          <w:p>
            <w:pPr>
              <w:pStyle w:val="50"/>
              <w:jc w:val="center"/>
              <w:rPr>
                <w:rFonts w:ascii="Times New Roman"/>
                <w:color w:val="auto"/>
                <w:sz w:val="24"/>
                <w:szCs w:val="22"/>
                <w:highlight w:val="none"/>
              </w:rPr>
            </w:pPr>
          </w:p>
        </w:tc>
        <w:tc>
          <w:tcPr>
            <w:tcW w:w="1466" w:type="dxa"/>
            <w:vAlign w:val="center"/>
          </w:tcPr>
          <w:p>
            <w:pPr>
              <w:pStyle w:val="50"/>
              <w:jc w:val="center"/>
              <w:rPr>
                <w:rFonts w:ascii="Times New Roman"/>
                <w:color w:val="auto"/>
                <w:sz w:val="24"/>
                <w:szCs w:val="22"/>
                <w:highlight w:val="none"/>
              </w:rPr>
            </w:pPr>
          </w:p>
        </w:tc>
        <w:tc>
          <w:tcPr>
            <w:tcW w:w="1353" w:type="dxa"/>
            <w:vAlign w:val="center"/>
          </w:tcPr>
          <w:p>
            <w:pPr>
              <w:pStyle w:val="50"/>
              <w:jc w:val="center"/>
              <w:rPr>
                <w:rFonts w:ascii="Times New Roman"/>
                <w:color w:val="auto"/>
                <w:sz w:val="24"/>
                <w:szCs w:val="22"/>
                <w:highlight w:val="none"/>
              </w:rPr>
            </w:pPr>
          </w:p>
        </w:tc>
        <w:tc>
          <w:tcPr>
            <w:tcW w:w="1346" w:type="dxa"/>
            <w:vAlign w:val="center"/>
          </w:tcPr>
          <w:p>
            <w:pPr>
              <w:pStyle w:val="50"/>
              <w:jc w:val="center"/>
              <w:rPr>
                <w:rFonts w:ascii="Times New Roman"/>
                <w:color w:val="auto"/>
                <w:sz w:val="24"/>
                <w:szCs w:val="22"/>
                <w:highlight w:val="none"/>
              </w:rPr>
            </w:pPr>
          </w:p>
        </w:tc>
        <w:tc>
          <w:tcPr>
            <w:tcW w:w="1508" w:type="dxa"/>
            <w:vAlign w:val="center"/>
          </w:tcPr>
          <w:p>
            <w:pPr>
              <w:pStyle w:val="50"/>
              <w:jc w:val="center"/>
              <w:rPr>
                <w:rFonts w:ascii="Times New Roman"/>
                <w:color w:val="auto"/>
                <w:sz w:val="24"/>
                <w:szCs w:val="22"/>
                <w:highlight w:val="none"/>
              </w:rPr>
            </w:pPr>
          </w:p>
        </w:tc>
        <w:tc>
          <w:tcPr>
            <w:tcW w:w="1458" w:type="dxa"/>
            <w:vAlign w:val="center"/>
          </w:tcPr>
          <w:p>
            <w:pPr>
              <w:pStyle w:val="50"/>
              <w:jc w:val="center"/>
              <w:rPr>
                <w:rFonts w:ascii="Times New Roman"/>
                <w:color w:val="auto"/>
                <w:sz w:val="24"/>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jc w:val="center"/>
        </w:trPr>
        <w:tc>
          <w:tcPr>
            <w:tcW w:w="800" w:type="dxa"/>
            <w:vAlign w:val="center"/>
          </w:tcPr>
          <w:p>
            <w:pPr>
              <w:pStyle w:val="50"/>
              <w:jc w:val="center"/>
              <w:rPr>
                <w:rFonts w:ascii="Times New Roman"/>
                <w:color w:val="auto"/>
                <w:sz w:val="24"/>
                <w:szCs w:val="22"/>
                <w:highlight w:val="none"/>
              </w:rPr>
            </w:pPr>
          </w:p>
        </w:tc>
        <w:tc>
          <w:tcPr>
            <w:tcW w:w="1598" w:type="dxa"/>
            <w:vAlign w:val="center"/>
          </w:tcPr>
          <w:p>
            <w:pPr>
              <w:pStyle w:val="50"/>
              <w:jc w:val="center"/>
              <w:rPr>
                <w:rFonts w:ascii="Times New Roman"/>
                <w:color w:val="auto"/>
                <w:sz w:val="24"/>
                <w:szCs w:val="22"/>
                <w:highlight w:val="none"/>
              </w:rPr>
            </w:pPr>
          </w:p>
        </w:tc>
        <w:tc>
          <w:tcPr>
            <w:tcW w:w="1466" w:type="dxa"/>
            <w:vAlign w:val="center"/>
          </w:tcPr>
          <w:p>
            <w:pPr>
              <w:pStyle w:val="50"/>
              <w:jc w:val="center"/>
              <w:rPr>
                <w:rFonts w:ascii="Times New Roman"/>
                <w:color w:val="auto"/>
                <w:sz w:val="24"/>
                <w:szCs w:val="22"/>
                <w:highlight w:val="none"/>
              </w:rPr>
            </w:pPr>
          </w:p>
        </w:tc>
        <w:tc>
          <w:tcPr>
            <w:tcW w:w="1353" w:type="dxa"/>
            <w:vAlign w:val="center"/>
          </w:tcPr>
          <w:p>
            <w:pPr>
              <w:pStyle w:val="50"/>
              <w:jc w:val="center"/>
              <w:rPr>
                <w:rFonts w:ascii="Times New Roman"/>
                <w:color w:val="auto"/>
                <w:sz w:val="24"/>
                <w:szCs w:val="22"/>
                <w:highlight w:val="none"/>
              </w:rPr>
            </w:pPr>
          </w:p>
        </w:tc>
        <w:tc>
          <w:tcPr>
            <w:tcW w:w="1346" w:type="dxa"/>
            <w:vAlign w:val="center"/>
          </w:tcPr>
          <w:p>
            <w:pPr>
              <w:pStyle w:val="50"/>
              <w:jc w:val="center"/>
              <w:rPr>
                <w:rFonts w:ascii="Times New Roman"/>
                <w:color w:val="auto"/>
                <w:sz w:val="24"/>
                <w:szCs w:val="22"/>
                <w:highlight w:val="none"/>
              </w:rPr>
            </w:pPr>
          </w:p>
        </w:tc>
        <w:tc>
          <w:tcPr>
            <w:tcW w:w="1508" w:type="dxa"/>
            <w:vAlign w:val="center"/>
          </w:tcPr>
          <w:p>
            <w:pPr>
              <w:pStyle w:val="50"/>
              <w:jc w:val="center"/>
              <w:rPr>
                <w:rFonts w:ascii="Times New Roman"/>
                <w:color w:val="auto"/>
                <w:sz w:val="24"/>
                <w:szCs w:val="22"/>
                <w:highlight w:val="none"/>
              </w:rPr>
            </w:pPr>
          </w:p>
        </w:tc>
        <w:tc>
          <w:tcPr>
            <w:tcW w:w="1458" w:type="dxa"/>
            <w:vAlign w:val="center"/>
          </w:tcPr>
          <w:p>
            <w:pPr>
              <w:pStyle w:val="50"/>
              <w:jc w:val="center"/>
              <w:rPr>
                <w:rFonts w:ascii="Times New Roman"/>
                <w:color w:val="auto"/>
                <w:sz w:val="24"/>
                <w:szCs w:val="22"/>
                <w:highlight w:val="none"/>
              </w:rPr>
            </w:pPr>
          </w:p>
        </w:tc>
      </w:tr>
    </w:tbl>
    <w:p>
      <w:pPr>
        <w:pStyle w:val="2"/>
        <w:spacing w:line="360" w:lineRule="auto"/>
        <w:ind w:firstLine="480" w:firstLineChars="200"/>
        <w:jc w:val="both"/>
        <w:rPr>
          <w:color w:val="auto"/>
          <w:highlight w:val="none"/>
        </w:rPr>
      </w:pPr>
    </w:p>
    <w:p>
      <w:pPr>
        <w:spacing w:line="360" w:lineRule="auto"/>
        <w:ind w:firstLine="420" w:firstLineChars="200"/>
        <w:rPr>
          <w:color w:val="auto"/>
          <w:sz w:val="21"/>
          <w:szCs w:val="21"/>
          <w:highlight w:val="none"/>
        </w:rPr>
      </w:pPr>
      <w:r>
        <w:rPr>
          <w:rFonts w:hint="eastAsia"/>
          <w:color w:val="auto"/>
          <w:sz w:val="21"/>
          <w:szCs w:val="21"/>
          <w:highlight w:val="none"/>
        </w:rPr>
        <w:t>注：投标人以上每个业绩需要提供合同复印加盖鲜章，否则视为无效业绩。</w:t>
      </w:r>
    </w:p>
    <w:p>
      <w:pPr>
        <w:pStyle w:val="2"/>
        <w:spacing w:line="360" w:lineRule="auto"/>
        <w:ind w:firstLine="480" w:firstLineChars="200"/>
        <w:jc w:val="both"/>
        <w:rPr>
          <w:color w:val="auto"/>
          <w:highlight w:val="none"/>
        </w:rPr>
      </w:pPr>
    </w:p>
    <w:p>
      <w:pPr>
        <w:pStyle w:val="2"/>
        <w:spacing w:line="360" w:lineRule="auto"/>
        <w:ind w:firstLine="480" w:firstLineChars="200"/>
        <w:jc w:val="both"/>
        <w:rPr>
          <w:color w:val="auto"/>
          <w:highlight w:val="none"/>
        </w:rPr>
      </w:pPr>
    </w:p>
    <w:p>
      <w:pPr>
        <w:pStyle w:val="2"/>
        <w:spacing w:line="360" w:lineRule="auto"/>
        <w:ind w:firstLine="480" w:firstLineChars="200"/>
        <w:jc w:val="both"/>
        <w:rPr>
          <w:color w:val="auto"/>
          <w:highlight w:val="none"/>
        </w:rPr>
      </w:pPr>
    </w:p>
    <w:p>
      <w:pPr>
        <w:spacing w:line="480" w:lineRule="auto"/>
        <w:ind w:firstLine="480" w:firstLineChars="200"/>
        <w:rPr>
          <w:color w:val="auto"/>
          <w:sz w:val="24"/>
          <w:highlight w:val="none"/>
        </w:rPr>
      </w:pPr>
      <w:r>
        <w:rPr>
          <w:rFonts w:hint="eastAsia"/>
          <w:color w:val="auto"/>
          <w:sz w:val="24"/>
          <w:highlight w:val="none"/>
        </w:rPr>
        <w:t xml:space="preserve">                  供应商名称：</w:t>
      </w:r>
      <w:r>
        <w:rPr>
          <w:rFonts w:hint="eastAsia"/>
          <w:color w:val="auto"/>
          <w:sz w:val="24"/>
          <w:highlight w:val="none"/>
          <w:u w:val="single"/>
        </w:rPr>
        <w:t xml:space="preserve">                             </w:t>
      </w:r>
      <w:r>
        <w:rPr>
          <w:rFonts w:hint="eastAsia"/>
          <w:color w:val="auto"/>
          <w:sz w:val="24"/>
          <w:highlight w:val="none"/>
        </w:rPr>
        <w:t>（盖单位公章）</w:t>
      </w:r>
    </w:p>
    <w:p>
      <w:pPr>
        <w:spacing w:line="480" w:lineRule="auto"/>
        <w:ind w:firstLine="480" w:firstLineChars="200"/>
        <w:rPr>
          <w:color w:val="auto"/>
          <w:sz w:val="24"/>
          <w:highlight w:val="none"/>
        </w:rPr>
      </w:pPr>
      <w:r>
        <w:rPr>
          <w:rFonts w:hint="eastAsia"/>
          <w:color w:val="auto"/>
          <w:sz w:val="24"/>
          <w:highlight w:val="none"/>
        </w:rPr>
        <w:t xml:space="preserve">                  法定代表人或授权代表：</w:t>
      </w:r>
      <w:r>
        <w:rPr>
          <w:rFonts w:hint="eastAsia"/>
          <w:color w:val="auto"/>
          <w:sz w:val="24"/>
          <w:highlight w:val="none"/>
          <w:u w:val="single"/>
        </w:rPr>
        <w:t xml:space="preserve">                   </w:t>
      </w:r>
      <w:r>
        <w:rPr>
          <w:rFonts w:hint="eastAsia"/>
          <w:color w:val="auto"/>
          <w:sz w:val="24"/>
          <w:highlight w:val="none"/>
        </w:rPr>
        <w:t>（签字）</w:t>
      </w:r>
    </w:p>
    <w:p>
      <w:pPr>
        <w:spacing w:line="480" w:lineRule="auto"/>
        <w:ind w:firstLine="480" w:firstLineChars="200"/>
        <w:rPr>
          <w:bCs/>
          <w:color w:val="auto"/>
          <w:sz w:val="24"/>
          <w:szCs w:val="24"/>
          <w:highlight w:val="none"/>
        </w:rPr>
      </w:pPr>
      <w:r>
        <w:rPr>
          <w:rFonts w:hint="eastAsia"/>
          <w:color w:val="auto"/>
          <w:sz w:val="24"/>
          <w:highlight w:val="none"/>
        </w:rPr>
        <w:t xml:space="preserve">                  日      期：</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w:t>
      </w:r>
    </w:p>
    <w:p>
      <w:pPr>
        <w:pStyle w:val="2"/>
        <w:spacing w:line="360" w:lineRule="auto"/>
        <w:ind w:firstLine="480" w:firstLineChars="200"/>
        <w:jc w:val="both"/>
        <w:rPr>
          <w:color w:val="auto"/>
          <w:highlight w:val="none"/>
        </w:rPr>
      </w:pPr>
    </w:p>
    <w:p>
      <w:pPr>
        <w:pStyle w:val="2"/>
        <w:spacing w:line="360" w:lineRule="auto"/>
        <w:ind w:firstLine="480" w:firstLineChars="200"/>
        <w:jc w:val="both"/>
        <w:rPr>
          <w:color w:val="auto"/>
          <w:highlight w:val="none"/>
        </w:rPr>
      </w:pPr>
    </w:p>
    <w:p>
      <w:pPr>
        <w:pStyle w:val="5"/>
        <w:bidi w:val="0"/>
        <w:rPr>
          <w:color w:val="auto"/>
          <w:highlight w:val="none"/>
          <w:lang w:val="en-US"/>
        </w:rPr>
      </w:pPr>
      <w:r>
        <w:rPr>
          <w:rFonts w:hint="eastAsia"/>
          <w:color w:val="auto"/>
          <w:highlight w:val="none"/>
          <w:lang w:val="en-US" w:eastAsia="zh-CN"/>
        </w:rPr>
        <w:t>六</w:t>
      </w:r>
      <w:r>
        <w:rPr>
          <w:rFonts w:hint="eastAsia"/>
          <w:color w:val="auto"/>
          <w:highlight w:val="none"/>
          <w:lang w:val="en-US"/>
        </w:rPr>
        <w:t>、投标人本项目管理、技术、服务人员情况表</w:t>
      </w:r>
    </w:p>
    <w:p>
      <w:pPr>
        <w:spacing w:line="360" w:lineRule="auto"/>
        <w:ind w:firstLine="480" w:firstLineChars="200"/>
        <w:rPr>
          <w:color w:val="auto"/>
          <w:sz w:val="24"/>
          <w:highlight w:val="none"/>
          <w:u w:val="single"/>
        </w:rPr>
      </w:pPr>
      <w:r>
        <w:rPr>
          <w:rFonts w:hint="eastAsia"/>
          <w:color w:val="auto"/>
          <w:sz w:val="24"/>
          <w:highlight w:val="none"/>
        </w:rPr>
        <w:t>项目名称：</w:t>
      </w:r>
      <w:r>
        <w:rPr>
          <w:rFonts w:hint="eastAsia"/>
          <w:color w:val="auto"/>
          <w:sz w:val="24"/>
          <w:highlight w:val="none"/>
          <w:u w:val="single"/>
        </w:rPr>
        <w:t xml:space="preserve">                                 </w:t>
      </w:r>
    </w:p>
    <w:p>
      <w:pPr>
        <w:spacing w:line="360" w:lineRule="auto"/>
        <w:ind w:firstLine="480" w:firstLineChars="200"/>
        <w:rPr>
          <w:rFonts w:hint="eastAsia"/>
          <w:color w:val="auto"/>
          <w:sz w:val="24"/>
          <w:highlight w:val="none"/>
          <w:u w:val="single"/>
        </w:rPr>
      </w:pPr>
      <w:r>
        <w:rPr>
          <w:rFonts w:hint="eastAsia"/>
          <w:color w:val="auto"/>
          <w:sz w:val="24"/>
          <w:highlight w:val="none"/>
        </w:rPr>
        <w:t>项目编号：</w:t>
      </w:r>
      <w:r>
        <w:rPr>
          <w:rFonts w:hint="eastAsia"/>
          <w:color w:val="auto"/>
          <w:sz w:val="24"/>
          <w:highlight w:val="none"/>
          <w:u w:val="single"/>
        </w:rPr>
        <w:t xml:space="preserve">                                 </w:t>
      </w:r>
    </w:p>
    <w:p>
      <w:pPr>
        <w:bidi w:val="0"/>
        <w:ind w:firstLine="480" w:firstLineChars="200"/>
        <w:rPr>
          <w:color w:val="auto"/>
          <w:highlight w:val="none"/>
        </w:rPr>
      </w:pPr>
      <w:r>
        <w:rPr>
          <w:rFonts w:hint="eastAsia" w:ascii="宋体" w:hAnsi="宋体" w:eastAsia="宋体" w:cs="宋体"/>
          <w:b w:val="0"/>
          <w:color w:val="auto"/>
          <w:sz w:val="24"/>
          <w:szCs w:val="22"/>
          <w:highlight w:val="none"/>
          <w:lang w:val="en-US" w:eastAsia="zh-CN" w:bidi="ar-SA"/>
        </w:rPr>
        <w:t>包</w:t>
      </w:r>
      <w:r>
        <w:rPr>
          <w:rFonts w:hint="eastAsia" w:cs="宋体"/>
          <w:b w:val="0"/>
          <w:color w:val="auto"/>
          <w:sz w:val="24"/>
          <w:szCs w:val="22"/>
          <w:highlight w:val="none"/>
          <w:lang w:val="en-US" w:eastAsia="zh-CN" w:bidi="ar-SA"/>
        </w:rPr>
        <w:t xml:space="preserve">    </w:t>
      </w:r>
      <w:r>
        <w:rPr>
          <w:rFonts w:hint="eastAsia" w:ascii="宋体" w:hAnsi="宋体" w:eastAsia="宋体" w:cs="宋体"/>
          <w:b w:val="0"/>
          <w:color w:val="auto"/>
          <w:sz w:val="24"/>
          <w:szCs w:val="22"/>
          <w:highlight w:val="none"/>
          <w:lang w:val="en-US" w:eastAsia="zh-CN" w:bidi="ar-SA"/>
        </w:rPr>
        <w:t>号：</w:t>
      </w:r>
      <w:r>
        <w:rPr>
          <w:rFonts w:hint="eastAsia"/>
          <w:color w:val="auto"/>
          <w:sz w:val="24"/>
          <w:highlight w:val="none"/>
          <w:u w:val="single"/>
        </w:rPr>
        <w:t xml:space="preserve">                                 </w:t>
      </w:r>
    </w:p>
    <w:tbl>
      <w:tblPr>
        <w:tblStyle w:val="25"/>
        <w:tblW w:w="87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14"/>
        <w:gridCol w:w="1054"/>
        <w:gridCol w:w="1054"/>
        <w:gridCol w:w="1054"/>
        <w:gridCol w:w="1376"/>
        <w:gridCol w:w="965"/>
        <w:gridCol w:w="1090"/>
        <w:gridCol w:w="9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jc w:val="center"/>
        </w:trPr>
        <w:tc>
          <w:tcPr>
            <w:tcW w:w="1214" w:type="dxa"/>
            <w:vMerge w:val="restart"/>
            <w:vAlign w:val="center"/>
          </w:tcPr>
          <w:p>
            <w:pPr>
              <w:pStyle w:val="50"/>
              <w:jc w:val="center"/>
              <w:rPr>
                <w:color w:val="auto"/>
                <w:sz w:val="21"/>
                <w:szCs w:val="22"/>
                <w:highlight w:val="none"/>
              </w:rPr>
            </w:pPr>
            <w:r>
              <w:rPr>
                <w:rFonts w:hint="eastAsia"/>
                <w:color w:val="auto"/>
                <w:sz w:val="21"/>
                <w:szCs w:val="22"/>
                <w:highlight w:val="none"/>
              </w:rPr>
              <w:t>类别</w:t>
            </w:r>
          </w:p>
        </w:tc>
        <w:tc>
          <w:tcPr>
            <w:tcW w:w="1054" w:type="dxa"/>
            <w:vMerge w:val="restart"/>
            <w:vAlign w:val="center"/>
          </w:tcPr>
          <w:p>
            <w:pPr>
              <w:pStyle w:val="50"/>
              <w:jc w:val="center"/>
              <w:rPr>
                <w:color w:val="auto"/>
                <w:sz w:val="21"/>
                <w:szCs w:val="22"/>
                <w:highlight w:val="none"/>
              </w:rPr>
            </w:pPr>
            <w:r>
              <w:rPr>
                <w:rFonts w:hint="eastAsia"/>
                <w:color w:val="auto"/>
                <w:sz w:val="21"/>
                <w:szCs w:val="22"/>
                <w:highlight w:val="none"/>
              </w:rPr>
              <w:t>姓名</w:t>
            </w:r>
          </w:p>
        </w:tc>
        <w:tc>
          <w:tcPr>
            <w:tcW w:w="1054" w:type="dxa"/>
            <w:vMerge w:val="restart"/>
            <w:vAlign w:val="center"/>
          </w:tcPr>
          <w:p>
            <w:pPr>
              <w:pStyle w:val="50"/>
              <w:jc w:val="center"/>
              <w:rPr>
                <w:color w:val="auto"/>
                <w:sz w:val="21"/>
                <w:szCs w:val="22"/>
                <w:highlight w:val="none"/>
              </w:rPr>
            </w:pPr>
            <w:r>
              <w:rPr>
                <w:rFonts w:hint="eastAsia"/>
                <w:color w:val="auto"/>
                <w:sz w:val="21"/>
                <w:szCs w:val="22"/>
                <w:highlight w:val="none"/>
              </w:rPr>
              <w:t>职称</w:t>
            </w:r>
          </w:p>
        </w:tc>
        <w:tc>
          <w:tcPr>
            <w:tcW w:w="1054" w:type="dxa"/>
            <w:vMerge w:val="restart"/>
            <w:vAlign w:val="center"/>
          </w:tcPr>
          <w:p>
            <w:pPr>
              <w:pStyle w:val="50"/>
              <w:jc w:val="center"/>
              <w:rPr>
                <w:color w:val="auto"/>
                <w:sz w:val="21"/>
                <w:szCs w:val="22"/>
                <w:highlight w:val="none"/>
              </w:rPr>
            </w:pPr>
            <w:r>
              <w:rPr>
                <w:rFonts w:hint="eastAsia"/>
                <w:color w:val="auto"/>
                <w:sz w:val="21"/>
                <w:szCs w:val="22"/>
                <w:highlight w:val="none"/>
              </w:rPr>
              <w:t>常住地</w:t>
            </w:r>
          </w:p>
        </w:tc>
        <w:tc>
          <w:tcPr>
            <w:tcW w:w="4396" w:type="dxa"/>
            <w:gridSpan w:val="4"/>
            <w:vAlign w:val="center"/>
          </w:tcPr>
          <w:p>
            <w:pPr>
              <w:pStyle w:val="50"/>
              <w:jc w:val="center"/>
              <w:rPr>
                <w:color w:val="auto"/>
                <w:sz w:val="21"/>
                <w:szCs w:val="22"/>
                <w:highlight w:val="none"/>
              </w:rPr>
            </w:pPr>
            <w:r>
              <w:rPr>
                <w:rFonts w:hint="eastAsia"/>
                <w:color w:val="auto"/>
                <w:sz w:val="21"/>
                <w:szCs w:val="22"/>
                <w:highlight w:val="none"/>
              </w:rPr>
              <w:t>资格证明（附复印件）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jc w:val="center"/>
        </w:trPr>
        <w:tc>
          <w:tcPr>
            <w:tcW w:w="1214" w:type="dxa"/>
            <w:vMerge w:val="continue"/>
            <w:vAlign w:val="center"/>
          </w:tcPr>
          <w:p>
            <w:pPr>
              <w:jc w:val="center"/>
              <w:rPr>
                <w:color w:val="auto"/>
                <w:sz w:val="2"/>
                <w:szCs w:val="2"/>
                <w:highlight w:val="none"/>
              </w:rPr>
            </w:pPr>
          </w:p>
        </w:tc>
        <w:tc>
          <w:tcPr>
            <w:tcW w:w="1054" w:type="dxa"/>
            <w:vMerge w:val="continue"/>
            <w:vAlign w:val="center"/>
          </w:tcPr>
          <w:p>
            <w:pPr>
              <w:jc w:val="center"/>
              <w:rPr>
                <w:color w:val="auto"/>
                <w:sz w:val="2"/>
                <w:szCs w:val="2"/>
                <w:highlight w:val="none"/>
              </w:rPr>
            </w:pPr>
          </w:p>
        </w:tc>
        <w:tc>
          <w:tcPr>
            <w:tcW w:w="1054" w:type="dxa"/>
            <w:vMerge w:val="continue"/>
            <w:vAlign w:val="center"/>
          </w:tcPr>
          <w:p>
            <w:pPr>
              <w:jc w:val="center"/>
              <w:rPr>
                <w:color w:val="auto"/>
                <w:sz w:val="2"/>
                <w:szCs w:val="2"/>
                <w:highlight w:val="none"/>
              </w:rPr>
            </w:pPr>
          </w:p>
        </w:tc>
        <w:tc>
          <w:tcPr>
            <w:tcW w:w="1054" w:type="dxa"/>
            <w:vMerge w:val="continue"/>
            <w:vAlign w:val="center"/>
          </w:tcPr>
          <w:p>
            <w:pPr>
              <w:jc w:val="center"/>
              <w:rPr>
                <w:color w:val="auto"/>
                <w:sz w:val="2"/>
                <w:szCs w:val="2"/>
                <w:highlight w:val="none"/>
              </w:rPr>
            </w:pPr>
          </w:p>
        </w:tc>
        <w:tc>
          <w:tcPr>
            <w:tcW w:w="1376" w:type="dxa"/>
            <w:vAlign w:val="center"/>
          </w:tcPr>
          <w:p>
            <w:pPr>
              <w:pStyle w:val="50"/>
              <w:jc w:val="center"/>
              <w:rPr>
                <w:color w:val="auto"/>
                <w:sz w:val="21"/>
                <w:szCs w:val="22"/>
                <w:highlight w:val="none"/>
              </w:rPr>
            </w:pPr>
            <w:r>
              <w:rPr>
                <w:rFonts w:hint="eastAsia"/>
                <w:color w:val="auto"/>
                <w:sz w:val="21"/>
                <w:szCs w:val="22"/>
                <w:highlight w:val="none"/>
              </w:rPr>
              <w:t>证书名称</w:t>
            </w:r>
          </w:p>
        </w:tc>
        <w:tc>
          <w:tcPr>
            <w:tcW w:w="965" w:type="dxa"/>
            <w:vAlign w:val="center"/>
          </w:tcPr>
          <w:p>
            <w:pPr>
              <w:pStyle w:val="50"/>
              <w:jc w:val="center"/>
              <w:rPr>
                <w:color w:val="auto"/>
                <w:sz w:val="21"/>
                <w:szCs w:val="22"/>
                <w:highlight w:val="none"/>
              </w:rPr>
            </w:pPr>
            <w:r>
              <w:rPr>
                <w:rFonts w:hint="eastAsia"/>
                <w:color w:val="auto"/>
                <w:sz w:val="21"/>
                <w:szCs w:val="22"/>
                <w:highlight w:val="none"/>
              </w:rPr>
              <w:t>级别</w:t>
            </w:r>
          </w:p>
        </w:tc>
        <w:tc>
          <w:tcPr>
            <w:tcW w:w="1090" w:type="dxa"/>
            <w:vAlign w:val="center"/>
          </w:tcPr>
          <w:p>
            <w:pPr>
              <w:pStyle w:val="50"/>
              <w:jc w:val="center"/>
              <w:rPr>
                <w:color w:val="auto"/>
                <w:sz w:val="21"/>
                <w:szCs w:val="22"/>
                <w:highlight w:val="none"/>
              </w:rPr>
            </w:pPr>
            <w:r>
              <w:rPr>
                <w:rFonts w:hint="eastAsia"/>
                <w:color w:val="auto"/>
                <w:sz w:val="21"/>
                <w:szCs w:val="22"/>
                <w:highlight w:val="none"/>
              </w:rPr>
              <w:t>证号</w:t>
            </w:r>
          </w:p>
        </w:tc>
        <w:tc>
          <w:tcPr>
            <w:tcW w:w="965" w:type="dxa"/>
            <w:vAlign w:val="center"/>
          </w:tcPr>
          <w:p>
            <w:pPr>
              <w:pStyle w:val="50"/>
              <w:jc w:val="center"/>
              <w:rPr>
                <w:color w:val="auto"/>
                <w:sz w:val="21"/>
                <w:szCs w:val="22"/>
                <w:highlight w:val="none"/>
              </w:rPr>
            </w:pPr>
            <w:r>
              <w:rPr>
                <w:rFonts w:hint="eastAsia"/>
                <w:color w:val="auto"/>
                <w:sz w:val="21"/>
                <w:szCs w:val="22"/>
                <w:highlight w:val="none"/>
              </w:rPr>
              <w:t>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jc w:val="center"/>
        </w:trPr>
        <w:tc>
          <w:tcPr>
            <w:tcW w:w="1214" w:type="dxa"/>
            <w:vMerge w:val="restart"/>
            <w:vAlign w:val="center"/>
          </w:tcPr>
          <w:p>
            <w:pPr>
              <w:pStyle w:val="50"/>
              <w:jc w:val="center"/>
              <w:rPr>
                <w:color w:val="auto"/>
                <w:sz w:val="21"/>
                <w:szCs w:val="22"/>
                <w:highlight w:val="none"/>
              </w:rPr>
            </w:pPr>
            <w:r>
              <w:rPr>
                <w:rFonts w:hint="eastAsia"/>
                <w:color w:val="auto"/>
                <w:sz w:val="21"/>
                <w:szCs w:val="22"/>
                <w:highlight w:val="none"/>
              </w:rPr>
              <w:t>管理人员</w:t>
            </w:r>
          </w:p>
        </w:tc>
        <w:tc>
          <w:tcPr>
            <w:tcW w:w="1054" w:type="dxa"/>
            <w:vAlign w:val="center"/>
          </w:tcPr>
          <w:p>
            <w:pPr>
              <w:pStyle w:val="50"/>
              <w:jc w:val="center"/>
              <w:rPr>
                <w:rFonts w:ascii="Times New Roman"/>
                <w:color w:val="auto"/>
                <w:sz w:val="22"/>
                <w:szCs w:val="22"/>
                <w:highlight w:val="none"/>
              </w:rPr>
            </w:pPr>
          </w:p>
        </w:tc>
        <w:tc>
          <w:tcPr>
            <w:tcW w:w="1054" w:type="dxa"/>
            <w:vAlign w:val="center"/>
          </w:tcPr>
          <w:p>
            <w:pPr>
              <w:pStyle w:val="50"/>
              <w:jc w:val="center"/>
              <w:rPr>
                <w:rFonts w:ascii="Times New Roman"/>
                <w:color w:val="auto"/>
                <w:sz w:val="22"/>
                <w:szCs w:val="22"/>
                <w:highlight w:val="none"/>
              </w:rPr>
            </w:pPr>
          </w:p>
        </w:tc>
        <w:tc>
          <w:tcPr>
            <w:tcW w:w="1054" w:type="dxa"/>
            <w:vAlign w:val="center"/>
          </w:tcPr>
          <w:p>
            <w:pPr>
              <w:pStyle w:val="50"/>
              <w:jc w:val="center"/>
              <w:rPr>
                <w:rFonts w:ascii="Times New Roman"/>
                <w:color w:val="auto"/>
                <w:sz w:val="22"/>
                <w:szCs w:val="22"/>
                <w:highlight w:val="none"/>
              </w:rPr>
            </w:pPr>
          </w:p>
        </w:tc>
        <w:tc>
          <w:tcPr>
            <w:tcW w:w="1376" w:type="dxa"/>
            <w:vAlign w:val="center"/>
          </w:tcPr>
          <w:p>
            <w:pPr>
              <w:pStyle w:val="50"/>
              <w:jc w:val="center"/>
              <w:rPr>
                <w:rFonts w:ascii="Times New Roman"/>
                <w:color w:val="auto"/>
                <w:sz w:val="22"/>
                <w:szCs w:val="22"/>
                <w:highlight w:val="none"/>
              </w:rPr>
            </w:pPr>
          </w:p>
        </w:tc>
        <w:tc>
          <w:tcPr>
            <w:tcW w:w="965" w:type="dxa"/>
            <w:vAlign w:val="center"/>
          </w:tcPr>
          <w:p>
            <w:pPr>
              <w:pStyle w:val="50"/>
              <w:jc w:val="center"/>
              <w:rPr>
                <w:rFonts w:ascii="Times New Roman"/>
                <w:color w:val="auto"/>
                <w:sz w:val="22"/>
                <w:szCs w:val="22"/>
                <w:highlight w:val="none"/>
              </w:rPr>
            </w:pPr>
          </w:p>
        </w:tc>
        <w:tc>
          <w:tcPr>
            <w:tcW w:w="1090" w:type="dxa"/>
            <w:vAlign w:val="center"/>
          </w:tcPr>
          <w:p>
            <w:pPr>
              <w:pStyle w:val="50"/>
              <w:jc w:val="center"/>
              <w:rPr>
                <w:rFonts w:ascii="Times New Roman"/>
                <w:color w:val="auto"/>
                <w:sz w:val="22"/>
                <w:szCs w:val="22"/>
                <w:highlight w:val="none"/>
              </w:rPr>
            </w:pPr>
          </w:p>
        </w:tc>
        <w:tc>
          <w:tcPr>
            <w:tcW w:w="965" w:type="dxa"/>
            <w:vAlign w:val="center"/>
          </w:tcPr>
          <w:p>
            <w:pPr>
              <w:pStyle w:val="50"/>
              <w:jc w:val="center"/>
              <w:rPr>
                <w:rFonts w:ascii="Times New Roman"/>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jc w:val="center"/>
        </w:trPr>
        <w:tc>
          <w:tcPr>
            <w:tcW w:w="1214" w:type="dxa"/>
            <w:vMerge w:val="continue"/>
            <w:vAlign w:val="center"/>
          </w:tcPr>
          <w:p>
            <w:pPr>
              <w:jc w:val="center"/>
              <w:rPr>
                <w:color w:val="auto"/>
                <w:sz w:val="2"/>
                <w:szCs w:val="2"/>
                <w:highlight w:val="none"/>
              </w:rPr>
            </w:pPr>
          </w:p>
        </w:tc>
        <w:tc>
          <w:tcPr>
            <w:tcW w:w="1054" w:type="dxa"/>
            <w:vAlign w:val="center"/>
          </w:tcPr>
          <w:p>
            <w:pPr>
              <w:pStyle w:val="50"/>
              <w:jc w:val="center"/>
              <w:rPr>
                <w:rFonts w:ascii="Times New Roman"/>
                <w:color w:val="auto"/>
                <w:sz w:val="22"/>
                <w:szCs w:val="22"/>
                <w:highlight w:val="none"/>
              </w:rPr>
            </w:pPr>
          </w:p>
        </w:tc>
        <w:tc>
          <w:tcPr>
            <w:tcW w:w="1054" w:type="dxa"/>
            <w:vAlign w:val="center"/>
          </w:tcPr>
          <w:p>
            <w:pPr>
              <w:pStyle w:val="50"/>
              <w:jc w:val="center"/>
              <w:rPr>
                <w:rFonts w:ascii="Times New Roman"/>
                <w:color w:val="auto"/>
                <w:sz w:val="22"/>
                <w:szCs w:val="22"/>
                <w:highlight w:val="none"/>
              </w:rPr>
            </w:pPr>
          </w:p>
        </w:tc>
        <w:tc>
          <w:tcPr>
            <w:tcW w:w="1054" w:type="dxa"/>
            <w:vAlign w:val="center"/>
          </w:tcPr>
          <w:p>
            <w:pPr>
              <w:pStyle w:val="50"/>
              <w:jc w:val="center"/>
              <w:rPr>
                <w:rFonts w:ascii="Times New Roman"/>
                <w:color w:val="auto"/>
                <w:sz w:val="22"/>
                <w:szCs w:val="22"/>
                <w:highlight w:val="none"/>
              </w:rPr>
            </w:pPr>
          </w:p>
        </w:tc>
        <w:tc>
          <w:tcPr>
            <w:tcW w:w="1376" w:type="dxa"/>
            <w:vAlign w:val="center"/>
          </w:tcPr>
          <w:p>
            <w:pPr>
              <w:pStyle w:val="50"/>
              <w:jc w:val="center"/>
              <w:rPr>
                <w:rFonts w:ascii="Times New Roman"/>
                <w:color w:val="auto"/>
                <w:sz w:val="22"/>
                <w:szCs w:val="22"/>
                <w:highlight w:val="none"/>
              </w:rPr>
            </w:pPr>
          </w:p>
        </w:tc>
        <w:tc>
          <w:tcPr>
            <w:tcW w:w="965" w:type="dxa"/>
            <w:vAlign w:val="center"/>
          </w:tcPr>
          <w:p>
            <w:pPr>
              <w:pStyle w:val="50"/>
              <w:jc w:val="center"/>
              <w:rPr>
                <w:rFonts w:ascii="Times New Roman"/>
                <w:color w:val="auto"/>
                <w:sz w:val="22"/>
                <w:szCs w:val="22"/>
                <w:highlight w:val="none"/>
              </w:rPr>
            </w:pPr>
          </w:p>
        </w:tc>
        <w:tc>
          <w:tcPr>
            <w:tcW w:w="1090" w:type="dxa"/>
            <w:vAlign w:val="center"/>
          </w:tcPr>
          <w:p>
            <w:pPr>
              <w:pStyle w:val="50"/>
              <w:jc w:val="center"/>
              <w:rPr>
                <w:rFonts w:ascii="Times New Roman"/>
                <w:color w:val="auto"/>
                <w:sz w:val="22"/>
                <w:szCs w:val="22"/>
                <w:highlight w:val="none"/>
              </w:rPr>
            </w:pPr>
          </w:p>
        </w:tc>
        <w:tc>
          <w:tcPr>
            <w:tcW w:w="965" w:type="dxa"/>
            <w:vAlign w:val="center"/>
          </w:tcPr>
          <w:p>
            <w:pPr>
              <w:pStyle w:val="50"/>
              <w:jc w:val="center"/>
              <w:rPr>
                <w:rFonts w:ascii="Times New Roman"/>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jc w:val="center"/>
        </w:trPr>
        <w:tc>
          <w:tcPr>
            <w:tcW w:w="1214" w:type="dxa"/>
            <w:vMerge w:val="continue"/>
            <w:vAlign w:val="center"/>
          </w:tcPr>
          <w:p>
            <w:pPr>
              <w:jc w:val="center"/>
              <w:rPr>
                <w:color w:val="auto"/>
                <w:sz w:val="2"/>
                <w:szCs w:val="2"/>
                <w:highlight w:val="none"/>
              </w:rPr>
            </w:pPr>
          </w:p>
        </w:tc>
        <w:tc>
          <w:tcPr>
            <w:tcW w:w="1054" w:type="dxa"/>
            <w:vAlign w:val="center"/>
          </w:tcPr>
          <w:p>
            <w:pPr>
              <w:pStyle w:val="50"/>
              <w:jc w:val="center"/>
              <w:rPr>
                <w:rFonts w:ascii="Times New Roman"/>
                <w:color w:val="auto"/>
                <w:sz w:val="22"/>
                <w:szCs w:val="22"/>
                <w:highlight w:val="none"/>
              </w:rPr>
            </w:pPr>
          </w:p>
        </w:tc>
        <w:tc>
          <w:tcPr>
            <w:tcW w:w="1054" w:type="dxa"/>
            <w:vAlign w:val="center"/>
          </w:tcPr>
          <w:p>
            <w:pPr>
              <w:pStyle w:val="50"/>
              <w:jc w:val="center"/>
              <w:rPr>
                <w:rFonts w:ascii="Times New Roman"/>
                <w:color w:val="auto"/>
                <w:sz w:val="22"/>
                <w:szCs w:val="22"/>
                <w:highlight w:val="none"/>
              </w:rPr>
            </w:pPr>
          </w:p>
        </w:tc>
        <w:tc>
          <w:tcPr>
            <w:tcW w:w="1054" w:type="dxa"/>
            <w:vAlign w:val="center"/>
          </w:tcPr>
          <w:p>
            <w:pPr>
              <w:pStyle w:val="50"/>
              <w:jc w:val="center"/>
              <w:rPr>
                <w:rFonts w:ascii="Times New Roman"/>
                <w:color w:val="auto"/>
                <w:sz w:val="22"/>
                <w:szCs w:val="22"/>
                <w:highlight w:val="none"/>
              </w:rPr>
            </w:pPr>
          </w:p>
        </w:tc>
        <w:tc>
          <w:tcPr>
            <w:tcW w:w="1376" w:type="dxa"/>
            <w:vAlign w:val="center"/>
          </w:tcPr>
          <w:p>
            <w:pPr>
              <w:pStyle w:val="50"/>
              <w:jc w:val="center"/>
              <w:rPr>
                <w:rFonts w:ascii="Times New Roman"/>
                <w:color w:val="auto"/>
                <w:sz w:val="22"/>
                <w:szCs w:val="22"/>
                <w:highlight w:val="none"/>
              </w:rPr>
            </w:pPr>
          </w:p>
        </w:tc>
        <w:tc>
          <w:tcPr>
            <w:tcW w:w="965" w:type="dxa"/>
            <w:vAlign w:val="center"/>
          </w:tcPr>
          <w:p>
            <w:pPr>
              <w:pStyle w:val="50"/>
              <w:jc w:val="center"/>
              <w:rPr>
                <w:rFonts w:ascii="Times New Roman"/>
                <w:color w:val="auto"/>
                <w:sz w:val="22"/>
                <w:szCs w:val="22"/>
                <w:highlight w:val="none"/>
              </w:rPr>
            </w:pPr>
          </w:p>
        </w:tc>
        <w:tc>
          <w:tcPr>
            <w:tcW w:w="1090" w:type="dxa"/>
            <w:vAlign w:val="center"/>
          </w:tcPr>
          <w:p>
            <w:pPr>
              <w:pStyle w:val="50"/>
              <w:jc w:val="center"/>
              <w:rPr>
                <w:rFonts w:ascii="Times New Roman"/>
                <w:color w:val="auto"/>
                <w:sz w:val="22"/>
                <w:szCs w:val="22"/>
                <w:highlight w:val="none"/>
              </w:rPr>
            </w:pPr>
          </w:p>
        </w:tc>
        <w:tc>
          <w:tcPr>
            <w:tcW w:w="965" w:type="dxa"/>
            <w:vAlign w:val="center"/>
          </w:tcPr>
          <w:p>
            <w:pPr>
              <w:pStyle w:val="50"/>
              <w:jc w:val="center"/>
              <w:rPr>
                <w:rFonts w:ascii="Times New Roman"/>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jc w:val="center"/>
        </w:trPr>
        <w:tc>
          <w:tcPr>
            <w:tcW w:w="1214" w:type="dxa"/>
            <w:vMerge w:val="restart"/>
            <w:vAlign w:val="center"/>
          </w:tcPr>
          <w:p>
            <w:pPr>
              <w:pStyle w:val="50"/>
              <w:jc w:val="center"/>
              <w:rPr>
                <w:color w:val="auto"/>
                <w:sz w:val="21"/>
                <w:szCs w:val="22"/>
                <w:highlight w:val="none"/>
              </w:rPr>
            </w:pPr>
            <w:r>
              <w:rPr>
                <w:rFonts w:hint="eastAsia"/>
                <w:color w:val="auto"/>
                <w:sz w:val="21"/>
                <w:szCs w:val="22"/>
                <w:highlight w:val="none"/>
              </w:rPr>
              <w:t>技术人员</w:t>
            </w:r>
          </w:p>
        </w:tc>
        <w:tc>
          <w:tcPr>
            <w:tcW w:w="1054" w:type="dxa"/>
            <w:vAlign w:val="center"/>
          </w:tcPr>
          <w:p>
            <w:pPr>
              <w:pStyle w:val="50"/>
              <w:jc w:val="center"/>
              <w:rPr>
                <w:rFonts w:ascii="Times New Roman"/>
                <w:color w:val="auto"/>
                <w:sz w:val="22"/>
                <w:szCs w:val="22"/>
                <w:highlight w:val="none"/>
              </w:rPr>
            </w:pPr>
          </w:p>
        </w:tc>
        <w:tc>
          <w:tcPr>
            <w:tcW w:w="1054" w:type="dxa"/>
            <w:vAlign w:val="center"/>
          </w:tcPr>
          <w:p>
            <w:pPr>
              <w:pStyle w:val="50"/>
              <w:jc w:val="center"/>
              <w:rPr>
                <w:rFonts w:ascii="Times New Roman"/>
                <w:color w:val="auto"/>
                <w:sz w:val="22"/>
                <w:szCs w:val="22"/>
                <w:highlight w:val="none"/>
              </w:rPr>
            </w:pPr>
          </w:p>
        </w:tc>
        <w:tc>
          <w:tcPr>
            <w:tcW w:w="1054" w:type="dxa"/>
            <w:vAlign w:val="center"/>
          </w:tcPr>
          <w:p>
            <w:pPr>
              <w:pStyle w:val="50"/>
              <w:jc w:val="center"/>
              <w:rPr>
                <w:rFonts w:ascii="Times New Roman"/>
                <w:color w:val="auto"/>
                <w:sz w:val="22"/>
                <w:szCs w:val="22"/>
                <w:highlight w:val="none"/>
              </w:rPr>
            </w:pPr>
          </w:p>
        </w:tc>
        <w:tc>
          <w:tcPr>
            <w:tcW w:w="1376" w:type="dxa"/>
            <w:vAlign w:val="center"/>
          </w:tcPr>
          <w:p>
            <w:pPr>
              <w:pStyle w:val="50"/>
              <w:jc w:val="center"/>
              <w:rPr>
                <w:rFonts w:ascii="Times New Roman"/>
                <w:color w:val="auto"/>
                <w:sz w:val="22"/>
                <w:szCs w:val="22"/>
                <w:highlight w:val="none"/>
              </w:rPr>
            </w:pPr>
          </w:p>
        </w:tc>
        <w:tc>
          <w:tcPr>
            <w:tcW w:w="965" w:type="dxa"/>
            <w:vAlign w:val="center"/>
          </w:tcPr>
          <w:p>
            <w:pPr>
              <w:pStyle w:val="50"/>
              <w:jc w:val="center"/>
              <w:rPr>
                <w:rFonts w:ascii="Times New Roman"/>
                <w:color w:val="auto"/>
                <w:sz w:val="22"/>
                <w:szCs w:val="22"/>
                <w:highlight w:val="none"/>
              </w:rPr>
            </w:pPr>
          </w:p>
        </w:tc>
        <w:tc>
          <w:tcPr>
            <w:tcW w:w="1090" w:type="dxa"/>
            <w:vAlign w:val="center"/>
          </w:tcPr>
          <w:p>
            <w:pPr>
              <w:pStyle w:val="50"/>
              <w:jc w:val="center"/>
              <w:rPr>
                <w:rFonts w:ascii="Times New Roman"/>
                <w:color w:val="auto"/>
                <w:sz w:val="22"/>
                <w:szCs w:val="22"/>
                <w:highlight w:val="none"/>
              </w:rPr>
            </w:pPr>
          </w:p>
        </w:tc>
        <w:tc>
          <w:tcPr>
            <w:tcW w:w="965" w:type="dxa"/>
            <w:vAlign w:val="center"/>
          </w:tcPr>
          <w:p>
            <w:pPr>
              <w:pStyle w:val="50"/>
              <w:jc w:val="center"/>
              <w:rPr>
                <w:rFonts w:ascii="Times New Roman"/>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jc w:val="center"/>
        </w:trPr>
        <w:tc>
          <w:tcPr>
            <w:tcW w:w="1214" w:type="dxa"/>
            <w:vMerge w:val="continue"/>
            <w:vAlign w:val="center"/>
          </w:tcPr>
          <w:p>
            <w:pPr>
              <w:jc w:val="center"/>
              <w:rPr>
                <w:color w:val="auto"/>
                <w:sz w:val="2"/>
                <w:szCs w:val="2"/>
                <w:highlight w:val="none"/>
              </w:rPr>
            </w:pPr>
          </w:p>
        </w:tc>
        <w:tc>
          <w:tcPr>
            <w:tcW w:w="1054" w:type="dxa"/>
            <w:vAlign w:val="center"/>
          </w:tcPr>
          <w:p>
            <w:pPr>
              <w:pStyle w:val="50"/>
              <w:jc w:val="center"/>
              <w:rPr>
                <w:rFonts w:ascii="Times New Roman"/>
                <w:color w:val="auto"/>
                <w:sz w:val="22"/>
                <w:szCs w:val="22"/>
                <w:highlight w:val="none"/>
              </w:rPr>
            </w:pPr>
          </w:p>
        </w:tc>
        <w:tc>
          <w:tcPr>
            <w:tcW w:w="1054" w:type="dxa"/>
            <w:vAlign w:val="center"/>
          </w:tcPr>
          <w:p>
            <w:pPr>
              <w:pStyle w:val="50"/>
              <w:jc w:val="center"/>
              <w:rPr>
                <w:rFonts w:ascii="Times New Roman"/>
                <w:color w:val="auto"/>
                <w:sz w:val="22"/>
                <w:szCs w:val="22"/>
                <w:highlight w:val="none"/>
              </w:rPr>
            </w:pPr>
          </w:p>
        </w:tc>
        <w:tc>
          <w:tcPr>
            <w:tcW w:w="1054" w:type="dxa"/>
            <w:vAlign w:val="center"/>
          </w:tcPr>
          <w:p>
            <w:pPr>
              <w:pStyle w:val="50"/>
              <w:jc w:val="center"/>
              <w:rPr>
                <w:rFonts w:ascii="Times New Roman"/>
                <w:color w:val="auto"/>
                <w:sz w:val="22"/>
                <w:szCs w:val="22"/>
                <w:highlight w:val="none"/>
              </w:rPr>
            </w:pPr>
          </w:p>
        </w:tc>
        <w:tc>
          <w:tcPr>
            <w:tcW w:w="1376" w:type="dxa"/>
            <w:vAlign w:val="center"/>
          </w:tcPr>
          <w:p>
            <w:pPr>
              <w:pStyle w:val="50"/>
              <w:jc w:val="center"/>
              <w:rPr>
                <w:rFonts w:ascii="Times New Roman"/>
                <w:color w:val="auto"/>
                <w:sz w:val="22"/>
                <w:szCs w:val="22"/>
                <w:highlight w:val="none"/>
              </w:rPr>
            </w:pPr>
          </w:p>
        </w:tc>
        <w:tc>
          <w:tcPr>
            <w:tcW w:w="965" w:type="dxa"/>
            <w:vAlign w:val="center"/>
          </w:tcPr>
          <w:p>
            <w:pPr>
              <w:pStyle w:val="50"/>
              <w:jc w:val="center"/>
              <w:rPr>
                <w:rFonts w:ascii="Times New Roman"/>
                <w:color w:val="auto"/>
                <w:sz w:val="22"/>
                <w:szCs w:val="22"/>
                <w:highlight w:val="none"/>
              </w:rPr>
            </w:pPr>
          </w:p>
        </w:tc>
        <w:tc>
          <w:tcPr>
            <w:tcW w:w="1090" w:type="dxa"/>
            <w:vAlign w:val="center"/>
          </w:tcPr>
          <w:p>
            <w:pPr>
              <w:pStyle w:val="50"/>
              <w:jc w:val="center"/>
              <w:rPr>
                <w:rFonts w:ascii="Times New Roman"/>
                <w:color w:val="auto"/>
                <w:sz w:val="22"/>
                <w:szCs w:val="22"/>
                <w:highlight w:val="none"/>
              </w:rPr>
            </w:pPr>
          </w:p>
        </w:tc>
        <w:tc>
          <w:tcPr>
            <w:tcW w:w="965" w:type="dxa"/>
            <w:vAlign w:val="center"/>
          </w:tcPr>
          <w:p>
            <w:pPr>
              <w:pStyle w:val="50"/>
              <w:jc w:val="center"/>
              <w:rPr>
                <w:rFonts w:ascii="Times New Roman"/>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jc w:val="center"/>
        </w:trPr>
        <w:tc>
          <w:tcPr>
            <w:tcW w:w="1214" w:type="dxa"/>
            <w:vMerge w:val="continue"/>
            <w:vAlign w:val="center"/>
          </w:tcPr>
          <w:p>
            <w:pPr>
              <w:jc w:val="center"/>
              <w:rPr>
                <w:color w:val="auto"/>
                <w:sz w:val="2"/>
                <w:szCs w:val="2"/>
                <w:highlight w:val="none"/>
              </w:rPr>
            </w:pPr>
          </w:p>
        </w:tc>
        <w:tc>
          <w:tcPr>
            <w:tcW w:w="1054" w:type="dxa"/>
            <w:vAlign w:val="center"/>
          </w:tcPr>
          <w:p>
            <w:pPr>
              <w:pStyle w:val="50"/>
              <w:jc w:val="center"/>
              <w:rPr>
                <w:rFonts w:ascii="Times New Roman"/>
                <w:color w:val="auto"/>
                <w:sz w:val="22"/>
                <w:szCs w:val="22"/>
                <w:highlight w:val="none"/>
              </w:rPr>
            </w:pPr>
          </w:p>
        </w:tc>
        <w:tc>
          <w:tcPr>
            <w:tcW w:w="1054" w:type="dxa"/>
            <w:vAlign w:val="center"/>
          </w:tcPr>
          <w:p>
            <w:pPr>
              <w:pStyle w:val="50"/>
              <w:jc w:val="center"/>
              <w:rPr>
                <w:rFonts w:ascii="Times New Roman"/>
                <w:color w:val="auto"/>
                <w:sz w:val="22"/>
                <w:szCs w:val="22"/>
                <w:highlight w:val="none"/>
              </w:rPr>
            </w:pPr>
          </w:p>
        </w:tc>
        <w:tc>
          <w:tcPr>
            <w:tcW w:w="1054" w:type="dxa"/>
            <w:vAlign w:val="center"/>
          </w:tcPr>
          <w:p>
            <w:pPr>
              <w:pStyle w:val="50"/>
              <w:jc w:val="center"/>
              <w:rPr>
                <w:rFonts w:ascii="Times New Roman"/>
                <w:color w:val="auto"/>
                <w:sz w:val="22"/>
                <w:szCs w:val="22"/>
                <w:highlight w:val="none"/>
              </w:rPr>
            </w:pPr>
          </w:p>
        </w:tc>
        <w:tc>
          <w:tcPr>
            <w:tcW w:w="1376" w:type="dxa"/>
            <w:vAlign w:val="center"/>
          </w:tcPr>
          <w:p>
            <w:pPr>
              <w:pStyle w:val="50"/>
              <w:jc w:val="center"/>
              <w:rPr>
                <w:rFonts w:ascii="Times New Roman"/>
                <w:color w:val="auto"/>
                <w:sz w:val="22"/>
                <w:szCs w:val="22"/>
                <w:highlight w:val="none"/>
              </w:rPr>
            </w:pPr>
          </w:p>
        </w:tc>
        <w:tc>
          <w:tcPr>
            <w:tcW w:w="965" w:type="dxa"/>
            <w:vAlign w:val="center"/>
          </w:tcPr>
          <w:p>
            <w:pPr>
              <w:pStyle w:val="50"/>
              <w:jc w:val="center"/>
              <w:rPr>
                <w:rFonts w:ascii="Times New Roman"/>
                <w:color w:val="auto"/>
                <w:sz w:val="22"/>
                <w:szCs w:val="22"/>
                <w:highlight w:val="none"/>
              </w:rPr>
            </w:pPr>
          </w:p>
        </w:tc>
        <w:tc>
          <w:tcPr>
            <w:tcW w:w="1090" w:type="dxa"/>
            <w:vAlign w:val="center"/>
          </w:tcPr>
          <w:p>
            <w:pPr>
              <w:pStyle w:val="50"/>
              <w:jc w:val="center"/>
              <w:rPr>
                <w:rFonts w:ascii="Times New Roman"/>
                <w:color w:val="auto"/>
                <w:sz w:val="22"/>
                <w:szCs w:val="22"/>
                <w:highlight w:val="none"/>
              </w:rPr>
            </w:pPr>
          </w:p>
        </w:tc>
        <w:tc>
          <w:tcPr>
            <w:tcW w:w="965" w:type="dxa"/>
            <w:vAlign w:val="center"/>
          </w:tcPr>
          <w:p>
            <w:pPr>
              <w:pStyle w:val="50"/>
              <w:jc w:val="center"/>
              <w:rPr>
                <w:rFonts w:ascii="Times New Roman"/>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jc w:val="center"/>
        </w:trPr>
        <w:tc>
          <w:tcPr>
            <w:tcW w:w="1214" w:type="dxa"/>
            <w:vMerge w:val="restart"/>
            <w:vAlign w:val="center"/>
          </w:tcPr>
          <w:p>
            <w:pPr>
              <w:pStyle w:val="50"/>
              <w:jc w:val="center"/>
              <w:rPr>
                <w:color w:val="auto"/>
                <w:sz w:val="21"/>
                <w:szCs w:val="22"/>
                <w:highlight w:val="none"/>
              </w:rPr>
            </w:pPr>
            <w:r>
              <w:rPr>
                <w:rFonts w:hint="eastAsia"/>
                <w:color w:val="auto"/>
                <w:sz w:val="21"/>
                <w:szCs w:val="22"/>
                <w:highlight w:val="none"/>
              </w:rPr>
              <w:t>售后服务</w:t>
            </w:r>
          </w:p>
          <w:p>
            <w:pPr>
              <w:pStyle w:val="50"/>
              <w:jc w:val="center"/>
              <w:rPr>
                <w:color w:val="auto"/>
                <w:sz w:val="21"/>
                <w:szCs w:val="22"/>
                <w:highlight w:val="none"/>
              </w:rPr>
            </w:pPr>
            <w:r>
              <w:rPr>
                <w:rFonts w:hint="eastAsia"/>
                <w:color w:val="auto"/>
                <w:sz w:val="21"/>
                <w:szCs w:val="22"/>
                <w:highlight w:val="none"/>
              </w:rPr>
              <w:t>人员</w:t>
            </w:r>
          </w:p>
        </w:tc>
        <w:tc>
          <w:tcPr>
            <w:tcW w:w="1054" w:type="dxa"/>
            <w:vAlign w:val="center"/>
          </w:tcPr>
          <w:p>
            <w:pPr>
              <w:pStyle w:val="50"/>
              <w:jc w:val="center"/>
              <w:rPr>
                <w:rFonts w:ascii="Times New Roman"/>
                <w:color w:val="auto"/>
                <w:sz w:val="22"/>
                <w:szCs w:val="22"/>
                <w:highlight w:val="none"/>
              </w:rPr>
            </w:pPr>
          </w:p>
        </w:tc>
        <w:tc>
          <w:tcPr>
            <w:tcW w:w="1054" w:type="dxa"/>
            <w:vAlign w:val="center"/>
          </w:tcPr>
          <w:p>
            <w:pPr>
              <w:pStyle w:val="50"/>
              <w:jc w:val="center"/>
              <w:rPr>
                <w:rFonts w:ascii="Times New Roman"/>
                <w:color w:val="auto"/>
                <w:sz w:val="22"/>
                <w:szCs w:val="22"/>
                <w:highlight w:val="none"/>
              </w:rPr>
            </w:pPr>
          </w:p>
        </w:tc>
        <w:tc>
          <w:tcPr>
            <w:tcW w:w="1054" w:type="dxa"/>
            <w:vAlign w:val="center"/>
          </w:tcPr>
          <w:p>
            <w:pPr>
              <w:pStyle w:val="50"/>
              <w:jc w:val="center"/>
              <w:rPr>
                <w:rFonts w:ascii="Times New Roman"/>
                <w:color w:val="auto"/>
                <w:sz w:val="22"/>
                <w:szCs w:val="22"/>
                <w:highlight w:val="none"/>
              </w:rPr>
            </w:pPr>
          </w:p>
        </w:tc>
        <w:tc>
          <w:tcPr>
            <w:tcW w:w="1376" w:type="dxa"/>
            <w:vAlign w:val="center"/>
          </w:tcPr>
          <w:p>
            <w:pPr>
              <w:pStyle w:val="50"/>
              <w:jc w:val="center"/>
              <w:rPr>
                <w:rFonts w:ascii="Times New Roman"/>
                <w:color w:val="auto"/>
                <w:sz w:val="22"/>
                <w:szCs w:val="22"/>
                <w:highlight w:val="none"/>
              </w:rPr>
            </w:pPr>
          </w:p>
        </w:tc>
        <w:tc>
          <w:tcPr>
            <w:tcW w:w="965" w:type="dxa"/>
            <w:vAlign w:val="center"/>
          </w:tcPr>
          <w:p>
            <w:pPr>
              <w:pStyle w:val="50"/>
              <w:jc w:val="center"/>
              <w:rPr>
                <w:rFonts w:ascii="Times New Roman"/>
                <w:color w:val="auto"/>
                <w:sz w:val="22"/>
                <w:szCs w:val="22"/>
                <w:highlight w:val="none"/>
              </w:rPr>
            </w:pPr>
          </w:p>
        </w:tc>
        <w:tc>
          <w:tcPr>
            <w:tcW w:w="1090" w:type="dxa"/>
            <w:vAlign w:val="center"/>
          </w:tcPr>
          <w:p>
            <w:pPr>
              <w:pStyle w:val="50"/>
              <w:jc w:val="center"/>
              <w:rPr>
                <w:rFonts w:ascii="Times New Roman"/>
                <w:color w:val="auto"/>
                <w:sz w:val="22"/>
                <w:szCs w:val="22"/>
                <w:highlight w:val="none"/>
              </w:rPr>
            </w:pPr>
          </w:p>
        </w:tc>
        <w:tc>
          <w:tcPr>
            <w:tcW w:w="965" w:type="dxa"/>
            <w:vAlign w:val="center"/>
          </w:tcPr>
          <w:p>
            <w:pPr>
              <w:pStyle w:val="50"/>
              <w:jc w:val="center"/>
              <w:rPr>
                <w:rFonts w:ascii="Times New Roman"/>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3" w:hRule="atLeast"/>
          <w:jc w:val="center"/>
        </w:trPr>
        <w:tc>
          <w:tcPr>
            <w:tcW w:w="1214" w:type="dxa"/>
            <w:vMerge w:val="continue"/>
            <w:vAlign w:val="center"/>
          </w:tcPr>
          <w:p>
            <w:pPr>
              <w:jc w:val="center"/>
              <w:rPr>
                <w:color w:val="auto"/>
                <w:sz w:val="2"/>
                <w:szCs w:val="2"/>
                <w:highlight w:val="none"/>
              </w:rPr>
            </w:pPr>
          </w:p>
        </w:tc>
        <w:tc>
          <w:tcPr>
            <w:tcW w:w="1054" w:type="dxa"/>
            <w:vAlign w:val="center"/>
          </w:tcPr>
          <w:p>
            <w:pPr>
              <w:pStyle w:val="50"/>
              <w:jc w:val="center"/>
              <w:rPr>
                <w:rFonts w:ascii="Times New Roman"/>
                <w:color w:val="auto"/>
                <w:sz w:val="22"/>
                <w:szCs w:val="22"/>
                <w:highlight w:val="none"/>
              </w:rPr>
            </w:pPr>
          </w:p>
        </w:tc>
        <w:tc>
          <w:tcPr>
            <w:tcW w:w="1054" w:type="dxa"/>
            <w:vAlign w:val="center"/>
          </w:tcPr>
          <w:p>
            <w:pPr>
              <w:pStyle w:val="50"/>
              <w:jc w:val="center"/>
              <w:rPr>
                <w:rFonts w:ascii="Times New Roman"/>
                <w:color w:val="auto"/>
                <w:sz w:val="22"/>
                <w:szCs w:val="22"/>
                <w:highlight w:val="none"/>
              </w:rPr>
            </w:pPr>
          </w:p>
        </w:tc>
        <w:tc>
          <w:tcPr>
            <w:tcW w:w="1054" w:type="dxa"/>
            <w:vAlign w:val="center"/>
          </w:tcPr>
          <w:p>
            <w:pPr>
              <w:pStyle w:val="50"/>
              <w:jc w:val="center"/>
              <w:rPr>
                <w:rFonts w:ascii="Times New Roman"/>
                <w:color w:val="auto"/>
                <w:sz w:val="22"/>
                <w:szCs w:val="22"/>
                <w:highlight w:val="none"/>
              </w:rPr>
            </w:pPr>
          </w:p>
        </w:tc>
        <w:tc>
          <w:tcPr>
            <w:tcW w:w="1376" w:type="dxa"/>
            <w:vAlign w:val="center"/>
          </w:tcPr>
          <w:p>
            <w:pPr>
              <w:pStyle w:val="50"/>
              <w:jc w:val="center"/>
              <w:rPr>
                <w:rFonts w:ascii="Times New Roman"/>
                <w:color w:val="auto"/>
                <w:sz w:val="22"/>
                <w:szCs w:val="22"/>
                <w:highlight w:val="none"/>
              </w:rPr>
            </w:pPr>
          </w:p>
        </w:tc>
        <w:tc>
          <w:tcPr>
            <w:tcW w:w="965" w:type="dxa"/>
            <w:vAlign w:val="center"/>
          </w:tcPr>
          <w:p>
            <w:pPr>
              <w:pStyle w:val="50"/>
              <w:jc w:val="center"/>
              <w:rPr>
                <w:rFonts w:ascii="Times New Roman"/>
                <w:color w:val="auto"/>
                <w:sz w:val="22"/>
                <w:szCs w:val="22"/>
                <w:highlight w:val="none"/>
              </w:rPr>
            </w:pPr>
          </w:p>
        </w:tc>
        <w:tc>
          <w:tcPr>
            <w:tcW w:w="1090" w:type="dxa"/>
            <w:vAlign w:val="center"/>
          </w:tcPr>
          <w:p>
            <w:pPr>
              <w:pStyle w:val="50"/>
              <w:jc w:val="center"/>
              <w:rPr>
                <w:rFonts w:ascii="Times New Roman"/>
                <w:color w:val="auto"/>
                <w:sz w:val="22"/>
                <w:szCs w:val="22"/>
                <w:highlight w:val="none"/>
              </w:rPr>
            </w:pPr>
          </w:p>
        </w:tc>
        <w:tc>
          <w:tcPr>
            <w:tcW w:w="965" w:type="dxa"/>
            <w:vAlign w:val="center"/>
          </w:tcPr>
          <w:p>
            <w:pPr>
              <w:pStyle w:val="50"/>
              <w:jc w:val="center"/>
              <w:rPr>
                <w:rFonts w:ascii="Times New Roman"/>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3" w:hRule="atLeast"/>
          <w:jc w:val="center"/>
        </w:trPr>
        <w:tc>
          <w:tcPr>
            <w:tcW w:w="1214" w:type="dxa"/>
            <w:vMerge w:val="continue"/>
            <w:vAlign w:val="center"/>
          </w:tcPr>
          <w:p>
            <w:pPr>
              <w:jc w:val="center"/>
              <w:rPr>
                <w:color w:val="auto"/>
                <w:sz w:val="2"/>
                <w:szCs w:val="2"/>
                <w:highlight w:val="none"/>
              </w:rPr>
            </w:pPr>
          </w:p>
        </w:tc>
        <w:tc>
          <w:tcPr>
            <w:tcW w:w="1054" w:type="dxa"/>
            <w:vAlign w:val="center"/>
          </w:tcPr>
          <w:p>
            <w:pPr>
              <w:pStyle w:val="50"/>
              <w:jc w:val="center"/>
              <w:rPr>
                <w:rFonts w:ascii="Times New Roman"/>
                <w:color w:val="auto"/>
                <w:sz w:val="22"/>
                <w:szCs w:val="22"/>
                <w:highlight w:val="none"/>
              </w:rPr>
            </w:pPr>
          </w:p>
        </w:tc>
        <w:tc>
          <w:tcPr>
            <w:tcW w:w="1054" w:type="dxa"/>
            <w:vAlign w:val="center"/>
          </w:tcPr>
          <w:p>
            <w:pPr>
              <w:pStyle w:val="50"/>
              <w:jc w:val="center"/>
              <w:rPr>
                <w:rFonts w:ascii="Times New Roman"/>
                <w:color w:val="auto"/>
                <w:sz w:val="22"/>
                <w:szCs w:val="22"/>
                <w:highlight w:val="none"/>
              </w:rPr>
            </w:pPr>
          </w:p>
        </w:tc>
        <w:tc>
          <w:tcPr>
            <w:tcW w:w="1054" w:type="dxa"/>
            <w:vAlign w:val="center"/>
          </w:tcPr>
          <w:p>
            <w:pPr>
              <w:pStyle w:val="50"/>
              <w:jc w:val="center"/>
              <w:rPr>
                <w:rFonts w:ascii="Times New Roman"/>
                <w:color w:val="auto"/>
                <w:sz w:val="22"/>
                <w:szCs w:val="22"/>
                <w:highlight w:val="none"/>
              </w:rPr>
            </w:pPr>
          </w:p>
        </w:tc>
        <w:tc>
          <w:tcPr>
            <w:tcW w:w="1376" w:type="dxa"/>
            <w:vAlign w:val="center"/>
          </w:tcPr>
          <w:p>
            <w:pPr>
              <w:pStyle w:val="50"/>
              <w:jc w:val="center"/>
              <w:rPr>
                <w:rFonts w:ascii="Times New Roman"/>
                <w:color w:val="auto"/>
                <w:sz w:val="22"/>
                <w:szCs w:val="22"/>
                <w:highlight w:val="none"/>
              </w:rPr>
            </w:pPr>
          </w:p>
        </w:tc>
        <w:tc>
          <w:tcPr>
            <w:tcW w:w="965" w:type="dxa"/>
            <w:vAlign w:val="center"/>
          </w:tcPr>
          <w:p>
            <w:pPr>
              <w:pStyle w:val="50"/>
              <w:jc w:val="center"/>
              <w:rPr>
                <w:rFonts w:ascii="Times New Roman"/>
                <w:color w:val="auto"/>
                <w:sz w:val="22"/>
                <w:szCs w:val="22"/>
                <w:highlight w:val="none"/>
              </w:rPr>
            </w:pPr>
          </w:p>
        </w:tc>
        <w:tc>
          <w:tcPr>
            <w:tcW w:w="1090" w:type="dxa"/>
            <w:vAlign w:val="center"/>
          </w:tcPr>
          <w:p>
            <w:pPr>
              <w:pStyle w:val="50"/>
              <w:jc w:val="center"/>
              <w:rPr>
                <w:rFonts w:ascii="Times New Roman"/>
                <w:color w:val="auto"/>
                <w:sz w:val="22"/>
                <w:szCs w:val="22"/>
                <w:highlight w:val="none"/>
              </w:rPr>
            </w:pPr>
          </w:p>
        </w:tc>
        <w:tc>
          <w:tcPr>
            <w:tcW w:w="965" w:type="dxa"/>
            <w:vAlign w:val="center"/>
          </w:tcPr>
          <w:p>
            <w:pPr>
              <w:pStyle w:val="50"/>
              <w:jc w:val="center"/>
              <w:rPr>
                <w:rFonts w:ascii="Times New Roman"/>
                <w:color w:val="auto"/>
                <w:sz w:val="22"/>
                <w:szCs w:val="22"/>
                <w:highlight w:val="none"/>
              </w:rPr>
            </w:pPr>
          </w:p>
        </w:tc>
      </w:tr>
    </w:tbl>
    <w:p>
      <w:pPr>
        <w:pStyle w:val="2"/>
        <w:spacing w:line="360" w:lineRule="auto"/>
        <w:ind w:firstLine="480" w:firstLineChars="200"/>
        <w:jc w:val="both"/>
        <w:rPr>
          <w:color w:val="auto"/>
          <w:highlight w:val="none"/>
        </w:rPr>
      </w:pPr>
    </w:p>
    <w:p>
      <w:pPr>
        <w:pStyle w:val="2"/>
        <w:spacing w:line="360" w:lineRule="auto"/>
        <w:ind w:firstLine="480" w:firstLineChars="200"/>
        <w:jc w:val="both"/>
        <w:rPr>
          <w:color w:val="auto"/>
          <w:highlight w:val="none"/>
        </w:rPr>
      </w:pPr>
    </w:p>
    <w:p>
      <w:pPr>
        <w:spacing w:line="480" w:lineRule="auto"/>
        <w:ind w:firstLine="480" w:firstLineChars="200"/>
        <w:rPr>
          <w:color w:val="auto"/>
          <w:sz w:val="24"/>
          <w:highlight w:val="none"/>
        </w:rPr>
      </w:pPr>
      <w:r>
        <w:rPr>
          <w:rFonts w:hint="eastAsia"/>
          <w:color w:val="auto"/>
          <w:sz w:val="24"/>
          <w:highlight w:val="none"/>
        </w:rPr>
        <w:t xml:space="preserve">                  供应商名称：</w:t>
      </w:r>
      <w:r>
        <w:rPr>
          <w:rFonts w:hint="eastAsia"/>
          <w:color w:val="auto"/>
          <w:sz w:val="24"/>
          <w:highlight w:val="none"/>
          <w:u w:val="single"/>
        </w:rPr>
        <w:t xml:space="preserve">                             </w:t>
      </w:r>
      <w:r>
        <w:rPr>
          <w:rFonts w:hint="eastAsia"/>
          <w:color w:val="auto"/>
          <w:sz w:val="24"/>
          <w:highlight w:val="none"/>
        </w:rPr>
        <w:t>（盖单位公章）</w:t>
      </w:r>
    </w:p>
    <w:p>
      <w:pPr>
        <w:spacing w:line="480" w:lineRule="auto"/>
        <w:ind w:firstLine="480" w:firstLineChars="200"/>
        <w:rPr>
          <w:color w:val="auto"/>
          <w:sz w:val="24"/>
          <w:highlight w:val="none"/>
        </w:rPr>
      </w:pPr>
      <w:r>
        <w:rPr>
          <w:rFonts w:hint="eastAsia"/>
          <w:color w:val="auto"/>
          <w:sz w:val="24"/>
          <w:highlight w:val="none"/>
        </w:rPr>
        <w:t xml:space="preserve">                  法定代表人或授权代表：</w:t>
      </w:r>
      <w:r>
        <w:rPr>
          <w:rFonts w:hint="eastAsia"/>
          <w:color w:val="auto"/>
          <w:sz w:val="24"/>
          <w:highlight w:val="none"/>
          <w:u w:val="single"/>
        </w:rPr>
        <w:t xml:space="preserve">                   </w:t>
      </w:r>
      <w:r>
        <w:rPr>
          <w:rFonts w:hint="eastAsia"/>
          <w:color w:val="auto"/>
          <w:sz w:val="24"/>
          <w:highlight w:val="none"/>
        </w:rPr>
        <w:t>（签字）</w:t>
      </w:r>
    </w:p>
    <w:p>
      <w:pPr>
        <w:spacing w:line="480" w:lineRule="auto"/>
        <w:ind w:firstLine="480" w:firstLineChars="200"/>
        <w:rPr>
          <w:bCs/>
          <w:color w:val="auto"/>
          <w:sz w:val="24"/>
          <w:szCs w:val="24"/>
          <w:highlight w:val="none"/>
        </w:rPr>
      </w:pPr>
      <w:r>
        <w:rPr>
          <w:rFonts w:hint="eastAsia"/>
          <w:color w:val="auto"/>
          <w:sz w:val="24"/>
          <w:highlight w:val="none"/>
        </w:rPr>
        <w:t xml:space="preserve">                  日      期：</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w:t>
      </w:r>
    </w:p>
    <w:p>
      <w:pPr>
        <w:pStyle w:val="2"/>
        <w:spacing w:line="360" w:lineRule="auto"/>
        <w:ind w:firstLine="480" w:firstLineChars="200"/>
        <w:jc w:val="both"/>
        <w:rPr>
          <w:color w:val="auto"/>
          <w:highlight w:val="none"/>
        </w:rPr>
      </w:pPr>
    </w:p>
    <w:p>
      <w:pPr>
        <w:widowControl/>
        <w:autoSpaceDE/>
        <w:autoSpaceDN/>
        <w:rPr>
          <w:color w:val="auto"/>
          <w:sz w:val="24"/>
          <w:szCs w:val="24"/>
          <w:highlight w:val="none"/>
        </w:rPr>
      </w:pPr>
      <w:r>
        <w:rPr>
          <w:color w:val="auto"/>
          <w:highlight w:val="none"/>
        </w:rPr>
        <w:br w:type="page"/>
      </w:r>
    </w:p>
    <w:p>
      <w:pPr>
        <w:pStyle w:val="5"/>
        <w:autoSpaceDE/>
        <w:autoSpaceDN/>
        <w:spacing w:before="260" w:after="260" w:line="240" w:lineRule="atLeast"/>
        <w:jc w:val="center"/>
        <w:rPr>
          <w:rFonts w:hint="eastAsia" w:ascii="Arial" w:hAnsi="Arial" w:eastAsia="黑体" w:cs="Times New Roman"/>
          <w:color w:val="auto"/>
          <w:kern w:val="2"/>
          <w:sz w:val="32"/>
          <w:szCs w:val="32"/>
          <w:highlight w:val="none"/>
          <w:lang w:val="en-US"/>
        </w:rPr>
      </w:pPr>
      <w:r>
        <w:rPr>
          <w:rFonts w:hint="eastAsia" w:ascii="Arial" w:hAnsi="Arial" w:cs="Times New Roman"/>
          <w:color w:val="auto"/>
          <w:kern w:val="2"/>
          <w:sz w:val="32"/>
          <w:szCs w:val="32"/>
          <w:highlight w:val="none"/>
          <w:lang w:val="en-US" w:eastAsia="zh-CN"/>
        </w:rPr>
        <w:t>七</w:t>
      </w:r>
      <w:r>
        <w:rPr>
          <w:rFonts w:hint="eastAsia" w:ascii="Arial" w:hAnsi="Arial" w:eastAsia="黑体" w:cs="Times New Roman"/>
          <w:color w:val="auto"/>
          <w:kern w:val="2"/>
          <w:sz w:val="32"/>
          <w:szCs w:val="32"/>
          <w:highlight w:val="none"/>
          <w:lang w:val="en-US"/>
        </w:rPr>
        <w:t>、供应商认为需要提供其他材料</w:t>
      </w:r>
    </w:p>
    <w:p>
      <w:pPr>
        <w:spacing w:line="360" w:lineRule="auto"/>
        <w:ind w:firstLine="480" w:firstLineChars="200"/>
        <w:jc w:val="center"/>
        <w:rPr>
          <w:rFonts w:ascii="宋体" w:hAnsi="宋体"/>
          <w:color w:val="auto"/>
          <w:szCs w:val="21"/>
          <w:highlight w:val="none"/>
        </w:rPr>
      </w:pPr>
      <w:r>
        <w:rPr>
          <w:rFonts w:hint="eastAsia" w:ascii="宋体" w:hAnsi="宋体"/>
          <w:color w:val="auto"/>
          <w:szCs w:val="21"/>
          <w:highlight w:val="none"/>
        </w:rPr>
        <w:t>（供应商认为需要提供的其他资料）</w:t>
      </w:r>
    </w:p>
    <w:p>
      <w:pPr>
        <w:pStyle w:val="2"/>
        <w:spacing w:line="360" w:lineRule="auto"/>
        <w:ind w:firstLine="480" w:firstLineChars="200"/>
        <w:jc w:val="both"/>
        <w:rPr>
          <w:color w:val="auto"/>
          <w:highlight w:val="none"/>
        </w:rPr>
      </w:pPr>
    </w:p>
    <w:p>
      <w:pPr>
        <w:widowControl/>
        <w:autoSpaceDE/>
        <w:autoSpaceDN/>
        <w:rPr>
          <w:color w:val="auto"/>
          <w:sz w:val="21"/>
          <w:szCs w:val="21"/>
          <w:highlight w:val="none"/>
        </w:rPr>
      </w:pPr>
      <w:r>
        <w:rPr>
          <w:color w:val="auto"/>
          <w:sz w:val="21"/>
          <w:szCs w:val="21"/>
          <w:highlight w:val="none"/>
        </w:rPr>
        <w:br w:type="page"/>
      </w:r>
    </w:p>
    <w:p>
      <w:pPr>
        <w:pStyle w:val="4"/>
        <w:bidi w:val="0"/>
        <w:rPr>
          <w:color w:val="auto"/>
          <w:highlight w:val="none"/>
          <w:lang w:val="en-US"/>
        </w:rPr>
      </w:pPr>
      <w:bookmarkStart w:id="14" w:name="_Toc528098582"/>
      <w:bookmarkStart w:id="15" w:name="_Toc26719"/>
      <w:r>
        <w:rPr>
          <w:rFonts w:hint="eastAsia"/>
          <w:color w:val="auto"/>
          <w:highlight w:val="none"/>
          <w:lang w:val="en-US"/>
        </w:rPr>
        <w:t>第四章  投标人和投标产品的资格、资质性及其他类似效力要求</w:t>
      </w:r>
      <w:bookmarkEnd w:id="14"/>
      <w:bookmarkEnd w:id="15"/>
    </w:p>
    <w:p>
      <w:pPr>
        <w:autoSpaceDE/>
        <w:autoSpaceDN/>
        <w:spacing w:line="360" w:lineRule="auto"/>
        <w:jc w:val="both"/>
        <w:rPr>
          <w:b/>
          <w:color w:val="auto"/>
          <w:sz w:val="20"/>
          <w:highlight w:val="none"/>
        </w:rPr>
      </w:pPr>
      <w:r>
        <w:rPr>
          <w:rFonts w:hint="eastAsia" w:cs="Times New Roman"/>
          <w:b/>
          <w:color w:val="auto"/>
          <w:kern w:val="2"/>
          <w:sz w:val="28"/>
          <w:szCs w:val="28"/>
          <w:highlight w:val="none"/>
          <w:lang w:val="en-US"/>
        </w:rPr>
        <w:t>一、投标人资格、资质性及其他类似效力要求：</w:t>
      </w:r>
    </w:p>
    <w:p>
      <w:pPr>
        <w:pStyle w:val="8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（一）满足《中华人民共和国政府采购法》第二十二条规定；</w:t>
      </w:r>
    </w:p>
    <w:p>
      <w:pPr>
        <w:pStyle w:val="8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1、具有独立承担民事责任的能力；</w:t>
      </w:r>
    </w:p>
    <w:p>
      <w:pPr>
        <w:pStyle w:val="8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2、具有良好的商业信誉和健全的财务会计制度；</w:t>
      </w:r>
    </w:p>
    <w:p>
      <w:pPr>
        <w:pStyle w:val="8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3、具有履行合同所必须的设备和专业技术能力；</w:t>
      </w:r>
    </w:p>
    <w:p>
      <w:pPr>
        <w:pStyle w:val="8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4、具有依法缴纳税收和社会保障资金的良好记录；</w:t>
      </w:r>
    </w:p>
    <w:p>
      <w:pPr>
        <w:pStyle w:val="8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5、参加本次政府采购活动前三年内，在经营活动中没有重大违法记录；</w:t>
      </w:r>
    </w:p>
    <w:p>
      <w:pPr>
        <w:pStyle w:val="8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6、法律、行政法规规定的其他条件；</w:t>
      </w:r>
    </w:p>
    <w:p>
      <w:pPr>
        <w:pStyle w:val="8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rPr>
        <w:t>）本项目的特定资格要求：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投标产品为医疗器械时，</w:t>
      </w: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须符合《医疗器械监督管理条例》要求并具有经营该产品的生产/经营许可/经营备案证明材料，投标产品须符合《医疗器械注册管理办法》要求并具有产品的注册/备案证明材料</w:t>
      </w:r>
      <w:r>
        <w:rPr>
          <w:rFonts w:hint="eastAsia" w:cs="宋体"/>
          <w:color w:val="auto"/>
          <w:sz w:val="24"/>
          <w:szCs w:val="24"/>
          <w:highlight w:val="none"/>
          <w:lang w:val="en-US" w:eastAsia="zh-CN"/>
        </w:rPr>
        <w:t>。投标产品为进口产品时：投标人非投标产品制造商的需具有产品制造商对投标产品的授权，或提供具有授权权限的代理商对投标产品的授权（且需提供该代理商具有有效授权权限的相关证明文件，证明文件需能显示产品制造商对投标产品授权链条的完整性）</w:t>
      </w:r>
      <w:r>
        <w:rPr>
          <w:rFonts w:hint="eastAsia" w:ascii="宋体" w:hAnsi="宋体" w:eastAsia="宋体" w:cs="宋体"/>
          <w:color w:val="auto"/>
          <w:sz w:val="24"/>
          <w:szCs w:val="24"/>
          <w:highlight w:val="none"/>
          <w:lang w:val="en-US" w:eastAsia="zh-CN"/>
        </w:rPr>
        <w:t>。</w:t>
      </w:r>
    </w:p>
    <w:p>
      <w:pPr>
        <w:pStyle w:val="2"/>
        <w:ind w:firstLine="480" w:firstLineChars="200"/>
        <w:rPr>
          <w:rFonts w:hint="eastAsia" w:eastAsia="宋体"/>
          <w:color w:val="auto"/>
          <w:lang w:val="en-US" w:eastAsia="zh-CN"/>
        </w:rPr>
      </w:pPr>
      <w:r>
        <w:rPr>
          <w:rFonts w:hint="eastAsia" w:cs="宋体"/>
          <w:color w:val="auto"/>
          <w:sz w:val="24"/>
          <w:szCs w:val="24"/>
          <w:highlight w:val="none"/>
          <w:lang w:val="en-US" w:eastAsia="zh-CN"/>
        </w:rPr>
        <w:t>2、投标人</w:t>
      </w:r>
      <w:r>
        <w:rPr>
          <w:rFonts w:hint="eastAsia"/>
          <w:color w:val="auto"/>
          <w:highlight w:val="none"/>
        </w:rPr>
        <w:t>及其现任法定代表人、主要负责人近三年不具有行贿犯罪记录</w:t>
      </w:r>
      <w:r>
        <w:rPr>
          <w:rFonts w:hint="eastAsia"/>
          <w:color w:val="auto"/>
          <w:highlight w:val="none"/>
          <w:lang w:eastAsia="zh-CN"/>
        </w:rPr>
        <w:t>。</w:t>
      </w:r>
    </w:p>
    <w:p>
      <w:pPr>
        <w:autoSpaceDE/>
        <w:autoSpaceDN/>
        <w:spacing w:line="360" w:lineRule="auto"/>
        <w:jc w:val="both"/>
        <w:rPr>
          <w:rFonts w:cs="Times New Roman"/>
          <w:b/>
          <w:color w:val="auto"/>
          <w:kern w:val="2"/>
          <w:sz w:val="28"/>
          <w:szCs w:val="28"/>
          <w:highlight w:val="none"/>
          <w:lang w:val="en-US"/>
        </w:rPr>
      </w:pPr>
      <w:r>
        <w:rPr>
          <w:rFonts w:hint="eastAsia" w:cs="Times New Roman"/>
          <w:b/>
          <w:color w:val="auto"/>
          <w:kern w:val="2"/>
          <w:sz w:val="28"/>
          <w:szCs w:val="28"/>
          <w:highlight w:val="none"/>
          <w:lang w:val="en-US"/>
        </w:rPr>
        <w:t>二、投标产品的资格、资质性及其他类似效力要求：</w:t>
      </w:r>
    </w:p>
    <w:p>
      <w:pPr>
        <w:pStyle w:val="2"/>
        <w:spacing w:line="360" w:lineRule="auto"/>
        <w:ind w:firstLine="480" w:firstLineChars="200"/>
        <w:jc w:val="both"/>
        <w:rPr>
          <w:rFonts w:hint="eastAsia" w:eastAsia="宋体"/>
          <w:color w:val="auto"/>
          <w:highlight w:val="none"/>
          <w:lang w:eastAsia="zh-CN"/>
        </w:rPr>
      </w:pPr>
      <w:r>
        <w:rPr>
          <w:rFonts w:hint="eastAsia"/>
          <w:color w:val="auto"/>
          <w:highlight w:val="none"/>
          <w:lang w:eastAsia="zh-CN"/>
        </w:rPr>
        <w:t>所投产品如涉及强制性3C认证的，供应商需提供强制认证证书。</w:t>
      </w:r>
    </w:p>
    <w:p>
      <w:pPr>
        <w:pStyle w:val="2"/>
        <w:spacing w:line="360" w:lineRule="auto"/>
        <w:ind w:firstLine="480" w:firstLineChars="200"/>
        <w:jc w:val="both"/>
        <w:rPr>
          <w:color w:val="auto"/>
          <w:highlight w:val="none"/>
        </w:rPr>
      </w:pPr>
    </w:p>
    <w:p>
      <w:pPr>
        <w:pStyle w:val="2"/>
        <w:spacing w:line="360" w:lineRule="auto"/>
        <w:ind w:firstLine="420" w:firstLineChars="200"/>
        <w:jc w:val="both"/>
        <w:rPr>
          <w:rFonts w:hint="eastAsia"/>
          <w:color w:val="auto"/>
          <w:sz w:val="21"/>
          <w:szCs w:val="21"/>
          <w:highlight w:val="none"/>
        </w:rPr>
      </w:pPr>
      <w:bookmarkStart w:id="16" w:name="_bookmark4"/>
      <w:bookmarkEnd w:id="16"/>
      <w:r>
        <w:rPr>
          <w:rFonts w:hint="eastAsia"/>
          <w:color w:val="auto"/>
          <w:sz w:val="21"/>
          <w:szCs w:val="21"/>
          <w:highlight w:val="none"/>
        </w:rPr>
        <w:t>注：1.</w:t>
      </w:r>
      <w:r>
        <w:rPr>
          <w:rFonts w:hint="eastAsia"/>
          <w:color w:val="auto"/>
          <w:sz w:val="21"/>
          <w:szCs w:val="21"/>
          <w:highlight w:val="none"/>
          <w:lang w:val="en-US" w:eastAsia="zh-CN"/>
        </w:rPr>
        <w:t>本章所称重大违法记录，是指供应商因违法经营受到刑事处罚或者责令停产停业、吊销许可证或者执照、较大数额罚款等行政处罚。（“较大数额罚款”认定为200万元以上的罚款，法律、行政法规以及国务院有关部门明确规定相关领域“较大数额罚款”标准高于200万元的，从其规定。）；</w:t>
      </w:r>
    </w:p>
    <w:p>
      <w:pPr>
        <w:pStyle w:val="2"/>
        <w:spacing w:line="360" w:lineRule="auto"/>
        <w:ind w:firstLine="420" w:firstLineChars="200"/>
        <w:jc w:val="both"/>
        <w:rPr>
          <w:color w:val="auto"/>
          <w:highlight w:val="none"/>
        </w:rPr>
      </w:pPr>
      <w:r>
        <w:rPr>
          <w:rFonts w:hint="eastAsia"/>
          <w:color w:val="auto"/>
          <w:sz w:val="21"/>
          <w:szCs w:val="21"/>
          <w:highlight w:val="none"/>
        </w:rPr>
        <w:t>2.供应商在参加采购活动前，被纳入法院、工商行政管理部门、税务部门、银行认定的失信名单且在有效期内，或者在前三年采购合同履约过程中及其他经营活动履约过程中未依法履约被有关行政部门处罚（处理）的，本项目不认定其具有良好的商业信誉。</w:t>
      </w:r>
    </w:p>
    <w:p>
      <w:pPr>
        <w:pStyle w:val="2"/>
        <w:spacing w:line="360" w:lineRule="auto"/>
        <w:ind w:firstLine="723" w:firstLineChars="200"/>
        <w:jc w:val="both"/>
        <w:rPr>
          <w:rFonts w:cs="Times New Roman"/>
          <w:b/>
          <w:color w:val="auto"/>
          <w:kern w:val="2"/>
          <w:sz w:val="36"/>
          <w:szCs w:val="36"/>
          <w:highlight w:val="none"/>
          <w:lang w:val="en-US"/>
        </w:rPr>
      </w:pPr>
      <w:r>
        <w:rPr>
          <w:rFonts w:cs="Times New Roman"/>
          <w:b/>
          <w:color w:val="auto"/>
          <w:kern w:val="2"/>
          <w:sz w:val="36"/>
          <w:szCs w:val="36"/>
          <w:highlight w:val="none"/>
          <w:lang w:val="en-US"/>
        </w:rPr>
        <w:br w:type="page"/>
      </w:r>
    </w:p>
    <w:p>
      <w:pPr>
        <w:pStyle w:val="4"/>
        <w:bidi w:val="0"/>
        <w:rPr>
          <w:color w:val="auto"/>
          <w:highlight w:val="none"/>
          <w:lang w:val="en-US"/>
        </w:rPr>
      </w:pPr>
      <w:bookmarkStart w:id="17" w:name="_Toc3464"/>
      <w:bookmarkStart w:id="18" w:name="_Toc528098583"/>
      <w:r>
        <w:rPr>
          <w:rFonts w:hint="eastAsia"/>
          <w:color w:val="auto"/>
          <w:highlight w:val="none"/>
          <w:lang w:val="en-US"/>
        </w:rPr>
        <w:t>第五章  投标人应当提供的资格、资质性及其他类似效力要求的相关证明材料</w:t>
      </w:r>
      <w:bookmarkEnd w:id="17"/>
      <w:bookmarkEnd w:id="18"/>
    </w:p>
    <w:p>
      <w:pPr>
        <w:autoSpaceDE/>
        <w:autoSpaceDN/>
        <w:spacing w:line="360" w:lineRule="auto"/>
        <w:jc w:val="both"/>
        <w:rPr>
          <w:rFonts w:hint="eastAsia" w:cs="Times New Roman"/>
          <w:b/>
          <w:color w:val="auto"/>
          <w:kern w:val="2"/>
          <w:sz w:val="28"/>
          <w:szCs w:val="28"/>
          <w:highlight w:val="none"/>
          <w:lang w:val="en-US"/>
        </w:rPr>
      </w:pPr>
      <w:r>
        <w:rPr>
          <w:rFonts w:hint="eastAsia" w:cs="Times New Roman"/>
          <w:b/>
          <w:color w:val="auto"/>
          <w:kern w:val="2"/>
          <w:sz w:val="28"/>
          <w:szCs w:val="28"/>
          <w:highlight w:val="none"/>
          <w:lang w:val="en-US"/>
        </w:rPr>
        <w:t>一、应当提供的投标人资格、资质性及其他类似效力要求的相关证明材料</w:t>
      </w:r>
    </w:p>
    <w:p>
      <w:pPr>
        <w:pStyle w:val="2"/>
        <w:rPr>
          <w:b/>
          <w:bCs/>
          <w:color w:val="auto"/>
          <w:highlight w:val="none"/>
          <w:lang w:val="en-US"/>
        </w:rPr>
      </w:pPr>
      <w:r>
        <w:rPr>
          <w:rFonts w:hint="eastAsia"/>
          <w:b/>
          <w:bCs/>
          <w:color w:val="auto"/>
          <w:highlight w:val="none"/>
          <w:lang w:val="en-US"/>
        </w:rPr>
        <w:t>（一）资格要求相关证明材料：</w:t>
      </w:r>
    </w:p>
    <w:tbl>
      <w:tblPr>
        <w:tblStyle w:val="25"/>
        <w:tblW w:w="9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3603"/>
        <w:gridCol w:w="4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585" w:type="dxa"/>
            <w:noWrap w:val="0"/>
            <w:vAlign w:val="center"/>
          </w:tcPr>
          <w:p>
            <w:pPr>
              <w:spacing w:line="360" w:lineRule="auto"/>
              <w:jc w:val="center"/>
              <w:rPr>
                <w:rFonts w:hint="eastAsia" w:ascii="宋体" w:hAnsi="宋体"/>
                <w:b/>
                <w:bCs/>
                <w:color w:val="auto"/>
                <w:szCs w:val="21"/>
                <w:highlight w:val="none"/>
              </w:rPr>
            </w:pPr>
            <w:r>
              <w:rPr>
                <w:rFonts w:hint="eastAsia" w:ascii="宋体" w:hAnsi="宋体"/>
                <w:b/>
                <w:bCs/>
                <w:color w:val="auto"/>
                <w:szCs w:val="21"/>
                <w:highlight w:val="none"/>
              </w:rPr>
              <w:t>序号</w:t>
            </w:r>
          </w:p>
        </w:tc>
        <w:tc>
          <w:tcPr>
            <w:tcW w:w="3603" w:type="dxa"/>
            <w:noWrap w:val="0"/>
            <w:vAlign w:val="center"/>
          </w:tcPr>
          <w:p>
            <w:pPr>
              <w:spacing w:line="360" w:lineRule="auto"/>
              <w:jc w:val="center"/>
              <w:rPr>
                <w:rFonts w:hint="eastAsia"/>
                <w:b/>
                <w:color w:val="auto"/>
                <w:szCs w:val="21"/>
                <w:highlight w:val="none"/>
              </w:rPr>
            </w:pPr>
            <w:r>
              <w:rPr>
                <w:rFonts w:hint="eastAsia"/>
                <w:b/>
                <w:color w:val="auto"/>
                <w:szCs w:val="21"/>
                <w:highlight w:val="none"/>
              </w:rPr>
              <w:t>供应商应提交的资格证明要求</w:t>
            </w:r>
          </w:p>
        </w:tc>
        <w:tc>
          <w:tcPr>
            <w:tcW w:w="4852" w:type="dxa"/>
            <w:noWrap w:val="0"/>
            <w:vAlign w:val="center"/>
          </w:tcPr>
          <w:p>
            <w:pPr>
              <w:spacing w:line="360" w:lineRule="auto"/>
              <w:jc w:val="center"/>
              <w:rPr>
                <w:rFonts w:hint="eastAsia" w:ascii="宋体" w:hAnsi="宋体"/>
                <w:b/>
                <w:bCs/>
                <w:color w:val="auto"/>
                <w:szCs w:val="21"/>
                <w:highlight w:val="none"/>
              </w:rPr>
            </w:pPr>
            <w:r>
              <w:rPr>
                <w:rFonts w:hint="eastAsia"/>
                <w:b/>
                <w:color w:val="auto"/>
                <w:szCs w:val="21"/>
                <w:highlight w:val="none"/>
              </w:rPr>
              <w:t>供应商应提交的资格证明材料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7" w:hRule="atLeast"/>
          <w:jc w:val="center"/>
        </w:trPr>
        <w:tc>
          <w:tcPr>
            <w:tcW w:w="585" w:type="dxa"/>
            <w:noWrap w:val="0"/>
            <w:vAlign w:val="center"/>
          </w:tcPr>
          <w:p>
            <w:pPr>
              <w:spacing w:line="360" w:lineRule="auto"/>
              <w:jc w:val="center"/>
              <w:rPr>
                <w:rFonts w:hint="eastAsia" w:ascii="宋体" w:hAnsi="宋体"/>
                <w:b/>
                <w:bCs/>
                <w:color w:val="auto"/>
                <w:szCs w:val="21"/>
                <w:highlight w:val="none"/>
              </w:rPr>
            </w:pPr>
            <w:r>
              <w:rPr>
                <w:rFonts w:hint="eastAsia" w:ascii="宋体" w:hAnsi="宋体"/>
                <w:color w:val="auto"/>
                <w:szCs w:val="21"/>
                <w:highlight w:val="none"/>
              </w:rPr>
              <w:t>1</w:t>
            </w:r>
          </w:p>
        </w:tc>
        <w:tc>
          <w:tcPr>
            <w:tcW w:w="3603" w:type="dxa"/>
            <w:noWrap w:val="0"/>
            <w:vAlign w:val="center"/>
          </w:tcPr>
          <w:p>
            <w:pPr>
              <w:numPr>
                <w:ilvl w:val="0"/>
                <w:numId w:val="0"/>
              </w:numPr>
              <w:spacing w:line="360" w:lineRule="auto"/>
              <w:rPr>
                <w:rFonts w:hint="eastAsia"/>
                <w:color w:val="auto"/>
                <w:highlight w:val="none"/>
                <w:lang w:eastAsia="zh-CN"/>
              </w:rPr>
            </w:pPr>
            <w:r>
              <w:rPr>
                <w:rFonts w:hint="eastAsia"/>
                <w:color w:val="auto"/>
                <w:highlight w:val="none"/>
              </w:rPr>
              <w:t>具有独立承担民事责任的能力</w:t>
            </w:r>
          </w:p>
        </w:tc>
        <w:tc>
          <w:tcPr>
            <w:tcW w:w="4852" w:type="dxa"/>
            <w:noWrap w:val="0"/>
            <w:vAlign w:val="center"/>
          </w:tcPr>
          <w:p>
            <w:pPr>
              <w:widowControl/>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1.供应商若为企业法人：提供“统一社会信用代码营业执照”；未换证的提供“营业执照、税务登记证、组织机构代码证或三证合一的营业执照”；</w:t>
            </w:r>
          </w:p>
          <w:p>
            <w:pPr>
              <w:widowControl/>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2.若为事业法人：提供“统一社会信用代码法人登记证书”；未换证的提交“事业法人登记证书、组织机构代码证”；</w:t>
            </w:r>
          </w:p>
          <w:p>
            <w:pPr>
              <w:widowControl/>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3.若为其它组织：提供“对应主管部门颁发的准许执业证明文件或营业执照”；</w:t>
            </w:r>
          </w:p>
          <w:p>
            <w:pPr>
              <w:widowControl/>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4.若为自然人：提供“身份证明材料”。</w:t>
            </w:r>
          </w:p>
          <w:p>
            <w:pPr>
              <w:widowControl/>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以上均提供复印件。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85" w:type="dxa"/>
            <w:noWrap w:val="0"/>
            <w:vAlign w:val="center"/>
          </w:tcPr>
          <w:p>
            <w:pPr>
              <w:spacing w:line="360" w:lineRule="auto"/>
              <w:jc w:val="center"/>
              <w:rPr>
                <w:rFonts w:hint="eastAsia" w:ascii="宋体" w:hAnsi="宋体" w:cs="宋体"/>
                <w:bCs/>
                <w:color w:val="auto"/>
                <w:szCs w:val="21"/>
                <w:highlight w:val="none"/>
                <w:lang w:val="zh-CN"/>
              </w:rPr>
            </w:pPr>
            <w:r>
              <w:rPr>
                <w:rFonts w:hint="eastAsia" w:ascii="宋体" w:hAnsi="宋体" w:cs="宋体"/>
                <w:bCs/>
                <w:color w:val="auto"/>
                <w:szCs w:val="21"/>
                <w:highlight w:val="none"/>
              </w:rPr>
              <w:t>2</w:t>
            </w:r>
          </w:p>
        </w:tc>
        <w:tc>
          <w:tcPr>
            <w:tcW w:w="3603" w:type="dxa"/>
            <w:noWrap w:val="0"/>
            <w:vAlign w:val="center"/>
          </w:tcPr>
          <w:p>
            <w:pPr>
              <w:numPr>
                <w:ilvl w:val="0"/>
                <w:numId w:val="0"/>
              </w:numPr>
              <w:spacing w:line="360" w:lineRule="auto"/>
              <w:rPr>
                <w:rFonts w:hint="eastAsia"/>
                <w:color w:val="auto"/>
                <w:highlight w:val="none"/>
                <w:lang w:eastAsia="zh-CN"/>
              </w:rPr>
            </w:pPr>
            <w:r>
              <w:rPr>
                <w:rFonts w:hint="eastAsia"/>
                <w:color w:val="auto"/>
                <w:highlight w:val="none"/>
              </w:rPr>
              <w:t>具有良好的商业信誉和健全的财务会计制度</w:t>
            </w:r>
          </w:p>
        </w:tc>
        <w:tc>
          <w:tcPr>
            <w:tcW w:w="4852" w:type="dxa"/>
            <w:noWrap w:val="0"/>
            <w:vAlign w:val="center"/>
          </w:tcPr>
          <w:p>
            <w:pPr>
              <w:numPr>
                <w:ilvl w:val="0"/>
                <w:numId w:val="0"/>
              </w:numPr>
              <w:spacing w:line="360" w:lineRule="auto"/>
              <w:rPr>
                <w:rFonts w:hint="eastAsia"/>
                <w:color w:val="auto"/>
                <w:highlight w:val="none"/>
                <w:lang w:eastAsia="zh-CN"/>
              </w:rPr>
            </w:pPr>
            <w:r>
              <w:rPr>
                <w:rFonts w:hint="eastAsia"/>
                <w:color w:val="auto"/>
                <w:highlight w:val="none"/>
                <w:lang w:val="en-US" w:eastAsia="zh-CN"/>
              </w:rPr>
              <w:t>1.</w:t>
            </w:r>
            <w:r>
              <w:rPr>
                <w:rFonts w:hint="eastAsia"/>
                <w:color w:val="auto"/>
                <w:highlight w:val="none"/>
              </w:rPr>
              <w:t>可提供2020年</w:t>
            </w:r>
            <w:r>
              <w:rPr>
                <w:rFonts w:hint="eastAsia"/>
                <w:color w:val="auto"/>
                <w:highlight w:val="none"/>
                <w:lang w:val="en-US" w:eastAsia="zh-CN"/>
              </w:rPr>
              <w:t>以来任意一年</w:t>
            </w:r>
            <w:r>
              <w:rPr>
                <w:rFonts w:hint="eastAsia"/>
                <w:color w:val="auto"/>
                <w:highlight w:val="none"/>
              </w:rPr>
              <w:t>度经审计的财务报告复印件（包含审计报告和审计报告中所涉及的财务报表和报表附注）</w:t>
            </w:r>
            <w:r>
              <w:rPr>
                <w:rFonts w:hint="eastAsia"/>
                <w:color w:val="auto"/>
                <w:highlight w:val="none"/>
                <w:lang w:eastAsia="zh-CN"/>
              </w:rPr>
              <w:t>；</w:t>
            </w:r>
          </w:p>
          <w:p>
            <w:pPr>
              <w:numPr>
                <w:ilvl w:val="0"/>
                <w:numId w:val="0"/>
              </w:numPr>
              <w:spacing w:line="360" w:lineRule="auto"/>
              <w:rPr>
                <w:rFonts w:hint="eastAsia"/>
                <w:color w:val="auto"/>
                <w:highlight w:val="none"/>
                <w:lang w:eastAsia="zh-CN"/>
              </w:rPr>
            </w:pPr>
            <w:r>
              <w:rPr>
                <w:rFonts w:hint="eastAsia"/>
                <w:color w:val="auto"/>
                <w:highlight w:val="none"/>
                <w:lang w:val="en-US" w:eastAsia="zh-CN"/>
              </w:rPr>
              <w:t>2.</w:t>
            </w:r>
            <w:r>
              <w:rPr>
                <w:rFonts w:hint="eastAsia"/>
                <w:color w:val="auto"/>
                <w:highlight w:val="none"/>
              </w:rPr>
              <w:t>也可提供2020年</w:t>
            </w:r>
            <w:r>
              <w:rPr>
                <w:rFonts w:hint="eastAsia"/>
                <w:color w:val="auto"/>
                <w:highlight w:val="none"/>
                <w:lang w:val="en-US" w:eastAsia="zh-CN"/>
              </w:rPr>
              <w:t>以来任意一年</w:t>
            </w:r>
            <w:r>
              <w:rPr>
                <w:rFonts w:hint="eastAsia"/>
                <w:color w:val="auto"/>
                <w:highlight w:val="none"/>
              </w:rPr>
              <w:t>度供应商内部的财务报表复印件（至少包含资产负债表）</w:t>
            </w:r>
            <w:r>
              <w:rPr>
                <w:rFonts w:hint="eastAsia"/>
                <w:color w:val="auto"/>
                <w:highlight w:val="none"/>
                <w:lang w:eastAsia="zh-CN"/>
              </w:rPr>
              <w:t>；</w:t>
            </w:r>
          </w:p>
          <w:p>
            <w:pPr>
              <w:numPr>
                <w:ilvl w:val="0"/>
                <w:numId w:val="0"/>
              </w:numPr>
              <w:spacing w:line="360" w:lineRule="auto"/>
              <w:rPr>
                <w:rFonts w:hint="eastAsia"/>
                <w:color w:val="auto"/>
                <w:highlight w:val="none"/>
                <w:lang w:eastAsia="zh-CN"/>
              </w:rPr>
            </w:pPr>
            <w:r>
              <w:rPr>
                <w:rFonts w:hint="eastAsia"/>
                <w:color w:val="auto"/>
                <w:highlight w:val="none"/>
                <w:lang w:val="en-US" w:eastAsia="zh-CN"/>
              </w:rPr>
              <w:t>3.</w:t>
            </w:r>
            <w:r>
              <w:rPr>
                <w:rFonts w:hint="eastAsia"/>
                <w:color w:val="auto"/>
                <w:highlight w:val="none"/>
              </w:rPr>
              <w:t>也可提供距文件递交截止日一年内银行出具的资信证明（复印件）</w:t>
            </w:r>
            <w:r>
              <w:rPr>
                <w:rFonts w:hint="eastAsia"/>
                <w:color w:val="auto"/>
                <w:highlight w:val="none"/>
                <w:lang w:eastAsia="zh-CN"/>
              </w:rPr>
              <w:t>；</w:t>
            </w:r>
          </w:p>
          <w:p>
            <w:pPr>
              <w:numPr>
                <w:ilvl w:val="0"/>
                <w:numId w:val="0"/>
              </w:numPr>
              <w:spacing w:line="360" w:lineRule="auto"/>
              <w:rPr>
                <w:rFonts w:hint="eastAsia"/>
                <w:color w:val="auto"/>
                <w:highlight w:val="none"/>
              </w:rPr>
            </w:pPr>
            <w:r>
              <w:rPr>
                <w:rFonts w:hint="eastAsia"/>
                <w:color w:val="auto"/>
                <w:highlight w:val="none"/>
                <w:lang w:val="en-US" w:eastAsia="zh-CN"/>
              </w:rPr>
              <w:t>4.</w:t>
            </w:r>
            <w:r>
              <w:rPr>
                <w:rFonts w:hint="eastAsia"/>
                <w:color w:val="auto"/>
                <w:highlight w:val="none"/>
              </w:rPr>
              <w:t>供应商注册时间至文件递交截止日不足一年的，也可提供在工商备案的公司章程（复印件）；</w:t>
            </w:r>
          </w:p>
          <w:p>
            <w:pPr>
              <w:numPr>
                <w:ilvl w:val="0"/>
                <w:numId w:val="0"/>
              </w:numPr>
              <w:spacing w:line="360" w:lineRule="auto"/>
              <w:rPr>
                <w:rFonts w:hint="eastAsia"/>
                <w:color w:val="auto"/>
                <w:highlight w:val="none"/>
              </w:rPr>
            </w:pPr>
            <w:r>
              <w:rPr>
                <w:rFonts w:hint="eastAsia"/>
                <w:color w:val="auto"/>
                <w:highlight w:val="none"/>
                <w:lang w:val="en-US" w:eastAsia="zh-CN"/>
              </w:rPr>
              <w:t>5.</w:t>
            </w:r>
            <w:r>
              <w:rPr>
                <w:rFonts w:hint="eastAsia"/>
                <w:color w:val="auto"/>
                <w:highlight w:val="none"/>
              </w:rPr>
              <w:t>事业单位也可提供财务会计制度管理文件。</w:t>
            </w:r>
          </w:p>
          <w:p>
            <w:pPr>
              <w:pStyle w:val="5"/>
              <w:jc w:val="both"/>
              <w:rPr>
                <w:rFonts w:hint="eastAsia"/>
                <w:color w:val="auto"/>
                <w:highlight w:val="none"/>
              </w:rPr>
            </w:pPr>
            <w:r>
              <w:rPr>
                <w:rFonts w:hint="eastAsia" w:ascii="宋体" w:hAnsi="宋体" w:eastAsia="宋体" w:cs="宋体"/>
                <w:b w:val="0"/>
                <w:bCs w:val="0"/>
                <w:color w:val="auto"/>
                <w:sz w:val="24"/>
                <w:szCs w:val="22"/>
                <w:highlight w:val="none"/>
                <w:lang w:val="en-US" w:eastAsia="zh-CN" w:bidi="ar-SA"/>
              </w:rPr>
              <w:t>6.</w:t>
            </w:r>
            <w:r>
              <w:rPr>
                <w:rFonts w:hint="eastAsia" w:ascii="宋体" w:hAnsi="宋体" w:eastAsia="宋体" w:cs="宋体"/>
                <w:b w:val="0"/>
                <w:bCs w:val="0"/>
                <w:color w:val="auto"/>
                <w:sz w:val="24"/>
                <w:szCs w:val="22"/>
                <w:highlight w:val="none"/>
                <w:lang w:val="zh-CN" w:eastAsia="zh-CN" w:bidi="ar-SA"/>
              </w:rPr>
              <w:t>也可提供承诺函。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585" w:type="dxa"/>
            <w:noWrap w:val="0"/>
            <w:vAlign w:val="center"/>
          </w:tcPr>
          <w:p>
            <w:pPr>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3</w:t>
            </w:r>
          </w:p>
        </w:tc>
        <w:tc>
          <w:tcPr>
            <w:tcW w:w="3603" w:type="dxa"/>
            <w:noWrap w:val="0"/>
            <w:vAlign w:val="center"/>
          </w:tcPr>
          <w:p>
            <w:pPr>
              <w:spacing w:line="360" w:lineRule="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具有履行合同所必需的设备和专业技术能力</w:t>
            </w:r>
          </w:p>
        </w:tc>
        <w:tc>
          <w:tcPr>
            <w:tcW w:w="4852" w:type="dxa"/>
            <w:noWrap w:val="0"/>
            <w:vAlign w:val="center"/>
          </w:tcPr>
          <w:p>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提供证明材料或承诺函。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jc w:val="center"/>
        </w:trPr>
        <w:tc>
          <w:tcPr>
            <w:tcW w:w="585" w:type="dxa"/>
            <w:noWrap w:val="0"/>
            <w:vAlign w:val="center"/>
          </w:tcPr>
          <w:p>
            <w:pPr>
              <w:spacing w:line="360" w:lineRule="auto"/>
              <w:jc w:val="center"/>
              <w:rPr>
                <w:rFonts w:hint="eastAsia" w:ascii="宋体" w:hAnsi="宋体" w:cs="宋体"/>
                <w:color w:val="auto"/>
                <w:kern w:val="0"/>
                <w:szCs w:val="21"/>
                <w:highlight w:val="none"/>
                <w:lang w:val="zh-CN"/>
              </w:rPr>
            </w:pPr>
            <w:r>
              <w:rPr>
                <w:rFonts w:hint="eastAsia" w:ascii="宋体" w:hAnsi="宋体" w:cs="宋体"/>
                <w:color w:val="auto"/>
                <w:kern w:val="0"/>
                <w:szCs w:val="21"/>
                <w:highlight w:val="none"/>
              </w:rPr>
              <w:t>4</w:t>
            </w:r>
          </w:p>
        </w:tc>
        <w:tc>
          <w:tcPr>
            <w:tcW w:w="3603" w:type="dxa"/>
            <w:noWrap w:val="0"/>
            <w:vAlign w:val="center"/>
          </w:tcPr>
          <w:p>
            <w:pPr>
              <w:numPr>
                <w:ilvl w:val="0"/>
                <w:numId w:val="0"/>
              </w:numPr>
              <w:rPr>
                <w:rFonts w:hint="eastAsia"/>
                <w:color w:val="auto"/>
                <w:highlight w:val="none"/>
                <w:lang w:eastAsia="zh-CN"/>
              </w:rPr>
            </w:pPr>
            <w:r>
              <w:rPr>
                <w:rFonts w:hint="eastAsia"/>
                <w:color w:val="auto"/>
                <w:highlight w:val="none"/>
              </w:rPr>
              <w:t>有依法缴纳税收和社会保障资金的良好记录</w:t>
            </w:r>
          </w:p>
        </w:tc>
        <w:tc>
          <w:tcPr>
            <w:tcW w:w="4852" w:type="dxa"/>
            <w:noWrap w:val="0"/>
            <w:vAlign w:val="center"/>
          </w:tcPr>
          <w:p>
            <w:pPr>
              <w:numPr>
                <w:ilvl w:val="0"/>
                <w:numId w:val="0"/>
              </w:numPr>
              <w:rPr>
                <w:rFonts w:hint="eastAsia"/>
                <w:color w:val="auto"/>
                <w:highlight w:val="none"/>
              </w:rPr>
            </w:pPr>
            <w:r>
              <w:rPr>
                <w:rFonts w:hint="eastAsia"/>
                <w:color w:val="auto"/>
                <w:highlight w:val="none"/>
                <w:lang w:val="en-US" w:eastAsia="zh-CN"/>
              </w:rPr>
              <w:t>1.</w:t>
            </w:r>
            <w:r>
              <w:rPr>
                <w:rFonts w:hint="eastAsia"/>
                <w:color w:val="auto"/>
                <w:highlight w:val="none"/>
              </w:rPr>
              <w:t>可提供</w:t>
            </w:r>
            <w:r>
              <w:rPr>
                <w:rFonts w:hint="eastAsia"/>
                <w:color w:val="auto"/>
                <w:highlight w:val="none"/>
                <w:lang w:eastAsia="zh-CN"/>
              </w:rPr>
              <w:t>投标</w:t>
            </w:r>
            <w:r>
              <w:rPr>
                <w:rFonts w:hint="eastAsia"/>
                <w:color w:val="auto"/>
                <w:highlight w:val="none"/>
              </w:rPr>
              <w:t>截止日期前一年内任意一个月的依法缴纳税收及社会保障资金证明（新成立公司按实际应缴纳情况提供）；</w:t>
            </w:r>
          </w:p>
          <w:p>
            <w:pPr>
              <w:numPr>
                <w:ilvl w:val="0"/>
                <w:numId w:val="0"/>
              </w:numPr>
              <w:rPr>
                <w:rFonts w:hint="eastAsia" w:ascii="宋体" w:hAnsi="宋体" w:cs="宋体"/>
                <w:color w:val="auto"/>
                <w:kern w:val="0"/>
                <w:szCs w:val="21"/>
                <w:highlight w:val="none"/>
              </w:rPr>
            </w:pPr>
            <w:r>
              <w:rPr>
                <w:rFonts w:hint="eastAsia"/>
                <w:color w:val="auto"/>
                <w:highlight w:val="none"/>
                <w:lang w:val="en-US" w:eastAsia="zh-CN"/>
              </w:rPr>
              <w:t>2.</w:t>
            </w:r>
            <w:r>
              <w:rPr>
                <w:rFonts w:hint="eastAsia"/>
                <w:color w:val="auto"/>
                <w:highlight w:val="none"/>
              </w:rPr>
              <w:t>也可提供相关主管部门出具的证明材料；</w:t>
            </w:r>
            <w:r>
              <w:rPr>
                <w:rFonts w:hint="eastAsia"/>
                <w:color w:val="auto"/>
                <w:highlight w:val="none"/>
                <w:lang w:val="en-US" w:eastAsia="zh-CN"/>
              </w:rPr>
              <w:t>3.</w:t>
            </w:r>
            <w:r>
              <w:rPr>
                <w:rFonts w:hint="eastAsia"/>
                <w:color w:val="auto"/>
                <w:highlight w:val="none"/>
              </w:rPr>
              <w:t>也可提供承诺函。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585" w:type="dxa"/>
            <w:noWrap w:val="0"/>
            <w:vAlign w:val="center"/>
          </w:tcPr>
          <w:p>
            <w:pPr>
              <w:spacing w:line="360" w:lineRule="auto"/>
              <w:jc w:val="center"/>
              <w:rPr>
                <w:rFonts w:hint="eastAsia" w:ascii="宋体" w:hAnsi="宋体" w:cs="宋体"/>
                <w:bCs/>
                <w:color w:val="auto"/>
                <w:szCs w:val="21"/>
                <w:highlight w:val="none"/>
                <w:lang w:val="zh-CN"/>
              </w:rPr>
            </w:pPr>
            <w:r>
              <w:rPr>
                <w:rFonts w:hint="eastAsia" w:ascii="宋体" w:hAnsi="宋体" w:cs="宋体"/>
                <w:bCs/>
                <w:color w:val="auto"/>
                <w:szCs w:val="21"/>
                <w:highlight w:val="none"/>
              </w:rPr>
              <w:t>5</w:t>
            </w:r>
          </w:p>
        </w:tc>
        <w:tc>
          <w:tcPr>
            <w:tcW w:w="3603" w:type="dxa"/>
            <w:noWrap w:val="0"/>
            <w:vAlign w:val="center"/>
          </w:tcPr>
          <w:p>
            <w:pPr>
              <w:numPr>
                <w:ilvl w:val="0"/>
                <w:numId w:val="0"/>
              </w:numPr>
              <w:rPr>
                <w:rFonts w:hint="eastAsia"/>
                <w:color w:val="auto"/>
                <w:highlight w:val="none"/>
                <w:lang w:eastAsia="zh-CN"/>
              </w:rPr>
            </w:pPr>
            <w:r>
              <w:rPr>
                <w:rFonts w:hint="eastAsia"/>
                <w:color w:val="auto"/>
                <w:highlight w:val="none"/>
              </w:rPr>
              <w:t>参加本次政府采购活动前三年内，在经营活动中没有重大违法记录</w:t>
            </w:r>
          </w:p>
        </w:tc>
        <w:tc>
          <w:tcPr>
            <w:tcW w:w="4852" w:type="dxa"/>
            <w:noWrap w:val="0"/>
            <w:vAlign w:val="center"/>
          </w:tcPr>
          <w:p>
            <w:pPr>
              <w:spacing w:line="360" w:lineRule="auto"/>
              <w:rPr>
                <w:rFonts w:hint="eastAsia" w:ascii="宋体" w:hAnsi="宋体" w:cs="宋体"/>
                <w:color w:val="auto"/>
                <w:kern w:val="0"/>
                <w:szCs w:val="21"/>
                <w:highlight w:val="none"/>
                <w:lang w:val="zh-CN"/>
              </w:rPr>
            </w:pPr>
            <w:r>
              <w:rPr>
                <w:rFonts w:hint="eastAsia" w:ascii="宋体" w:hAnsi="宋体" w:cs="宋体"/>
                <w:bCs/>
                <w:color w:val="auto"/>
                <w:szCs w:val="21"/>
                <w:highlight w:val="none"/>
                <w:lang w:val="zh-CN"/>
              </w:rPr>
              <w:t>提供书面声明或承诺函</w:t>
            </w:r>
            <w:r>
              <w:rPr>
                <w:rFonts w:hint="eastAsia" w:ascii="宋体" w:hAnsi="宋体" w:cs="宋体"/>
                <w:color w:val="auto"/>
                <w:kern w:val="0"/>
                <w:szCs w:val="21"/>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585" w:type="dxa"/>
            <w:noWrap w:val="0"/>
            <w:vAlign w:val="center"/>
          </w:tcPr>
          <w:p>
            <w:pPr>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6</w:t>
            </w:r>
          </w:p>
        </w:tc>
        <w:tc>
          <w:tcPr>
            <w:tcW w:w="3603" w:type="dxa"/>
            <w:noWrap w:val="0"/>
            <w:vAlign w:val="center"/>
          </w:tcPr>
          <w:p>
            <w:pPr>
              <w:spacing w:after="50" w:line="360" w:lineRule="auto"/>
              <w:rPr>
                <w:rFonts w:hint="eastAsia" w:ascii="宋体" w:hAnsi="宋体" w:eastAsia="宋体"/>
                <w:color w:val="auto"/>
                <w:szCs w:val="21"/>
                <w:highlight w:val="none"/>
                <w:lang w:eastAsia="zh-CN"/>
              </w:rPr>
            </w:pPr>
            <w:r>
              <w:rPr>
                <w:rFonts w:hint="eastAsia" w:ascii="宋体" w:hAnsi="宋体"/>
                <w:color w:val="auto"/>
                <w:szCs w:val="21"/>
                <w:highlight w:val="none"/>
              </w:rPr>
              <w:t>法律和行政法规规定的其他条件</w:t>
            </w:r>
          </w:p>
        </w:tc>
        <w:tc>
          <w:tcPr>
            <w:tcW w:w="4852" w:type="dxa"/>
            <w:noWrap w:val="0"/>
            <w:vAlign w:val="center"/>
          </w:tcPr>
          <w:p>
            <w:pPr>
              <w:spacing w:line="360" w:lineRule="auto"/>
              <w:rPr>
                <w:rFonts w:hint="eastAsia" w:ascii="宋体" w:hAnsi="宋体"/>
                <w:color w:val="auto"/>
                <w:szCs w:val="21"/>
                <w:highlight w:val="none"/>
              </w:rPr>
            </w:pPr>
            <w:r>
              <w:rPr>
                <w:rFonts w:hint="eastAsia" w:ascii="宋体" w:hAnsi="宋体"/>
                <w:color w:val="auto"/>
                <w:szCs w:val="21"/>
                <w:highlight w:val="none"/>
              </w:rPr>
              <w:t>提供书面声明或承诺函。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585" w:type="dxa"/>
            <w:noWrap w:val="0"/>
            <w:vAlign w:val="center"/>
          </w:tcPr>
          <w:p>
            <w:pPr>
              <w:spacing w:line="360" w:lineRule="auto"/>
              <w:jc w:val="center"/>
              <w:rPr>
                <w:rFonts w:hint="eastAsia" w:ascii="宋体" w:hAnsi="宋体" w:eastAsia="宋体" w:cs="宋体"/>
                <w:bCs/>
                <w:color w:val="auto"/>
                <w:szCs w:val="21"/>
                <w:highlight w:val="none"/>
                <w:lang w:val="en-US" w:eastAsia="zh-CN"/>
              </w:rPr>
            </w:pPr>
            <w:r>
              <w:rPr>
                <w:rFonts w:hint="eastAsia" w:cs="宋体"/>
                <w:bCs/>
                <w:color w:val="auto"/>
                <w:szCs w:val="21"/>
                <w:highlight w:val="none"/>
                <w:lang w:val="en-US" w:eastAsia="zh-CN"/>
              </w:rPr>
              <w:t>7</w:t>
            </w:r>
          </w:p>
        </w:tc>
        <w:tc>
          <w:tcPr>
            <w:tcW w:w="3603" w:type="dxa"/>
            <w:noWrap w:val="0"/>
            <w:vAlign w:val="center"/>
          </w:tcPr>
          <w:p>
            <w:pPr>
              <w:spacing w:after="50" w:line="360" w:lineRule="auto"/>
              <w:rPr>
                <w:rFonts w:hint="eastAsia" w:ascii="宋体" w:hAnsi="宋体"/>
                <w:color w:val="auto"/>
                <w:szCs w:val="21"/>
                <w:highlight w:val="none"/>
                <w:lang w:val="en-US" w:eastAsia="zh-CN"/>
              </w:rPr>
            </w:pPr>
            <w:r>
              <w:rPr>
                <w:rFonts w:hint="eastAsia"/>
                <w:color w:val="auto"/>
                <w:highlight w:val="none"/>
                <w:lang w:val="en-US" w:eastAsia="zh-CN"/>
              </w:rPr>
              <w:t>投标人</w:t>
            </w:r>
            <w:r>
              <w:rPr>
                <w:rFonts w:hint="eastAsia"/>
                <w:color w:val="auto"/>
                <w:highlight w:val="none"/>
              </w:rPr>
              <w:t>及其现任法定代表人、主要负责人近三年不具有行贿犯罪记录</w:t>
            </w:r>
          </w:p>
        </w:tc>
        <w:tc>
          <w:tcPr>
            <w:tcW w:w="4852" w:type="dxa"/>
            <w:noWrap w:val="0"/>
            <w:vAlign w:val="center"/>
          </w:tcPr>
          <w:p>
            <w:pPr>
              <w:spacing w:line="360" w:lineRule="auto"/>
              <w:rPr>
                <w:rFonts w:hint="eastAsia" w:ascii="宋体" w:hAnsi="宋体"/>
                <w:color w:val="auto"/>
                <w:szCs w:val="21"/>
                <w:highlight w:val="none"/>
                <w:lang w:val="zh-CN"/>
              </w:rPr>
            </w:pPr>
            <w:r>
              <w:rPr>
                <w:rFonts w:hint="eastAsia"/>
                <w:color w:val="auto"/>
                <w:szCs w:val="21"/>
                <w:highlight w:val="none"/>
                <w:lang w:val="zh-CN"/>
              </w:rPr>
              <w:t>提供证明材料或承诺函。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585" w:type="dxa"/>
            <w:noWrap w:val="0"/>
            <w:vAlign w:val="center"/>
          </w:tcPr>
          <w:p>
            <w:pPr>
              <w:spacing w:line="360" w:lineRule="auto"/>
              <w:jc w:val="center"/>
              <w:rPr>
                <w:rFonts w:hint="default" w:cs="宋体"/>
                <w:bCs/>
                <w:color w:val="auto"/>
                <w:szCs w:val="21"/>
                <w:highlight w:val="none"/>
                <w:lang w:val="en-US" w:eastAsia="zh-CN"/>
              </w:rPr>
            </w:pPr>
            <w:r>
              <w:rPr>
                <w:rFonts w:hint="eastAsia" w:cs="宋体"/>
                <w:bCs/>
                <w:color w:val="auto"/>
                <w:szCs w:val="21"/>
                <w:highlight w:val="none"/>
                <w:lang w:val="en-US" w:eastAsia="zh-CN"/>
              </w:rPr>
              <w:t>8</w:t>
            </w:r>
          </w:p>
        </w:tc>
        <w:tc>
          <w:tcPr>
            <w:tcW w:w="3603" w:type="dxa"/>
            <w:noWrap w:val="0"/>
            <w:vAlign w:val="center"/>
          </w:tcPr>
          <w:p>
            <w:pPr>
              <w:spacing w:after="50" w:line="360" w:lineRule="auto"/>
              <w:rPr>
                <w:rFonts w:hint="eastAsia"/>
                <w:color w:val="auto"/>
                <w:highlight w:val="none"/>
              </w:rPr>
            </w:pPr>
            <w:r>
              <w:rPr>
                <w:rFonts w:hint="eastAsia" w:ascii="宋体" w:hAnsi="宋体" w:eastAsia="宋体" w:cs="宋体"/>
                <w:color w:val="auto"/>
                <w:sz w:val="24"/>
                <w:szCs w:val="24"/>
                <w:highlight w:val="none"/>
                <w:lang w:val="en-US" w:eastAsia="zh-CN"/>
              </w:rPr>
              <w:t>投标产品为医疗器械时，</w:t>
            </w: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须符合《医疗器械监督管理条例》要求并具有经营该产品的生产/经营许可/经营备案证明材料，投标产品须符合《医疗器械注册管理办法》要求并具有产品的注册/备案证明材料</w:t>
            </w:r>
            <w:r>
              <w:rPr>
                <w:rFonts w:hint="eastAsia" w:cs="宋体"/>
                <w:color w:val="auto"/>
                <w:sz w:val="24"/>
                <w:szCs w:val="24"/>
                <w:highlight w:val="none"/>
                <w:lang w:val="en-US" w:eastAsia="zh-CN"/>
              </w:rPr>
              <w:t>。投标产品为进口产品时：投标人非投标产品制造商的需具有产品制造商对投标产品的授权，或提供具有授权权限的代理商对投标产品的授权（且需提供该代理商具有有效授权权限的相关证明文件，证明文件需能显示产品制造商对投标产品授权链条的完整性）。</w:t>
            </w:r>
          </w:p>
        </w:tc>
        <w:tc>
          <w:tcPr>
            <w:tcW w:w="4852" w:type="dxa"/>
            <w:noWrap w:val="0"/>
            <w:vAlign w:val="center"/>
          </w:tcPr>
          <w:p>
            <w:pPr>
              <w:spacing w:line="360" w:lineRule="auto"/>
              <w:rPr>
                <w:rFonts w:hint="eastAsia"/>
                <w:color w:val="auto"/>
                <w:szCs w:val="21"/>
                <w:highlight w:val="none"/>
                <w:lang w:val="zh-CN"/>
              </w:rPr>
            </w:pPr>
            <w:r>
              <w:rPr>
                <w:rFonts w:hint="eastAsia"/>
                <w:color w:val="auto"/>
                <w:szCs w:val="21"/>
                <w:highlight w:val="none"/>
                <w:lang w:val="zh-CN"/>
              </w:rPr>
              <w:t>提供承诺函。</w:t>
            </w:r>
          </w:p>
          <w:p>
            <w:pPr>
              <w:spacing w:line="360" w:lineRule="auto"/>
              <w:rPr>
                <w:rFonts w:hint="eastAsia"/>
                <w:color w:val="auto"/>
                <w:szCs w:val="21"/>
                <w:highlight w:val="none"/>
                <w:lang w:val="zh-CN"/>
              </w:rPr>
            </w:pPr>
            <w:r>
              <w:rPr>
                <w:rFonts w:hint="eastAsia"/>
                <w:color w:val="auto"/>
                <w:szCs w:val="21"/>
                <w:highlight w:val="none"/>
                <w:lang w:val="en-US" w:eastAsia="zh-CN"/>
              </w:rPr>
              <w:t>注：中标供应商在签订合同前提供相关证明材料，如提供的证明材料不符合要求按虚假响应处理</w:t>
            </w:r>
            <w:r>
              <w:rPr>
                <w:rFonts w:hint="eastAsia"/>
                <w:color w:val="auto"/>
                <w:szCs w:val="21"/>
                <w:highlight w:val="none"/>
                <w:lang w:val="zh-CN"/>
              </w:rPr>
              <w:t>。</w:t>
            </w:r>
          </w:p>
        </w:tc>
      </w:tr>
    </w:tbl>
    <w:p>
      <w:pPr>
        <w:widowControl/>
        <w:snapToGrid w:val="0"/>
        <w:spacing w:line="360" w:lineRule="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 w:val="21"/>
          <w:szCs w:val="21"/>
          <w:highlight w:val="none"/>
        </w:rPr>
        <w:t>（二）其他类似效力要求相关证明材料：</w:t>
      </w:r>
    </w:p>
    <w:p>
      <w:pPr>
        <w:widowControl/>
        <w:snapToGrid w:val="0"/>
        <w:spacing w:line="360" w:lineRule="auto"/>
        <w:ind w:firstLine="240" w:firstLineChars="100"/>
        <w:rPr>
          <w:rFonts w:hint="eastAsia" w:ascii="宋体" w:hAnsi="宋体" w:eastAsia="宋体" w:cs="宋体"/>
          <w:color w:val="auto"/>
          <w:kern w:val="0"/>
          <w:szCs w:val="21"/>
          <w:highlight w:val="none"/>
        </w:rPr>
      </w:pPr>
      <w:r>
        <w:rPr>
          <w:rFonts w:hint="eastAsia" w:cs="宋体"/>
          <w:color w:val="auto"/>
          <w:kern w:val="0"/>
          <w:sz w:val="24"/>
          <w:highlight w:val="none"/>
          <w:lang w:val="en-US" w:eastAsia="zh-CN"/>
        </w:rPr>
        <w:t>1、</w:t>
      </w:r>
      <w:r>
        <w:rPr>
          <w:rFonts w:hint="eastAsia" w:ascii="宋体" w:hAnsi="宋体" w:eastAsia="宋体" w:cs="宋体"/>
          <w:color w:val="auto"/>
          <w:kern w:val="0"/>
          <w:sz w:val="24"/>
          <w:highlight w:val="none"/>
        </w:rPr>
        <w:t>法定代表人和授权代表身份证复印件（注：复印件加盖公章）。</w:t>
      </w:r>
    </w:p>
    <w:p>
      <w:pPr>
        <w:widowControl/>
        <w:snapToGrid w:val="0"/>
        <w:spacing w:line="360" w:lineRule="auto"/>
        <w:ind w:firstLine="240" w:firstLineChars="100"/>
        <w:rPr>
          <w:rFonts w:hint="eastAsia" w:ascii="宋体" w:hAnsi="宋体" w:eastAsia="宋体" w:cs="宋体"/>
          <w:color w:val="auto"/>
          <w:kern w:val="0"/>
          <w:sz w:val="24"/>
          <w:highlight w:val="none"/>
        </w:rPr>
      </w:pPr>
      <w:r>
        <w:rPr>
          <w:rFonts w:hint="eastAsia" w:cs="宋体"/>
          <w:color w:val="auto"/>
          <w:kern w:val="0"/>
          <w:sz w:val="24"/>
          <w:highlight w:val="none"/>
          <w:lang w:val="en-US" w:eastAsia="zh-CN"/>
        </w:rPr>
        <w:t>2、</w:t>
      </w:r>
      <w:r>
        <w:rPr>
          <w:rFonts w:hint="eastAsia" w:ascii="宋体" w:hAnsi="宋体" w:eastAsia="宋体" w:cs="宋体"/>
          <w:color w:val="auto"/>
          <w:kern w:val="0"/>
          <w:sz w:val="24"/>
          <w:highlight w:val="none"/>
        </w:rPr>
        <w:t>法定代表人授权代理书原件（注：①复印件加盖公章；②如投标文件均由投标人法定代表人签字的且法定代表人本人参与投标的，则可不提供）。</w:t>
      </w:r>
    </w:p>
    <w:p>
      <w:pPr>
        <w:pStyle w:val="2"/>
        <w:spacing w:line="360" w:lineRule="auto"/>
        <w:jc w:val="both"/>
        <w:rPr>
          <w:rFonts w:cs="Times New Roman"/>
          <w:b/>
          <w:color w:val="auto"/>
          <w:kern w:val="2"/>
          <w:sz w:val="28"/>
          <w:szCs w:val="28"/>
          <w:highlight w:val="none"/>
          <w:lang w:val="en-US"/>
        </w:rPr>
      </w:pPr>
      <w:r>
        <w:rPr>
          <w:rFonts w:hint="eastAsia" w:cs="Times New Roman"/>
          <w:b/>
          <w:color w:val="auto"/>
          <w:kern w:val="2"/>
          <w:sz w:val="28"/>
          <w:szCs w:val="28"/>
          <w:highlight w:val="none"/>
          <w:lang w:val="en-US"/>
        </w:rPr>
        <w:t>二、应当提供的投标产品的资格、资质性及其他类似效力要求的相关证明材料：</w:t>
      </w:r>
    </w:p>
    <w:p>
      <w:pPr>
        <w:pStyle w:val="2"/>
        <w:spacing w:line="360" w:lineRule="auto"/>
        <w:ind w:firstLine="480" w:firstLineChars="200"/>
        <w:jc w:val="both"/>
        <w:rPr>
          <w:rFonts w:hint="eastAsia" w:eastAsia="宋体"/>
          <w:color w:val="auto"/>
          <w:highlight w:val="none"/>
          <w:lang w:eastAsia="zh-CN"/>
        </w:rPr>
      </w:pPr>
      <w:r>
        <w:rPr>
          <w:rFonts w:hint="eastAsia"/>
          <w:color w:val="auto"/>
          <w:highlight w:val="none"/>
          <w:lang w:eastAsia="zh-CN"/>
        </w:rPr>
        <w:t>所投产品如涉及强制性3C认证的，供应商需提供强制认证证书</w:t>
      </w:r>
      <w:r>
        <w:rPr>
          <w:rFonts w:hint="eastAsia"/>
          <w:color w:val="auto"/>
          <w:highlight w:val="none"/>
          <w:lang w:val="en-US" w:eastAsia="zh-CN"/>
        </w:rPr>
        <w:t>复印件</w:t>
      </w:r>
      <w:r>
        <w:rPr>
          <w:rFonts w:hint="eastAsia"/>
          <w:color w:val="auto"/>
          <w:highlight w:val="none"/>
          <w:lang w:eastAsia="zh-CN"/>
        </w:rPr>
        <w:t>。</w:t>
      </w:r>
    </w:p>
    <w:p>
      <w:pPr>
        <w:pStyle w:val="2"/>
        <w:spacing w:line="360" w:lineRule="auto"/>
        <w:ind w:firstLine="422" w:firstLineChars="200"/>
        <w:jc w:val="both"/>
        <w:rPr>
          <w:rFonts w:hint="eastAsia"/>
          <w:b/>
          <w:bCs/>
          <w:color w:val="auto"/>
          <w:sz w:val="21"/>
          <w:szCs w:val="21"/>
          <w:highlight w:val="none"/>
        </w:rPr>
      </w:pPr>
    </w:p>
    <w:p>
      <w:pPr>
        <w:pStyle w:val="2"/>
        <w:spacing w:line="360" w:lineRule="auto"/>
        <w:ind w:firstLine="422" w:firstLineChars="200"/>
        <w:jc w:val="both"/>
        <w:rPr>
          <w:b/>
          <w:bCs/>
          <w:color w:val="auto"/>
          <w:sz w:val="21"/>
          <w:szCs w:val="21"/>
          <w:highlight w:val="none"/>
        </w:rPr>
      </w:pPr>
      <w:r>
        <w:rPr>
          <w:rFonts w:hint="eastAsia"/>
          <w:b/>
          <w:bCs/>
          <w:color w:val="auto"/>
          <w:sz w:val="21"/>
          <w:szCs w:val="21"/>
          <w:highlight w:val="none"/>
        </w:rPr>
        <w:t>注：</w:t>
      </w:r>
    </w:p>
    <w:p>
      <w:pPr>
        <w:pStyle w:val="2"/>
        <w:spacing w:line="360" w:lineRule="auto"/>
        <w:ind w:firstLine="480" w:firstLineChars="200"/>
        <w:jc w:val="both"/>
        <w:rPr>
          <w:color w:val="auto"/>
          <w:sz w:val="24"/>
          <w:szCs w:val="24"/>
          <w:highlight w:val="none"/>
        </w:rPr>
      </w:pPr>
      <w:r>
        <w:rPr>
          <w:color w:val="auto"/>
          <w:sz w:val="24"/>
          <w:szCs w:val="24"/>
          <w:highlight w:val="none"/>
        </w:rPr>
        <w:t>1</w:t>
      </w:r>
      <w:r>
        <w:rPr>
          <w:rFonts w:hint="eastAsia"/>
          <w:color w:val="auto"/>
          <w:sz w:val="24"/>
          <w:szCs w:val="24"/>
          <w:highlight w:val="none"/>
        </w:rPr>
        <w:t>、本章要求提供的相关证明材料应当与第四章的规定要求对应，除投标人自愿以外，不能要求投标人提供额外的证明材料。如果要求提供额外的证明材料，投标人有权不予提供，且不影响投标文件的有效性和完整性。</w:t>
      </w:r>
    </w:p>
    <w:p>
      <w:pPr>
        <w:pStyle w:val="2"/>
        <w:spacing w:line="360" w:lineRule="auto"/>
        <w:ind w:firstLine="480" w:firstLineChars="200"/>
        <w:jc w:val="both"/>
        <w:rPr>
          <w:color w:val="auto"/>
          <w:sz w:val="24"/>
          <w:szCs w:val="24"/>
          <w:highlight w:val="none"/>
        </w:rPr>
      </w:pPr>
      <w:r>
        <w:rPr>
          <w:color w:val="auto"/>
          <w:sz w:val="24"/>
          <w:szCs w:val="24"/>
          <w:highlight w:val="none"/>
        </w:rPr>
        <w:t>2</w:t>
      </w:r>
      <w:r>
        <w:rPr>
          <w:rFonts w:hint="eastAsia"/>
          <w:color w:val="auto"/>
          <w:sz w:val="24"/>
          <w:szCs w:val="24"/>
          <w:highlight w:val="none"/>
        </w:rPr>
        <w:t>、本章要求提供的相关证明材料应当结合采购项目具体情况和投标人的组织机构性质确定，不得一概而论。</w:t>
      </w:r>
      <w:bookmarkStart w:id="19" w:name="_bookmark5"/>
      <w:bookmarkEnd w:id="19"/>
    </w:p>
    <w:p>
      <w:pPr>
        <w:widowControl/>
        <w:autoSpaceDE/>
        <w:autoSpaceDN/>
        <w:rPr>
          <w:rFonts w:cs="Times New Roman"/>
          <w:b/>
          <w:color w:val="auto"/>
          <w:kern w:val="2"/>
          <w:sz w:val="36"/>
          <w:szCs w:val="36"/>
          <w:highlight w:val="none"/>
          <w:lang w:val="en-US"/>
        </w:rPr>
      </w:pPr>
      <w:r>
        <w:rPr>
          <w:rFonts w:cs="Times New Roman"/>
          <w:b/>
          <w:color w:val="auto"/>
          <w:kern w:val="2"/>
          <w:sz w:val="36"/>
          <w:szCs w:val="36"/>
          <w:highlight w:val="none"/>
          <w:lang w:val="en-US"/>
        </w:rPr>
        <w:br w:type="page"/>
      </w:r>
    </w:p>
    <w:p>
      <w:pPr>
        <w:pStyle w:val="4"/>
        <w:bidi w:val="0"/>
        <w:rPr>
          <w:rFonts w:hint="eastAsia"/>
          <w:color w:val="auto"/>
          <w:highlight w:val="none"/>
          <w:lang w:val="en-US" w:eastAsia="zh-CN"/>
        </w:rPr>
      </w:pPr>
      <w:bookmarkStart w:id="20" w:name="_Toc528098584"/>
      <w:bookmarkStart w:id="21" w:name="_Toc790"/>
      <w:r>
        <w:rPr>
          <w:rFonts w:hint="eastAsia"/>
          <w:color w:val="auto"/>
          <w:highlight w:val="none"/>
          <w:lang w:val="en-US"/>
        </w:rPr>
        <w:t xml:space="preserve">第六章  </w:t>
      </w:r>
      <w:bookmarkEnd w:id="20"/>
      <w:r>
        <w:rPr>
          <w:rFonts w:hint="eastAsia"/>
          <w:color w:val="auto"/>
          <w:highlight w:val="none"/>
          <w:lang w:val="en-US" w:eastAsia="zh-CN"/>
        </w:rPr>
        <w:t>项目技术服务、商务及其他要求</w:t>
      </w:r>
      <w:bookmarkEnd w:id="21"/>
    </w:p>
    <w:p>
      <w:pPr>
        <w:autoSpaceDE w:val="0"/>
        <w:autoSpaceDN w:val="0"/>
        <w:bidi w:val="0"/>
        <w:spacing w:line="360" w:lineRule="auto"/>
        <w:jc w:val="left"/>
        <w:outlineLvl w:val="1"/>
        <w:rPr>
          <w:rFonts w:ascii="宋体" w:hAnsi="宋体" w:eastAsia="宋体" w:cs="宋体"/>
          <w:b/>
          <w:bCs/>
          <w:color w:val="auto"/>
          <w:kern w:val="0"/>
          <w:sz w:val="24"/>
          <w:szCs w:val="22"/>
          <w:highlight w:val="none"/>
          <w:lang w:val="zh-CN"/>
        </w:rPr>
      </w:pPr>
      <w:bookmarkStart w:id="22" w:name="_bookmark6"/>
      <w:bookmarkEnd w:id="22"/>
      <w:bookmarkStart w:id="23" w:name="_Toc483667036"/>
      <w:bookmarkStart w:id="24" w:name="_Toc405381747"/>
      <w:bookmarkStart w:id="25" w:name="_Toc418580008"/>
      <w:bookmarkStart w:id="26" w:name="_Toc510964364"/>
      <w:bookmarkStart w:id="27" w:name="_Toc445537593"/>
      <w:bookmarkStart w:id="28" w:name="_Toc424019741"/>
      <w:bookmarkStart w:id="29" w:name="_Toc18328431"/>
      <w:bookmarkStart w:id="30" w:name="_Toc470875284"/>
      <w:bookmarkStart w:id="31" w:name="_Toc528098585"/>
      <w:r>
        <w:rPr>
          <w:rFonts w:hint="eastAsia" w:ascii="宋体" w:hAnsi="宋体" w:eastAsia="宋体" w:cs="宋体"/>
          <w:b/>
          <w:bCs/>
          <w:color w:val="auto"/>
          <w:kern w:val="0"/>
          <w:sz w:val="24"/>
          <w:szCs w:val="22"/>
          <w:highlight w:val="none"/>
          <w:lang w:val="zh-CN"/>
        </w:rPr>
        <w:t>一、项目概况</w:t>
      </w:r>
    </w:p>
    <w:p>
      <w:pPr>
        <w:widowControl w:val="0"/>
        <w:autoSpaceDE w:val="0"/>
        <w:autoSpaceDN w:val="0"/>
        <w:spacing w:line="360" w:lineRule="auto"/>
        <w:ind w:firstLine="480"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本项目</w:t>
      </w:r>
      <w:r>
        <w:rPr>
          <w:rFonts w:hint="eastAsia" w:cs="宋体"/>
          <w:color w:val="auto"/>
          <w:sz w:val="24"/>
          <w:szCs w:val="24"/>
          <w:highlight w:val="none"/>
          <w:lang w:val="en-US" w:eastAsia="zh-CN" w:bidi="ar-SA"/>
        </w:rPr>
        <w:t>共</w:t>
      </w:r>
      <w:r>
        <w:rPr>
          <w:rFonts w:hint="eastAsia" w:ascii="宋体" w:hAnsi="宋体" w:eastAsia="宋体" w:cs="宋体"/>
          <w:color w:val="auto"/>
          <w:sz w:val="24"/>
          <w:szCs w:val="24"/>
          <w:highlight w:val="none"/>
          <w:lang w:val="en-US" w:eastAsia="zh-CN" w:bidi="ar-SA"/>
        </w:rPr>
        <w:t>7个包，</w:t>
      </w:r>
      <w:r>
        <w:rPr>
          <w:rFonts w:hint="eastAsia" w:cs="宋体"/>
          <w:color w:val="auto"/>
          <w:sz w:val="24"/>
          <w:szCs w:val="24"/>
          <w:highlight w:val="none"/>
          <w:lang w:val="en-US" w:eastAsia="zh-CN" w:bidi="ar-SA"/>
        </w:rPr>
        <w:t>本次</w:t>
      </w:r>
      <w:r>
        <w:rPr>
          <w:rFonts w:hint="eastAsia" w:ascii="宋体" w:hAnsi="宋体" w:eastAsia="宋体" w:cs="宋体"/>
          <w:color w:val="auto"/>
          <w:sz w:val="24"/>
          <w:szCs w:val="24"/>
          <w:highlight w:val="none"/>
          <w:lang w:val="en-US" w:eastAsia="zh-CN" w:bidi="ar-SA"/>
        </w:rPr>
        <w:t>为</w:t>
      </w:r>
      <w:r>
        <w:rPr>
          <w:rFonts w:hint="eastAsia" w:cs="宋体"/>
          <w:color w:val="auto"/>
          <w:sz w:val="24"/>
          <w:szCs w:val="24"/>
          <w:highlight w:val="none"/>
          <w:lang w:val="en-US" w:eastAsia="zh-CN" w:bidi="ar-SA"/>
        </w:rPr>
        <w:t>富顺县中医医院普通挂网耗材采购项目（第三次）</w:t>
      </w:r>
      <w:r>
        <w:rPr>
          <w:rFonts w:hint="eastAsia" w:ascii="宋体" w:hAnsi="宋体" w:eastAsia="宋体" w:cs="宋体"/>
          <w:color w:val="auto"/>
          <w:sz w:val="24"/>
          <w:szCs w:val="24"/>
          <w:highlight w:val="none"/>
          <w:lang w:val="en-US" w:eastAsia="zh-CN" w:bidi="ar-SA"/>
        </w:rPr>
        <w:t>。拟</w:t>
      </w:r>
      <w:r>
        <w:rPr>
          <w:rFonts w:hint="eastAsia" w:cs="宋体"/>
          <w:color w:val="auto"/>
          <w:sz w:val="24"/>
          <w:szCs w:val="24"/>
          <w:highlight w:val="none"/>
          <w:lang w:val="en-US" w:eastAsia="zh-CN" w:bidi="ar-SA"/>
        </w:rPr>
        <w:t>采购</w:t>
      </w:r>
      <w:r>
        <w:rPr>
          <w:rFonts w:hint="eastAsia" w:ascii="宋体" w:hAnsi="宋体" w:eastAsia="宋体" w:cs="宋体"/>
          <w:color w:val="auto"/>
          <w:sz w:val="24"/>
          <w:szCs w:val="24"/>
          <w:highlight w:val="none"/>
          <w:lang w:val="en-US" w:eastAsia="zh-CN" w:bidi="ar-SA"/>
        </w:rPr>
        <w:t>02包为：普通耗材导管类；03包为：普通耗材类；04包为：普通耗材纱布类；07包为：普通耗材类。</w:t>
      </w:r>
    </w:p>
    <w:p>
      <w:pPr>
        <w:autoSpaceDE w:val="0"/>
        <w:autoSpaceDN w:val="0"/>
        <w:bidi w:val="0"/>
        <w:spacing w:line="360" w:lineRule="auto"/>
        <w:jc w:val="left"/>
        <w:outlineLvl w:val="1"/>
        <w:rPr>
          <w:rFonts w:hint="default" w:ascii="宋体" w:hAnsi="宋体" w:eastAsia="宋体" w:cs="宋体"/>
          <w:b/>
          <w:bCs/>
          <w:color w:val="auto"/>
          <w:kern w:val="0"/>
          <w:sz w:val="24"/>
          <w:szCs w:val="22"/>
          <w:highlight w:val="none"/>
          <w:lang w:val="en-US" w:eastAsia="zh-CN"/>
        </w:rPr>
      </w:pPr>
      <w:r>
        <w:rPr>
          <w:rFonts w:hint="eastAsia" w:ascii="宋体" w:hAnsi="宋体" w:eastAsia="宋体" w:cs="宋体"/>
          <w:b/>
          <w:bCs/>
          <w:color w:val="auto"/>
          <w:kern w:val="0"/>
          <w:sz w:val="24"/>
          <w:szCs w:val="22"/>
          <w:highlight w:val="none"/>
          <w:lang w:val="zh-CN"/>
        </w:rPr>
        <w:t>二、</w:t>
      </w:r>
      <w:r>
        <w:rPr>
          <w:rFonts w:hint="eastAsia" w:ascii="宋体" w:hAnsi="宋体" w:eastAsia="宋体" w:cs="宋体"/>
          <w:b/>
          <w:bCs/>
          <w:color w:val="auto"/>
          <w:kern w:val="0"/>
          <w:sz w:val="24"/>
          <w:szCs w:val="22"/>
          <w:highlight w:val="none"/>
          <w:lang w:val="en-US" w:eastAsia="zh-CN"/>
        </w:rPr>
        <w:t>采购清单及技术参数</w:t>
      </w:r>
      <w:r>
        <w:rPr>
          <w:rFonts w:hint="eastAsia" w:cs="宋体"/>
          <w:b/>
          <w:bCs/>
          <w:color w:val="auto"/>
          <w:kern w:val="0"/>
          <w:sz w:val="24"/>
          <w:szCs w:val="22"/>
          <w:highlight w:val="none"/>
          <w:lang w:val="en-US" w:eastAsia="zh-CN"/>
        </w:rPr>
        <w:t>（</w:t>
      </w:r>
      <w:r>
        <w:rPr>
          <w:rFonts w:hint="eastAsia" w:ascii="宋体" w:hAnsi="宋体" w:eastAsia="宋体" w:cs="宋体"/>
          <w:b/>
          <w:bCs/>
          <w:color w:val="auto"/>
          <w:kern w:val="0"/>
          <w:sz w:val="24"/>
          <w:szCs w:val="22"/>
          <w:highlight w:val="none"/>
          <w:lang w:val="en-US" w:eastAsia="zh-CN"/>
        </w:rPr>
        <w:t>★</w:t>
      </w:r>
      <w:r>
        <w:rPr>
          <w:rFonts w:hint="eastAsia" w:cs="宋体"/>
          <w:b/>
          <w:bCs/>
          <w:color w:val="auto"/>
          <w:kern w:val="0"/>
          <w:sz w:val="24"/>
          <w:szCs w:val="22"/>
          <w:highlight w:val="none"/>
          <w:lang w:val="en-US" w:eastAsia="zh-CN"/>
        </w:rPr>
        <w:t>为核心产品）</w:t>
      </w:r>
    </w:p>
    <w:p>
      <w:pPr>
        <w:autoSpaceDE w:val="0"/>
        <w:autoSpaceDN w:val="0"/>
        <w:bidi w:val="0"/>
        <w:spacing w:line="360" w:lineRule="auto"/>
        <w:jc w:val="left"/>
        <w:rPr>
          <w:rFonts w:hint="eastAsia" w:ascii="宋体" w:hAnsi="宋体" w:eastAsia="宋体" w:cs="宋体"/>
          <w:color w:val="auto"/>
          <w:kern w:val="0"/>
          <w:sz w:val="24"/>
          <w:szCs w:val="22"/>
          <w:highlight w:val="none"/>
          <w:lang w:val="en-US" w:eastAsia="zh-CN"/>
        </w:rPr>
      </w:pPr>
      <w:r>
        <w:rPr>
          <w:rFonts w:hint="eastAsia" w:ascii="宋体" w:hAnsi="宋体" w:eastAsia="宋体" w:cs="宋体"/>
          <w:color w:val="auto"/>
          <w:kern w:val="0"/>
          <w:sz w:val="24"/>
          <w:szCs w:val="22"/>
          <w:highlight w:val="none"/>
          <w:lang w:val="en-US" w:eastAsia="zh-CN"/>
        </w:rPr>
        <w:t>02包普通耗材导管类采购清单及技术参数：</w:t>
      </w:r>
    </w:p>
    <w:tbl>
      <w:tblPr>
        <w:tblStyle w:val="2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1909"/>
        <w:gridCol w:w="2363"/>
        <w:gridCol w:w="969"/>
        <w:gridCol w:w="929"/>
        <w:gridCol w:w="1309"/>
        <w:gridCol w:w="1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b/>
                <w:bCs/>
                <w:color w:val="auto"/>
                <w:kern w:val="0"/>
                <w:sz w:val="24"/>
                <w:szCs w:val="22"/>
                <w:highlight w:val="none"/>
                <w:vertAlign w:val="baseline"/>
                <w:lang w:val="en-US" w:eastAsia="zh-CN"/>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95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b/>
                <w:bCs/>
                <w:color w:val="auto"/>
                <w:kern w:val="0"/>
                <w:sz w:val="24"/>
                <w:szCs w:val="22"/>
                <w:highlight w:val="none"/>
                <w:vertAlign w:val="baseline"/>
                <w:lang w:val="en-US" w:eastAsia="zh-CN"/>
              </w:rPr>
            </w:pPr>
            <w:r>
              <w:rPr>
                <w:rFonts w:hint="eastAsia" w:ascii="宋体" w:hAnsi="宋体" w:eastAsia="宋体" w:cs="宋体"/>
                <w:b/>
                <w:bCs/>
                <w:i w:val="0"/>
                <w:iCs w:val="0"/>
                <w:color w:val="auto"/>
                <w:kern w:val="0"/>
                <w:sz w:val="22"/>
                <w:szCs w:val="22"/>
                <w:highlight w:val="none"/>
                <w:u w:val="none"/>
                <w:lang w:val="en-US" w:eastAsia="zh-CN" w:bidi="ar"/>
              </w:rPr>
              <w:t>产品名称</w:t>
            </w:r>
          </w:p>
        </w:tc>
        <w:tc>
          <w:tcPr>
            <w:tcW w:w="1186"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参数</w:t>
            </w:r>
          </w:p>
        </w:tc>
        <w:tc>
          <w:tcPr>
            <w:tcW w:w="4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b/>
                <w:bCs/>
                <w:color w:val="auto"/>
                <w:kern w:val="0"/>
                <w:sz w:val="24"/>
                <w:szCs w:val="22"/>
                <w:highlight w:val="none"/>
                <w:vertAlign w:val="baseline"/>
                <w:lang w:val="en-US" w:eastAsia="zh-CN"/>
              </w:rPr>
            </w:pPr>
            <w:r>
              <w:rPr>
                <w:rFonts w:hint="eastAsia" w:ascii="宋体" w:hAnsi="宋体" w:eastAsia="宋体" w:cs="宋体"/>
                <w:b/>
                <w:bCs/>
                <w:i w:val="0"/>
                <w:iCs w:val="0"/>
                <w:color w:val="auto"/>
                <w:kern w:val="0"/>
                <w:sz w:val="22"/>
                <w:szCs w:val="22"/>
                <w:highlight w:val="none"/>
                <w:u w:val="none"/>
                <w:lang w:val="en-US" w:eastAsia="zh-CN" w:bidi="ar"/>
              </w:rPr>
              <w:t>数量</w:t>
            </w:r>
          </w:p>
        </w:tc>
        <w:tc>
          <w:tcPr>
            <w:tcW w:w="4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单位</w:t>
            </w:r>
          </w:p>
        </w:tc>
        <w:tc>
          <w:tcPr>
            <w:tcW w:w="657"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最高单价限价（元）</w:t>
            </w:r>
          </w:p>
        </w:tc>
        <w:tc>
          <w:tcPr>
            <w:tcW w:w="85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是否允许进口产品参与投标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w:t>
            </w:r>
          </w:p>
        </w:tc>
        <w:tc>
          <w:tcPr>
            <w:tcW w:w="95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一次性使用导尿管</w:t>
            </w:r>
          </w:p>
        </w:tc>
        <w:tc>
          <w:tcPr>
            <w:tcW w:w="11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8F-24F</w:t>
            </w:r>
          </w:p>
        </w:tc>
        <w:tc>
          <w:tcPr>
            <w:tcW w:w="4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58</w:t>
            </w:r>
          </w:p>
        </w:tc>
        <w:tc>
          <w:tcPr>
            <w:tcW w:w="4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根</w:t>
            </w:r>
          </w:p>
        </w:tc>
        <w:tc>
          <w:tcPr>
            <w:tcW w:w="65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4.00 </w:t>
            </w:r>
          </w:p>
        </w:tc>
        <w:tc>
          <w:tcPr>
            <w:tcW w:w="85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392"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w:t>
            </w:r>
          </w:p>
        </w:tc>
        <w:tc>
          <w:tcPr>
            <w:tcW w:w="95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三腔导尿管</w:t>
            </w:r>
          </w:p>
        </w:tc>
        <w:tc>
          <w:tcPr>
            <w:tcW w:w="11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22#</w:t>
            </w:r>
          </w:p>
        </w:tc>
        <w:tc>
          <w:tcPr>
            <w:tcW w:w="486"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15</w:t>
            </w:r>
          </w:p>
        </w:tc>
        <w:tc>
          <w:tcPr>
            <w:tcW w:w="4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支</w:t>
            </w:r>
          </w:p>
        </w:tc>
        <w:tc>
          <w:tcPr>
            <w:tcW w:w="65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7.20 </w:t>
            </w:r>
          </w:p>
        </w:tc>
        <w:tc>
          <w:tcPr>
            <w:tcW w:w="85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w:t>
            </w:r>
          </w:p>
        </w:tc>
        <w:tc>
          <w:tcPr>
            <w:tcW w:w="95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无菌梅花头导尿引流管</w:t>
            </w:r>
          </w:p>
        </w:tc>
        <w:tc>
          <w:tcPr>
            <w:tcW w:w="11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各型号</w:t>
            </w:r>
          </w:p>
        </w:tc>
        <w:tc>
          <w:tcPr>
            <w:tcW w:w="4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0</w:t>
            </w:r>
          </w:p>
        </w:tc>
        <w:tc>
          <w:tcPr>
            <w:tcW w:w="4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根</w:t>
            </w:r>
          </w:p>
        </w:tc>
        <w:tc>
          <w:tcPr>
            <w:tcW w:w="65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6.00 </w:t>
            </w:r>
          </w:p>
        </w:tc>
        <w:tc>
          <w:tcPr>
            <w:tcW w:w="85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w:t>
            </w:r>
          </w:p>
        </w:tc>
        <w:tc>
          <w:tcPr>
            <w:tcW w:w="95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一次性使用胶乳胆管引流管</w:t>
            </w:r>
          </w:p>
        </w:tc>
        <w:tc>
          <w:tcPr>
            <w:tcW w:w="11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各型号</w:t>
            </w:r>
          </w:p>
        </w:tc>
        <w:tc>
          <w:tcPr>
            <w:tcW w:w="4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360</w:t>
            </w:r>
          </w:p>
        </w:tc>
        <w:tc>
          <w:tcPr>
            <w:tcW w:w="4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根</w:t>
            </w:r>
          </w:p>
        </w:tc>
        <w:tc>
          <w:tcPr>
            <w:tcW w:w="65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8.50 </w:t>
            </w:r>
          </w:p>
        </w:tc>
        <w:tc>
          <w:tcPr>
            <w:tcW w:w="85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w:t>
            </w:r>
          </w:p>
        </w:tc>
        <w:tc>
          <w:tcPr>
            <w:tcW w:w="95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一次性无菌手术单（治疗巾）</w:t>
            </w:r>
          </w:p>
        </w:tc>
        <w:tc>
          <w:tcPr>
            <w:tcW w:w="11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≥70*50cm</w:t>
            </w:r>
          </w:p>
        </w:tc>
        <w:tc>
          <w:tcPr>
            <w:tcW w:w="486"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7199</w:t>
            </w:r>
          </w:p>
        </w:tc>
        <w:tc>
          <w:tcPr>
            <w:tcW w:w="4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张</w:t>
            </w:r>
          </w:p>
        </w:tc>
        <w:tc>
          <w:tcPr>
            <w:tcW w:w="65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1.08 </w:t>
            </w:r>
          </w:p>
        </w:tc>
        <w:tc>
          <w:tcPr>
            <w:tcW w:w="85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w:t>
            </w:r>
          </w:p>
        </w:tc>
        <w:tc>
          <w:tcPr>
            <w:tcW w:w="95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一次性医用垫单</w:t>
            </w:r>
          </w:p>
        </w:tc>
        <w:tc>
          <w:tcPr>
            <w:tcW w:w="11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≥40*50</w:t>
            </w:r>
          </w:p>
        </w:tc>
        <w:tc>
          <w:tcPr>
            <w:tcW w:w="4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14400</w:t>
            </w:r>
          </w:p>
        </w:tc>
        <w:tc>
          <w:tcPr>
            <w:tcW w:w="4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张</w:t>
            </w:r>
          </w:p>
        </w:tc>
        <w:tc>
          <w:tcPr>
            <w:tcW w:w="65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0.46 </w:t>
            </w:r>
          </w:p>
        </w:tc>
        <w:tc>
          <w:tcPr>
            <w:tcW w:w="85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w:t>
            </w:r>
          </w:p>
        </w:tc>
        <w:tc>
          <w:tcPr>
            <w:tcW w:w="95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医用无菌防护套</w:t>
            </w:r>
          </w:p>
        </w:tc>
        <w:tc>
          <w:tcPr>
            <w:tcW w:w="11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≥200cm*14cm</w:t>
            </w:r>
          </w:p>
        </w:tc>
        <w:tc>
          <w:tcPr>
            <w:tcW w:w="4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2304</w:t>
            </w:r>
          </w:p>
        </w:tc>
        <w:tc>
          <w:tcPr>
            <w:tcW w:w="4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只</w:t>
            </w:r>
          </w:p>
        </w:tc>
        <w:tc>
          <w:tcPr>
            <w:tcW w:w="65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6.20 </w:t>
            </w:r>
          </w:p>
        </w:tc>
        <w:tc>
          <w:tcPr>
            <w:tcW w:w="85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8</w:t>
            </w:r>
          </w:p>
        </w:tc>
        <w:tc>
          <w:tcPr>
            <w:tcW w:w="95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一次性使用消融电极</w:t>
            </w:r>
          </w:p>
        </w:tc>
        <w:tc>
          <w:tcPr>
            <w:tcW w:w="11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主要由插头、电极导线、外壳、电极和线路板组成</w:t>
            </w:r>
          </w:p>
        </w:tc>
        <w:tc>
          <w:tcPr>
            <w:tcW w:w="4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2040</w:t>
            </w:r>
          </w:p>
        </w:tc>
        <w:tc>
          <w:tcPr>
            <w:tcW w:w="4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支</w:t>
            </w:r>
          </w:p>
        </w:tc>
        <w:tc>
          <w:tcPr>
            <w:tcW w:w="65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53.53</w:t>
            </w:r>
          </w:p>
        </w:tc>
        <w:tc>
          <w:tcPr>
            <w:tcW w:w="85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9</w:t>
            </w:r>
          </w:p>
        </w:tc>
        <w:tc>
          <w:tcPr>
            <w:tcW w:w="95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消融电极（高频手术电极）</w:t>
            </w:r>
          </w:p>
        </w:tc>
        <w:tc>
          <w:tcPr>
            <w:tcW w:w="11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延长刀150*20</w:t>
            </w:r>
          </w:p>
        </w:tc>
        <w:tc>
          <w:tcPr>
            <w:tcW w:w="4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60</w:t>
            </w:r>
          </w:p>
        </w:tc>
        <w:tc>
          <w:tcPr>
            <w:tcW w:w="4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支</w:t>
            </w:r>
          </w:p>
        </w:tc>
        <w:tc>
          <w:tcPr>
            <w:tcW w:w="65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28.00 </w:t>
            </w:r>
          </w:p>
        </w:tc>
        <w:tc>
          <w:tcPr>
            <w:tcW w:w="85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10</w:t>
            </w:r>
          </w:p>
        </w:tc>
        <w:tc>
          <w:tcPr>
            <w:tcW w:w="95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医用手术薄膜</w:t>
            </w:r>
          </w:p>
        </w:tc>
        <w:tc>
          <w:tcPr>
            <w:tcW w:w="11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≥45cm*30cm</w:t>
            </w:r>
          </w:p>
        </w:tc>
        <w:tc>
          <w:tcPr>
            <w:tcW w:w="4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6480</w:t>
            </w:r>
          </w:p>
        </w:tc>
        <w:tc>
          <w:tcPr>
            <w:tcW w:w="4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片</w:t>
            </w:r>
          </w:p>
        </w:tc>
        <w:tc>
          <w:tcPr>
            <w:tcW w:w="65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8.51 </w:t>
            </w:r>
          </w:p>
        </w:tc>
        <w:tc>
          <w:tcPr>
            <w:tcW w:w="85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w:t>
            </w:r>
          </w:p>
        </w:tc>
        <w:tc>
          <w:tcPr>
            <w:tcW w:w="95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一次性使用肛门镜</w:t>
            </w:r>
          </w:p>
        </w:tc>
        <w:tc>
          <w:tcPr>
            <w:tcW w:w="11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大号</w:t>
            </w:r>
          </w:p>
        </w:tc>
        <w:tc>
          <w:tcPr>
            <w:tcW w:w="4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960</w:t>
            </w:r>
          </w:p>
        </w:tc>
        <w:tc>
          <w:tcPr>
            <w:tcW w:w="4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个</w:t>
            </w:r>
          </w:p>
        </w:tc>
        <w:tc>
          <w:tcPr>
            <w:tcW w:w="65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1.56 </w:t>
            </w:r>
          </w:p>
        </w:tc>
        <w:tc>
          <w:tcPr>
            <w:tcW w:w="85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12</w:t>
            </w:r>
          </w:p>
        </w:tc>
        <w:tc>
          <w:tcPr>
            <w:tcW w:w="95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一次性使用胸穿包</w:t>
            </w:r>
          </w:p>
        </w:tc>
        <w:tc>
          <w:tcPr>
            <w:tcW w:w="11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w:t>
            </w:r>
          </w:p>
        </w:tc>
        <w:tc>
          <w:tcPr>
            <w:tcW w:w="4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48</w:t>
            </w:r>
          </w:p>
        </w:tc>
        <w:tc>
          <w:tcPr>
            <w:tcW w:w="4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包</w:t>
            </w:r>
          </w:p>
        </w:tc>
        <w:tc>
          <w:tcPr>
            <w:tcW w:w="65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38.40 </w:t>
            </w:r>
          </w:p>
        </w:tc>
        <w:tc>
          <w:tcPr>
            <w:tcW w:w="85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13</w:t>
            </w:r>
          </w:p>
        </w:tc>
        <w:tc>
          <w:tcPr>
            <w:tcW w:w="95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一次性使用引流袋（带锁）</w:t>
            </w:r>
          </w:p>
        </w:tc>
        <w:tc>
          <w:tcPr>
            <w:tcW w:w="11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1000ml</w:t>
            </w:r>
          </w:p>
        </w:tc>
        <w:tc>
          <w:tcPr>
            <w:tcW w:w="4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7800</w:t>
            </w:r>
          </w:p>
        </w:tc>
        <w:tc>
          <w:tcPr>
            <w:tcW w:w="4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个</w:t>
            </w:r>
          </w:p>
        </w:tc>
        <w:tc>
          <w:tcPr>
            <w:tcW w:w="65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2.80 </w:t>
            </w:r>
          </w:p>
        </w:tc>
        <w:tc>
          <w:tcPr>
            <w:tcW w:w="85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14</w:t>
            </w:r>
          </w:p>
        </w:tc>
        <w:tc>
          <w:tcPr>
            <w:tcW w:w="95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微量泵延长管</w:t>
            </w:r>
          </w:p>
        </w:tc>
        <w:tc>
          <w:tcPr>
            <w:tcW w:w="11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普通型-（20-30*1200-1500）</w:t>
            </w:r>
          </w:p>
        </w:tc>
        <w:tc>
          <w:tcPr>
            <w:tcW w:w="4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16128</w:t>
            </w:r>
          </w:p>
        </w:tc>
        <w:tc>
          <w:tcPr>
            <w:tcW w:w="4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支</w:t>
            </w:r>
          </w:p>
        </w:tc>
        <w:tc>
          <w:tcPr>
            <w:tcW w:w="65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3.20 </w:t>
            </w:r>
          </w:p>
        </w:tc>
        <w:tc>
          <w:tcPr>
            <w:tcW w:w="85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15</w:t>
            </w:r>
          </w:p>
        </w:tc>
        <w:tc>
          <w:tcPr>
            <w:tcW w:w="95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吸氧面罩</w:t>
            </w:r>
          </w:p>
        </w:tc>
        <w:tc>
          <w:tcPr>
            <w:tcW w:w="11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成人</w:t>
            </w:r>
          </w:p>
        </w:tc>
        <w:tc>
          <w:tcPr>
            <w:tcW w:w="4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936</w:t>
            </w:r>
          </w:p>
        </w:tc>
        <w:tc>
          <w:tcPr>
            <w:tcW w:w="4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个</w:t>
            </w:r>
          </w:p>
        </w:tc>
        <w:tc>
          <w:tcPr>
            <w:tcW w:w="65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9.00 </w:t>
            </w:r>
          </w:p>
        </w:tc>
        <w:tc>
          <w:tcPr>
            <w:tcW w:w="85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16</w:t>
            </w:r>
          </w:p>
        </w:tc>
        <w:tc>
          <w:tcPr>
            <w:tcW w:w="95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吸氧面罩</w:t>
            </w:r>
          </w:p>
        </w:tc>
        <w:tc>
          <w:tcPr>
            <w:tcW w:w="11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儿童</w:t>
            </w:r>
          </w:p>
        </w:tc>
        <w:tc>
          <w:tcPr>
            <w:tcW w:w="4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144</w:t>
            </w:r>
          </w:p>
        </w:tc>
        <w:tc>
          <w:tcPr>
            <w:tcW w:w="4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个</w:t>
            </w:r>
          </w:p>
        </w:tc>
        <w:tc>
          <w:tcPr>
            <w:tcW w:w="65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9.00 </w:t>
            </w:r>
          </w:p>
        </w:tc>
        <w:tc>
          <w:tcPr>
            <w:tcW w:w="85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17</w:t>
            </w:r>
          </w:p>
        </w:tc>
        <w:tc>
          <w:tcPr>
            <w:tcW w:w="95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一次性使用麻醉面罩</w:t>
            </w:r>
          </w:p>
        </w:tc>
        <w:tc>
          <w:tcPr>
            <w:tcW w:w="11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各型号</w:t>
            </w:r>
          </w:p>
        </w:tc>
        <w:tc>
          <w:tcPr>
            <w:tcW w:w="4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24</w:t>
            </w:r>
          </w:p>
        </w:tc>
        <w:tc>
          <w:tcPr>
            <w:tcW w:w="4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个</w:t>
            </w:r>
          </w:p>
        </w:tc>
        <w:tc>
          <w:tcPr>
            <w:tcW w:w="65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13.00 </w:t>
            </w:r>
          </w:p>
        </w:tc>
        <w:tc>
          <w:tcPr>
            <w:tcW w:w="85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39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18</w:t>
            </w:r>
          </w:p>
        </w:tc>
        <w:tc>
          <w:tcPr>
            <w:tcW w:w="95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可控式吸痰管</w:t>
            </w:r>
          </w:p>
        </w:tc>
        <w:tc>
          <w:tcPr>
            <w:tcW w:w="11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8F</w:t>
            </w:r>
          </w:p>
        </w:tc>
        <w:tc>
          <w:tcPr>
            <w:tcW w:w="4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312</w:t>
            </w:r>
          </w:p>
        </w:tc>
        <w:tc>
          <w:tcPr>
            <w:tcW w:w="4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个</w:t>
            </w:r>
          </w:p>
        </w:tc>
        <w:tc>
          <w:tcPr>
            <w:tcW w:w="65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2.20 </w:t>
            </w:r>
          </w:p>
        </w:tc>
        <w:tc>
          <w:tcPr>
            <w:tcW w:w="85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19</w:t>
            </w:r>
          </w:p>
        </w:tc>
        <w:tc>
          <w:tcPr>
            <w:tcW w:w="95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可控式吸痰管</w:t>
            </w:r>
          </w:p>
        </w:tc>
        <w:tc>
          <w:tcPr>
            <w:tcW w:w="11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10F</w:t>
            </w:r>
          </w:p>
        </w:tc>
        <w:tc>
          <w:tcPr>
            <w:tcW w:w="4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72</w:t>
            </w:r>
          </w:p>
        </w:tc>
        <w:tc>
          <w:tcPr>
            <w:tcW w:w="4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个</w:t>
            </w:r>
          </w:p>
        </w:tc>
        <w:tc>
          <w:tcPr>
            <w:tcW w:w="65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2.20 </w:t>
            </w:r>
          </w:p>
        </w:tc>
        <w:tc>
          <w:tcPr>
            <w:tcW w:w="85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20</w:t>
            </w:r>
          </w:p>
        </w:tc>
        <w:tc>
          <w:tcPr>
            <w:tcW w:w="95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一次性使用吸痰管</w:t>
            </w:r>
          </w:p>
        </w:tc>
        <w:tc>
          <w:tcPr>
            <w:tcW w:w="11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12#</w:t>
            </w:r>
          </w:p>
        </w:tc>
        <w:tc>
          <w:tcPr>
            <w:tcW w:w="4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1920</w:t>
            </w:r>
          </w:p>
        </w:tc>
        <w:tc>
          <w:tcPr>
            <w:tcW w:w="4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支</w:t>
            </w:r>
          </w:p>
        </w:tc>
        <w:tc>
          <w:tcPr>
            <w:tcW w:w="65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0.90 </w:t>
            </w:r>
          </w:p>
        </w:tc>
        <w:tc>
          <w:tcPr>
            <w:tcW w:w="85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21</w:t>
            </w:r>
          </w:p>
        </w:tc>
        <w:tc>
          <w:tcPr>
            <w:tcW w:w="95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一次性使用胃管</w:t>
            </w:r>
          </w:p>
        </w:tc>
        <w:tc>
          <w:tcPr>
            <w:tcW w:w="11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16# 5.33mm</w:t>
            </w:r>
          </w:p>
        </w:tc>
        <w:tc>
          <w:tcPr>
            <w:tcW w:w="4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204</w:t>
            </w:r>
          </w:p>
        </w:tc>
        <w:tc>
          <w:tcPr>
            <w:tcW w:w="4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根</w:t>
            </w:r>
          </w:p>
        </w:tc>
        <w:tc>
          <w:tcPr>
            <w:tcW w:w="65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3.70 </w:t>
            </w:r>
          </w:p>
        </w:tc>
        <w:tc>
          <w:tcPr>
            <w:tcW w:w="85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22</w:t>
            </w:r>
          </w:p>
        </w:tc>
        <w:tc>
          <w:tcPr>
            <w:tcW w:w="95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一次性使用胃管</w:t>
            </w:r>
          </w:p>
        </w:tc>
        <w:tc>
          <w:tcPr>
            <w:tcW w:w="11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24# 8.00mm</w:t>
            </w:r>
          </w:p>
        </w:tc>
        <w:tc>
          <w:tcPr>
            <w:tcW w:w="4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48</w:t>
            </w:r>
          </w:p>
        </w:tc>
        <w:tc>
          <w:tcPr>
            <w:tcW w:w="4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根</w:t>
            </w:r>
          </w:p>
        </w:tc>
        <w:tc>
          <w:tcPr>
            <w:tcW w:w="65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6.00 </w:t>
            </w:r>
          </w:p>
        </w:tc>
        <w:tc>
          <w:tcPr>
            <w:tcW w:w="85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23</w:t>
            </w:r>
          </w:p>
        </w:tc>
        <w:tc>
          <w:tcPr>
            <w:tcW w:w="95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一次性使用胃管</w:t>
            </w:r>
          </w:p>
        </w:tc>
        <w:tc>
          <w:tcPr>
            <w:tcW w:w="11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16F  含导丝</w:t>
            </w:r>
          </w:p>
        </w:tc>
        <w:tc>
          <w:tcPr>
            <w:tcW w:w="4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24</w:t>
            </w:r>
          </w:p>
        </w:tc>
        <w:tc>
          <w:tcPr>
            <w:tcW w:w="4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根</w:t>
            </w:r>
          </w:p>
        </w:tc>
        <w:tc>
          <w:tcPr>
            <w:tcW w:w="65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70.0000 </w:t>
            </w:r>
          </w:p>
        </w:tc>
        <w:tc>
          <w:tcPr>
            <w:tcW w:w="85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24</w:t>
            </w:r>
          </w:p>
        </w:tc>
        <w:tc>
          <w:tcPr>
            <w:tcW w:w="95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一次性使用导尿包</w:t>
            </w:r>
          </w:p>
        </w:tc>
        <w:tc>
          <w:tcPr>
            <w:tcW w:w="11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16Fr 5.3mm</w:t>
            </w:r>
          </w:p>
        </w:tc>
        <w:tc>
          <w:tcPr>
            <w:tcW w:w="4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1320</w:t>
            </w:r>
          </w:p>
        </w:tc>
        <w:tc>
          <w:tcPr>
            <w:tcW w:w="4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个</w:t>
            </w:r>
          </w:p>
        </w:tc>
        <w:tc>
          <w:tcPr>
            <w:tcW w:w="65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21</w:t>
            </w:r>
          </w:p>
        </w:tc>
        <w:tc>
          <w:tcPr>
            <w:tcW w:w="85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25</w:t>
            </w:r>
          </w:p>
        </w:tc>
        <w:tc>
          <w:tcPr>
            <w:tcW w:w="95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一次性使用备皮刀</w:t>
            </w:r>
          </w:p>
        </w:tc>
        <w:tc>
          <w:tcPr>
            <w:tcW w:w="11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单刃、双刃</w:t>
            </w:r>
          </w:p>
        </w:tc>
        <w:tc>
          <w:tcPr>
            <w:tcW w:w="4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2760</w:t>
            </w:r>
          </w:p>
        </w:tc>
        <w:tc>
          <w:tcPr>
            <w:tcW w:w="4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把</w:t>
            </w:r>
          </w:p>
        </w:tc>
        <w:tc>
          <w:tcPr>
            <w:tcW w:w="65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1.12 </w:t>
            </w:r>
          </w:p>
        </w:tc>
        <w:tc>
          <w:tcPr>
            <w:tcW w:w="85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26</w:t>
            </w:r>
          </w:p>
        </w:tc>
        <w:tc>
          <w:tcPr>
            <w:tcW w:w="95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一次性使用清创缝合包</w:t>
            </w:r>
          </w:p>
        </w:tc>
        <w:tc>
          <w:tcPr>
            <w:tcW w:w="11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一次性使用清创缝合包基本配置由非吸收性外科缝线、医用缝合针(圆针、三角针); 选配由脱脂纱布片、洞巾、一次性使用医用橡胶检查手套/一次性使用薄膜手套、一次性使用塑料镊子、医用棉球、持针器、海绵刷、胶带、治疗巾、碘伏棉球、换药盒和托盘组成。</w:t>
            </w:r>
          </w:p>
        </w:tc>
        <w:tc>
          <w:tcPr>
            <w:tcW w:w="4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240</w:t>
            </w:r>
          </w:p>
        </w:tc>
        <w:tc>
          <w:tcPr>
            <w:tcW w:w="4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个</w:t>
            </w:r>
          </w:p>
        </w:tc>
        <w:tc>
          <w:tcPr>
            <w:tcW w:w="65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5.00 </w:t>
            </w:r>
          </w:p>
        </w:tc>
        <w:tc>
          <w:tcPr>
            <w:tcW w:w="85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27</w:t>
            </w:r>
          </w:p>
        </w:tc>
        <w:tc>
          <w:tcPr>
            <w:tcW w:w="95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一次性使用换药包</w:t>
            </w:r>
          </w:p>
        </w:tc>
        <w:tc>
          <w:tcPr>
            <w:tcW w:w="11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由镊子，纱布，检查手套，手术洞巾，治疗巾，碘伏消毒棉球，托盘组成；</w:t>
            </w:r>
          </w:p>
        </w:tc>
        <w:tc>
          <w:tcPr>
            <w:tcW w:w="4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6480</w:t>
            </w:r>
          </w:p>
        </w:tc>
        <w:tc>
          <w:tcPr>
            <w:tcW w:w="4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套</w:t>
            </w:r>
          </w:p>
        </w:tc>
        <w:tc>
          <w:tcPr>
            <w:tcW w:w="65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5.50 </w:t>
            </w:r>
          </w:p>
        </w:tc>
        <w:tc>
          <w:tcPr>
            <w:tcW w:w="85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28</w:t>
            </w:r>
          </w:p>
        </w:tc>
        <w:tc>
          <w:tcPr>
            <w:tcW w:w="95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医用无菌敷料</w:t>
            </w:r>
          </w:p>
        </w:tc>
        <w:tc>
          <w:tcPr>
            <w:tcW w:w="11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≥10cm*12cm</w:t>
            </w:r>
          </w:p>
        </w:tc>
        <w:tc>
          <w:tcPr>
            <w:tcW w:w="4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360</w:t>
            </w:r>
          </w:p>
        </w:tc>
        <w:tc>
          <w:tcPr>
            <w:tcW w:w="4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张</w:t>
            </w:r>
          </w:p>
        </w:tc>
        <w:tc>
          <w:tcPr>
            <w:tcW w:w="65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3.30 </w:t>
            </w:r>
          </w:p>
        </w:tc>
        <w:tc>
          <w:tcPr>
            <w:tcW w:w="85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29</w:t>
            </w:r>
          </w:p>
        </w:tc>
        <w:tc>
          <w:tcPr>
            <w:tcW w:w="95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外用壳聚糖抗菌液</w:t>
            </w:r>
          </w:p>
        </w:tc>
        <w:tc>
          <w:tcPr>
            <w:tcW w:w="11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≥60ml</w:t>
            </w:r>
          </w:p>
        </w:tc>
        <w:tc>
          <w:tcPr>
            <w:tcW w:w="4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0</w:t>
            </w:r>
          </w:p>
        </w:tc>
        <w:tc>
          <w:tcPr>
            <w:tcW w:w="4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瓶</w:t>
            </w:r>
          </w:p>
        </w:tc>
        <w:tc>
          <w:tcPr>
            <w:tcW w:w="65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72.00 </w:t>
            </w:r>
          </w:p>
        </w:tc>
        <w:tc>
          <w:tcPr>
            <w:tcW w:w="85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30</w:t>
            </w:r>
          </w:p>
        </w:tc>
        <w:tc>
          <w:tcPr>
            <w:tcW w:w="95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呼吸面罩及管路配件系统（适配瑞思曼呼吸机）</w:t>
            </w:r>
          </w:p>
        </w:tc>
        <w:tc>
          <w:tcPr>
            <w:tcW w:w="11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大/中/小</w:t>
            </w:r>
          </w:p>
        </w:tc>
        <w:tc>
          <w:tcPr>
            <w:tcW w:w="4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40</w:t>
            </w:r>
          </w:p>
        </w:tc>
        <w:tc>
          <w:tcPr>
            <w:tcW w:w="4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个</w:t>
            </w:r>
          </w:p>
        </w:tc>
        <w:tc>
          <w:tcPr>
            <w:tcW w:w="65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400.00 </w:t>
            </w:r>
          </w:p>
        </w:tc>
        <w:tc>
          <w:tcPr>
            <w:tcW w:w="85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bCs/>
                <w:color w:val="auto"/>
                <w:kern w:val="0"/>
                <w:sz w:val="24"/>
                <w:szCs w:val="22"/>
                <w:highlight w:val="none"/>
                <w:lang w:val="en-US" w:eastAsia="zh-CN"/>
              </w:rPr>
              <w:t>★</w:t>
            </w:r>
            <w:r>
              <w:rPr>
                <w:rFonts w:hint="eastAsia" w:ascii="宋体" w:hAnsi="宋体" w:eastAsia="宋体" w:cs="宋体"/>
                <w:color w:val="auto"/>
                <w:kern w:val="0"/>
                <w:sz w:val="21"/>
                <w:szCs w:val="21"/>
                <w:highlight w:val="none"/>
                <w:lang w:val="en-US" w:eastAsia="zh-CN" w:bidi="ar-SA"/>
              </w:rPr>
              <w:t>31</w:t>
            </w:r>
          </w:p>
        </w:tc>
        <w:tc>
          <w:tcPr>
            <w:tcW w:w="95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一次性使用吸氧管(带无菌湿化瓶）</w:t>
            </w:r>
          </w:p>
        </w:tc>
        <w:tc>
          <w:tcPr>
            <w:tcW w:w="11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≥200mL</w:t>
            </w:r>
          </w:p>
        </w:tc>
        <w:tc>
          <w:tcPr>
            <w:tcW w:w="4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11660</w:t>
            </w:r>
          </w:p>
        </w:tc>
        <w:tc>
          <w:tcPr>
            <w:tcW w:w="4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套</w:t>
            </w:r>
          </w:p>
        </w:tc>
        <w:tc>
          <w:tcPr>
            <w:tcW w:w="65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28.00 </w:t>
            </w:r>
          </w:p>
        </w:tc>
        <w:tc>
          <w:tcPr>
            <w:tcW w:w="85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32</w:t>
            </w:r>
          </w:p>
        </w:tc>
        <w:tc>
          <w:tcPr>
            <w:tcW w:w="95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一次性冲洗管路</w:t>
            </w:r>
          </w:p>
        </w:tc>
        <w:tc>
          <w:tcPr>
            <w:tcW w:w="1186"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由针头保护套、插瓶针、输液管、止流夹、三通、滴斗、流量调节器、排液管、冲洗管接口、接口保护、连接软管组成</w:t>
            </w:r>
          </w:p>
        </w:tc>
        <w:tc>
          <w:tcPr>
            <w:tcW w:w="4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1200</w:t>
            </w:r>
          </w:p>
        </w:tc>
        <w:tc>
          <w:tcPr>
            <w:tcW w:w="4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支</w:t>
            </w:r>
          </w:p>
        </w:tc>
        <w:tc>
          <w:tcPr>
            <w:tcW w:w="65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17.00</w:t>
            </w:r>
          </w:p>
        </w:tc>
        <w:tc>
          <w:tcPr>
            <w:tcW w:w="85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33</w:t>
            </w:r>
          </w:p>
        </w:tc>
        <w:tc>
          <w:tcPr>
            <w:tcW w:w="95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一次性使用呼吸机管路无创呼吸型内壁光滑管1.6m</w:t>
            </w:r>
          </w:p>
        </w:tc>
        <w:tc>
          <w:tcPr>
            <w:tcW w:w="11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无创呼吸型,内壁光滑管1.6m</w:t>
            </w:r>
          </w:p>
        </w:tc>
        <w:tc>
          <w:tcPr>
            <w:tcW w:w="4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260</w:t>
            </w:r>
          </w:p>
        </w:tc>
        <w:tc>
          <w:tcPr>
            <w:tcW w:w="4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根</w:t>
            </w:r>
          </w:p>
        </w:tc>
        <w:tc>
          <w:tcPr>
            <w:tcW w:w="65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120.00</w:t>
            </w:r>
          </w:p>
        </w:tc>
        <w:tc>
          <w:tcPr>
            <w:tcW w:w="85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34</w:t>
            </w:r>
          </w:p>
        </w:tc>
        <w:tc>
          <w:tcPr>
            <w:tcW w:w="95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一次性使用胰岛素泵输液器</w:t>
            </w:r>
          </w:p>
        </w:tc>
        <w:tc>
          <w:tcPr>
            <w:tcW w:w="11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与胰岛素泵储药器配套使用</w:t>
            </w:r>
          </w:p>
        </w:tc>
        <w:tc>
          <w:tcPr>
            <w:tcW w:w="4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0</w:t>
            </w:r>
          </w:p>
        </w:tc>
        <w:tc>
          <w:tcPr>
            <w:tcW w:w="4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套</w:t>
            </w:r>
          </w:p>
        </w:tc>
        <w:tc>
          <w:tcPr>
            <w:tcW w:w="65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85.00 </w:t>
            </w:r>
          </w:p>
        </w:tc>
        <w:tc>
          <w:tcPr>
            <w:tcW w:w="85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35</w:t>
            </w:r>
          </w:p>
        </w:tc>
        <w:tc>
          <w:tcPr>
            <w:tcW w:w="95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一次性使用胰岛素泵储药器</w:t>
            </w:r>
          </w:p>
        </w:tc>
        <w:tc>
          <w:tcPr>
            <w:tcW w:w="11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与胰岛素泵输液器配套使用</w:t>
            </w:r>
          </w:p>
        </w:tc>
        <w:tc>
          <w:tcPr>
            <w:tcW w:w="4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0</w:t>
            </w:r>
          </w:p>
        </w:tc>
        <w:tc>
          <w:tcPr>
            <w:tcW w:w="4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套</w:t>
            </w:r>
          </w:p>
        </w:tc>
        <w:tc>
          <w:tcPr>
            <w:tcW w:w="65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33.00 </w:t>
            </w:r>
          </w:p>
        </w:tc>
        <w:tc>
          <w:tcPr>
            <w:tcW w:w="85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36</w:t>
            </w:r>
          </w:p>
        </w:tc>
        <w:tc>
          <w:tcPr>
            <w:tcW w:w="95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一次性使用痰液收集器</w:t>
            </w:r>
          </w:p>
        </w:tc>
        <w:tc>
          <w:tcPr>
            <w:tcW w:w="11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16Fr 25ml</w:t>
            </w:r>
          </w:p>
        </w:tc>
        <w:tc>
          <w:tcPr>
            <w:tcW w:w="4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540</w:t>
            </w:r>
          </w:p>
        </w:tc>
        <w:tc>
          <w:tcPr>
            <w:tcW w:w="4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根</w:t>
            </w:r>
          </w:p>
        </w:tc>
        <w:tc>
          <w:tcPr>
            <w:tcW w:w="65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9.00</w:t>
            </w:r>
          </w:p>
        </w:tc>
        <w:tc>
          <w:tcPr>
            <w:tcW w:w="85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37</w:t>
            </w:r>
          </w:p>
        </w:tc>
        <w:tc>
          <w:tcPr>
            <w:tcW w:w="95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一次性使用全麻包</w:t>
            </w:r>
          </w:p>
        </w:tc>
        <w:tc>
          <w:tcPr>
            <w:tcW w:w="11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7.0mm气管切开包</w:t>
            </w:r>
          </w:p>
        </w:tc>
        <w:tc>
          <w:tcPr>
            <w:tcW w:w="48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24</w:t>
            </w:r>
          </w:p>
        </w:tc>
        <w:tc>
          <w:tcPr>
            <w:tcW w:w="4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个</w:t>
            </w:r>
          </w:p>
        </w:tc>
        <w:tc>
          <w:tcPr>
            <w:tcW w:w="65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129.00</w:t>
            </w:r>
          </w:p>
        </w:tc>
        <w:tc>
          <w:tcPr>
            <w:tcW w:w="851"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bl>
    <w:p>
      <w:pPr>
        <w:autoSpaceDE w:val="0"/>
        <w:autoSpaceDN w:val="0"/>
        <w:bidi w:val="0"/>
        <w:spacing w:line="360" w:lineRule="auto"/>
        <w:jc w:val="left"/>
        <w:rPr>
          <w:rFonts w:hint="eastAsia" w:ascii="宋体" w:hAnsi="宋体" w:eastAsia="宋体" w:cs="宋体"/>
          <w:color w:val="auto"/>
          <w:kern w:val="0"/>
          <w:sz w:val="24"/>
          <w:szCs w:val="22"/>
          <w:highlight w:val="none"/>
          <w:lang w:val="en-US" w:eastAsia="zh-CN"/>
        </w:rPr>
      </w:pPr>
      <w:r>
        <w:rPr>
          <w:rFonts w:hint="eastAsia" w:ascii="宋体" w:hAnsi="宋体" w:eastAsia="宋体" w:cs="宋体"/>
          <w:color w:val="auto"/>
          <w:kern w:val="0"/>
          <w:sz w:val="24"/>
          <w:szCs w:val="22"/>
          <w:highlight w:val="none"/>
          <w:lang w:val="en-US" w:eastAsia="zh-CN"/>
        </w:rPr>
        <w:t>03包普通耗材类采购清单及技术参数：</w:t>
      </w:r>
    </w:p>
    <w:tbl>
      <w:tblPr>
        <w:tblStyle w:val="2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1688"/>
        <w:gridCol w:w="2785"/>
        <w:gridCol w:w="837"/>
        <w:gridCol w:w="837"/>
        <w:gridCol w:w="1316"/>
        <w:gridCol w:w="1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b/>
                <w:bCs/>
                <w:color w:val="auto"/>
                <w:kern w:val="0"/>
                <w:sz w:val="24"/>
                <w:szCs w:val="22"/>
                <w:highlight w:val="none"/>
                <w:vertAlign w:val="baseline"/>
                <w:lang w:val="en-US" w:eastAsia="zh-CN"/>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84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b/>
                <w:bCs/>
                <w:color w:val="auto"/>
                <w:kern w:val="0"/>
                <w:sz w:val="24"/>
                <w:szCs w:val="22"/>
                <w:highlight w:val="none"/>
                <w:vertAlign w:val="baseline"/>
                <w:lang w:val="en-US" w:eastAsia="zh-CN"/>
              </w:rPr>
            </w:pPr>
            <w:r>
              <w:rPr>
                <w:rFonts w:hint="eastAsia" w:ascii="宋体" w:hAnsi="宋体" w:eastAsia="宋体" w:cs="宋体"/>
                <w:b/>
                <w:bCs/>
                <w:i w:val="0"/>
                <w:iCs w:val="0"/>
                <w:color w:val="auto"/>
                <w:kern w:val="0"/>
                <w:sz w:val="22"/>
                <w:szCs w:val="22"/>
                <w:highlight w:val="none"/>
                <w:u w:val="none"/>
                <w:lang w:val="en-US" w:eastAsia="zh-CN" w:bidi="ar"/>
              </w:rPr>
              <w:t>产品名称</w:t>
            </w:r>
          </w:p>
        </w:tc>
        <w:tc>
          <w:tcPr>
            <w:tcW w:w="1397"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参数</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b/>
                <w:bCs/>
                <w:color w:val="auto"/>
                <w:kern w:val="0"/>
                <w:sz w:val="24"/>
                <w:szCs w:val="22"/>
                <w:highlight w:val="none"/>
                <w:vertAlign w:val="baseline"/>
                <w:lang w:val="en-US" w:eastAsia="zh-CN"/>
              </w:rPr>
            </w:pPr>
            <w:r>
              <w:rPr>
                <w:rFonts w:hint="eastAsia" w:ascii="宋体" w:hAnsi="宋体" w:eastAsia="宋体" w:cs="宋体"/>
                <w:b/>
                <w:bCs/>
                <w:i w:val="0"/>
                <w:iCs w:val="0"/>
                <w:color w:val="auto"/>
                <w:kern w:val="0"/>
                <w:sz w:val="22"/>
                <w:szCs w:val="22"/>
                <w:highlight w:val="none"/>
                <w:u w:val="none"/>
                <w:lang w:val="en-US" w:eastAsia="zh-CN" w:bidi="ar"/>
              </w:rPr>
              <w:t>数量</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单位</w:t>
            </w:r>
          </w:p>
        </w:tc>
        <w:tc>
          <w:tcPr>
            <w:tcW w:w="660"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最高单价限价（元）</w:t>
            </w:r>
          </w:p>
        </w:tc>
        <w:tc>
          <w:tcPr>
            <w:tcW w:w="848"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是否允许进口产品参与投标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w:t>
            </w:r>
          </w:p>
        </w:tc>
        <w:tc>
          <w:tcPr>
            <w:tcW w:w="84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止血海绵</w:t>
            </w:r>
          </w:p>
        </w:tc>
        <w:tc>
          <w:tcPr>
            <w:tcW w:w="139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≥8.0*2.5*1.5cm</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0</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包</w:t>
            </w:r>
          </w:p>
        </w:tc>
        <w:tc>
          <w:tcPr>
            <w:tcW w:w="66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3.80 </w:t>
            </w:r>
          </w:p>
        </w:tc>
        <w:tc>
          <w:tcPr>
            <w:tcW w:w="848"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404"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w:t>
            </w:r>
          </w:p>
        </w:tc>
        <w:tc>
          <w:tcPr>
            <w:tcW w:w="84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吸收性明胶海绵</w:t>
            </w:r>
          </w:p>
        </w:tc>
        <w:tc>
          <w:tcPr>
            <w:tcW w:w="139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≥60*20*5mm</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480</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片</w:t>
            </w:r>
          </w:p>
        </w:tc>
        <w:tc>
          <w:tcPr>
            <w:tcW w:w="66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9.5000 </w:t>
            </w:r>
          </w:p>
        </w:tc>
        <w:tc>
          <w:tcPr>
            <w:tcW w:w="84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w:t>
            </w:r>
          </w:p>
        </w:tc>
        <w:tc>
          <w:tcPr>
            <w:tcW w:w="84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金属骨针(克氏针）</w:t>
            </w:r>
          </w:p>
        </w:tc>
        <w:tc>
          <w:tcPr>
            <w:tcW w:w="139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克氏针/ 锥三角刃 φ（0.8-4.5）*（230-300）无菌</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1272</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支</w:t>
            </w:r>
          </w:p>
        </w:tc>
        <w:tc>
          <w:tcPr>
            <w:tcW w:w="66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43.00 </w:t>
            </w:r>
          </w:p>
        </w:tc>
        <w:tc>
          <w:tcPr>
            <w:tcW w:w="84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w:t>
            </w:r>
          </w:p>
        </w:tc>
        <w:tc>
          <w:tcPr>
            <w:tcW w:w="84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颅脑手术膜</w:t>
            </w:r>
          </w:p>
        </w:tc>
        <w:tc>
          <w:tcPr>
            <w:tcW w:w="139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 ≥45cm*45cm</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855</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片</w:t>
            </w:r>
          </w:p>
        </w:tc>
        <w:tc>
          <w:tcPr>
            <w:tcW w:w="66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9.00 </w:t>
            </w:r>
          </w:p>
        </w:tc>
        <w:tc>
          <w:tcPr>
            <w:tcW w:w="84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w:t>
            </w:r>
          </w:p>
        </w:tc>
        <w:tc>
          <w:tcPr>
            <w:tcW w:w="84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一次性使用肝素帽</w:t>
            </w:r>
          </w:p>
        </w:tc>
        <w:tc>
          <w:tcPr>
            <w:tcW w:w="139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胶垫</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780</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支</w:t>
            </w:r>
          </w:p>
        </w:tc>
        <w:tc>
          <w:tcPr>
            <w:tcW w:w="66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1.40 </w:t>
            </w:r>
          </w:p>
        </w:tc>
        <w:tc>
          <w:tcPr>
            <w:tcW w:w="84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w:t>
            </w:r>
          </w:p>
        </w:tc>
        <w:tc>
          <w:tcPr>
            <w:tcW w:w="84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医用凡士林纱布</w:t>
            </w:r>
          </w:p>
        </w:tc>
        <w:tc>
          <w:tcPr>
            <w:tcW w:w="139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≥10cm*10cm</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300</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片</w:t>
            </w:r>
          </w:p>
        </w:tc>
        <w:tc>
          <w:tcPr>
            <w:tcW w:w="66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1.86 </w:t>
            </w:r>
          </w:p>
        </w:tc>
        <w:tc>
          <w:tcPr>
            <w:tcW w:w="84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w:t>
            </w:r>
          </w:p>
        </w:tc>
        <w:tc>
          <w:tcPr>
            <w:tcW w:w="84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医用凡士林纱布</w:t>
            </w:r>
          </w:p>
        </w:tc>
        <w:tc>
          <w:tcPr>
            <w:tcW w:w="139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≥15cm*20cm</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0</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片</w:t>
            </w:r>
          </w:p>
        </w:tc>
        <w:tc>
          <w:tcPr>
            <w:tcW w:w="66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3.00 </w:t>
            </w:r>
          </w:p>
        </w:tc>
        <w:tc>
          <w:tcPr>
            <w:tcW w:w="84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8</w:t>
            </w:r>
          </w:p>
        </w:tc>
        <w:tc>
          <w:tcPr>
            <w:tcW w:w="84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一次性使用乳胶胃管</w:t>
            </w:r>
          </w:p>
        </w:tc>
        <w:tc>
          <w:tcPr>
            <w:tcW w:w="139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16#</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87</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根</w:t>
            </w:r>
          </w:p>
        </w:tc>
        <w:tc>
          <w:tcPr>
            <w:tcW w:w="66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16.80 </w:t>
            </w:r>
          </w:p>
        </w:tc>
        <w:tc>
          <w:tcPr>
            <w:tcW w:w="84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9</w:t>
            </w:r>
          </w:p>
        </w:tc>
        <w:tc>
          <w:tcPr>
            <w:tcW w:w="84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随弃式中性电极</w:t>
            </w:r>
          </w:p>
        </w:tc>
        <w:tc>
          <w:tcPr>
            <w:tcW w:w="139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成人</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360</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张</w:t>
            </w:r>
          </w:p>
        </w:tc>
        <w:tc>
          <w:tcPr>
            <w:tcW w:w="66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12.00 </w:t>
            </w:r>
          </w:p>
        </w:tc>
        <w:tc>
          <w:tcPr>
            <w:tcW w:w="84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10</w:t>
            </w:r>
          </w:p>
        </w:tc>
        <w:tc>
          <w:tcPr>
            <w:tcW w:w="84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随弃式中性电极</w:t>
            </w:r>
          </w:p>
        </w:tc>
        <w:tc>
          <w:tcPr>
            <w:tcW w:w="139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儿童</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0</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张</w:t>
            </w:r>
          </w:p>
        </w:tc>
        <w:tc>
          <w:tcPr>
            <w:tcW w:w="66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12.00 </w:t>
            </w:r>
          </w:p>
        </w:tc>
        <w:tc>
          <w:tcPr>
            <w:tcW w:w="84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w:t>
            </w:r>
          </w:p>
        </w:tc>
        <w:tc>
          <w:tcPr>
            <w:tcW w:w="84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一次性使用心电电极</w:t>
            </w:r>
          </w:p>
        </w:tc>
        <w:tc>
          <w:tcPr>
            <w:tcW w:w="139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各型</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50400</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只</w:t>
            </w:r>
          </w:p>
        </w:tc>
        <w:tc>
          <w:tcPr>
            <w:tcW w:w="66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0.64</w:t>
            </w:r>
          </w:p>
        </w:tc>
        <w:tc>
          <w:tcPr>
            <w:tcW w:w="84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12</w:t>
            </w:r>
          </w:p>
        </w:tc>
        <w:tc>
          <w:tcPr>
            <w:tcW w:w="84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一次性使用吸引管</w:t>
            </w:r>
          </w:p>
        </w:tc>
        <w:tc>
          <w:tcPr>
            <w:tcW w:w="139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直管 8.0mm（直管+吸头）</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2880</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支</w:t>
            </w:r>
          </w:p>
        </w:tc>
        <w:tc>
          <w:tcPr>
            <w:tcW w:w="66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4.80 </w:t>
            </w:r>
          </w:p>
        </w:tc>
        <w:tc>
          <w:tcPr>
            <w:tcW w:w="84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13</w:t>
            </w:r>
          </w:p>
        </w:tc>
        <w:tc>
          <w:tcPr>
            <w:tcW w:w="84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一次性口腔通气道</w:t>
            </w:r>
          </w:p>
        </w:tc>
        <w:tc>
          <w:tcPr>
            <w:tcW w:w="139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各型</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72</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个</w:t>
            </w:r>
          </w:p>
        </w:tc>
        <w:tc>
          <w:tcPr>
            <w:tcW w:w="66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4.30 </w:t>
            </w:r>
          </w:p>
        </w:tc>
        <w:tc>
          <w:tcPr>
            <w:tcW w:w="84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14</w:t>
            </w:r>
          </w:p>
        </w:tc>
        <w:tc>
          <w:tcPr>
            <w:tcW w:w="84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简易呼吸器</w:t>
            </w:r>
          </w:p>
        </w:tc>
        <w:tc>
          <w:tcPr>
            <w:tcW w:w="139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S、M、L</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12</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套</w:t>
            </w:r>
          </w:p>
        </w:tc>
        <w:tc>
          <w:tcPr>
            <w:tcW w:w="66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240.00 </w:t>
            </w:r>
          </w:p>
        </w:tc>
        <w:tc>
          <w:tcPr>
            <w:tcW w:w="84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15</w:t>
            </w:r>
          </w:p>
        </w:tc>
        <w:tc>
          <w:tcPr>
            <w:tcW w:w="84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一次性使用无菌阴道扩张器</w:t>
            </w:r>
          </w:p>
        </w:tc>
        <w:tc>
          <w:tcPr>
            <w:tcW w:w="139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中型  轴转式</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2880</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只</w:t>
            </w:r>
          </w:p>
        </w:tc>
        <w:tc>
          <w:tcPr>
            <w:tcW w:w="66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0.80 </w:t>
            </w:r>
          </w:p>
        </w:tc>
        <w:tc>
          <w:tcPr>
            <w:tcW w:w="84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16</w:t>
            </w:r>
          </w:p>
        </w:tc>
        <w:tc>
          <w:tcPr>
            <w:tcW w:w="84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一次性使用导电粘胶极板</w:t>
            </w:r>
          </w:p>
        </w:tc>
        <w:tc>
          <w:tcPr>
            <w:tcW w:w="139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225×115(成人型)</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120</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个</w:t>
            </w:r>
          </w:p>
        </w:tc>
        <w:tc>
          <w:tcPr>
            <w:tcW w:w="66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28.00 </w:t>
            </w:r>
          </w:p>
        </w:tc>
        <w:tc>
          <w:tcPr>
            <w:tcW w:w="84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17</w:t>
            </w:r>
          </w:p>
        </w:tc>
        <w:tc>
          <w:tcPr>
            <w:tcW w:w="84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一次性使用埋线针</w:t>
            </w:r>
          </w:p>
        </w:tc>
        <w:tc>
          <w:tcPr>
            <w:tcW w:w="139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0.9</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240</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支</w:t>
            </w:r>
          </w:p>
        </w:tc>
        <w:tc>
          <w:tcPr>
            <w:tcW w:w="66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4.00 </w:t>
            </w:r>
          </w:p>
        </w:tc>
        <w:tc>
          <w:tcPr>
            <w:tcW w:w="84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bCs/>
                <w:color w:val="auto"/>
                <w:kern w:val="0"/>
                <w:sz w:val="24"/>
                <w:szCs w:val="22"/>
                <w:highlight w:val="none"/>
                <w:lang w:val="en-US" w:eastAsia="zh-CN"/>
              </w:rPr>
              <w:t>★</w:t>
            </w:r>
            <w:r>
              <w:rPr>
                <w:rFonts w:hint="eastAsia" w:ascii="宋体" w:hAnsi="宋体" w:eastAsia="宋体" w:cs="宋体"/>
                <w:color w:val="auto"/>
                <w:kern w:val="0"/>
                <w:sz w:val="21"/>
                <w:szCs w:val="21"/>
                <w:highlight w:val="none"/>
                <w:lang w:val="en-US" w:eastAsia="zh-CN" w:bidi="ar-SA"/>
              </w:rPr>
              <w:t>18</w:t>
            </w:r>
          </w:p>
        </w:tc>
        <w:tc>
          <w:tcPr>
            <w:tcW w:w="84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4"/>
                <w:szCs w:val="22"/>
                <w:highlight w:val="none"/>
                <w:lang w:val="en-US" w:eastAsia="zh-CN"/>
              </w:rPr>
            </w:pPr>
            <w:r>
              <w:rPr>
                <w:rFonts w:hint="eastAsia" w:ascii="宋体" w:hAnsi="宋体" w:eastAsia="宋体" w:cs="宋体"/>
                <w:color w:val="auto"/>
                <w:kern w:val="0"/>
                <w:sz w:val="24"/>
                <w:szCs w:val="22"/>
                <w:highlight w:val="none"/>
                <w:lang w:val="en-US" w:eastAsia="zh-CN"/>
              </w:rPr>
              <w:t>血糖试纸</w:t>
            </w:r>
          </w:p>
        </w:tc>
        <w:tc>
          <w:tcPr>
            <w:tcW w:w="1397"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i w:val="0"/>
                <w:iCs w:val="0"/>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en-US" w:eastAsia="zh-CN" w:bidi="ar-SA"/>
              </w:rPr>
              <w:t>≥</w:t>
            </w:r>
            <w:r>
              <w:rPr>
                <w:rFonts w:hint="eastAsia" w:ascii="宋体" w:hAnsi="宋体" w:eastAsia="宋体" w:cs="宋体"/>
                <w:i w:val="0"/>
                <w:iCs w:val="0"/>
                <w:color w:val="auto"/>
                <w:kern w:val="0"/>
                <w:sz w:val="21"/>
                <w:szCs w:val="21"/>
                <w:highlight w:val="none"/>
                <w:lang w:val="en-US" w:eastAsia="zh-CN"/>
              </w:rPr>
              <w:t>50条/盒</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i w:val="0"/>
                <w:iCs w:val="0"/>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lang w:val="en-US" w:eastAsia="zh-CN"/>
              </w:rPr>
              <w:t>2.独立单片包装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i w:val="0"/>
                <w:iCs w:val="0"/>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lang w:val="en-US" w:eastAsia="zh-CN"/>
              </w:rPr>
              <w:t>3.血糖试纸测试范围：</w:t>
            </w:r>
            <w:r>
              <w:rPr>
                <w:rFonts w:hint="eastAsia" w:ascii="宋体" w:hAnsi="宋体" w:eastAsia="宋体" w:cs="宋体"/>
                <w:color w:val="auto"/>
                <w:kern w:val="0"/>
                <w:sz w:val="21"/>
                <w:szCs w:val="21"/>
                <w:highlight w:val="none"/>
                <w:lang w:val="en-US" w:eastAsia="zh-CN" w:bidi="ar-SA"/>
              </w:rPr>
              <w:t>≥</w:t>
            </w:r>
            <w:r>
              <w:rPr>
                <w:rFonts w:hint="eastAsia" w:ascii="宋体" w:hAnsi="宋体" w:eastAsia="宋体" w:cs="宋体"/>
                <w:i w:val="0"/>
                <w:iCs w:val="0"/>
                <w:color w:val="auto"/>
                <w:kern w:val="0"/>
                <w:sz w:val="21"/>
                <w:szCs w:val="21"/>
                <w:highlight w:val="none"/>
                <w:lang w:val="en-US" w:eastAsia="zh-CN"/>
              </w:rPr>
              <w:t>0.8~33.2mmol/L，测试时</w:t>
            </w:r>
            <w:r>
              <w:rPr>
                <w:rFonts w:hint="eastAsia" w:ascii="宋体" w:hAnsi="宋体" w:eastAsia="宋体" w:cs="宋体"/>
                <w:color w:val="auto"/>
                <w:kern w:val="0"/>
                <w:sz w:val="24"/>
                <w:szCs w:val="22"/>
                <w:highlight w:val="none"/>
                <w:lang w:val="zh-CN"/>
              </w:rPr>
              <w:t>间</w:t>
            </w:r>
            <w:r>
              <w:rPr>
                <w:rFonts w:hint="eastAsia" w:ascii="宋体" w:hAnsi="宋体" w:eastAsia="宋体" w:cs="宋体"/>
                <w:i w:val="0"/>
                <w:iCs w:val="0"/>
                <w:color w:val="auto"/>
                <w:kern w:val="0"/>
                <w:sz w:val="21"/>
                <w:szCs w:val="21"/>
                <w:highlight w:val="none"/>
                <w:lang w:val="en-US" w:eastAsia="zh-CN"/>
              </w:rPr>
              <w:t>：≤6S；测试温度</w:t>
            </w:r>
            <w:r>
              <w:rPr>
                <w:rFonts w:hint="eastAsia" w:ascii="宋体" w:hAnsi="宋体" w:eastAsia="宋体" w:cs="宋体"/>
                <w:color w:val="auto"/>
                <w:kern w:val="0"/>
                <w:sz w:val="21"/>
                <w:szCs w:val="21"/>
                <w:highlight w:val="none"/>
                <w:lang w:val="en-US" w:eastAsia="zh-CN" w:bidi="ar-SA"/>
              </w:rPr>
              <w:t>≥</w:t>
            </w:r>
            <w:r>
              <w:rPr>
                <w:rFonts w:hint="eastAsia" w:ascii="宋体" w:hAnsi="宋体" w:eastAsia="宋体" w:cs="宋体"/>
                <w:i w:val="0"/>
                <w:iCs w:val="0"/>
                <w:color w:val="auto"/>
                <w:kern w:val="0"/>
                <w:sz w:val="21"/>
                <w:szCs w:val="21"/>
                <w:highlight w:val="none"/>
                <w:lang w:val="en-US" w:eastAsia="zh-CN"/>
              </w:rPr>
              <w:t>5°~55℃；红细胞压积范围15%-73%;</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i w:val="0"/>
                <w:iCs w:val="0"/>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lang w:val="en-US" w:eastAsia="zh-CN"/>
              </w:rPr>
              <w:t>4.采用葡萄糖脱氢酶（GDH）法：不受血氧分压干扰，受空气中氧气或温湿度影响较小；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i w:val="0"/>
                <w:iCs w:val="0"/>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lang w:val="en-US" w:eastAsia="zh-CN"/>
              </w:rPr>
              <w:t>5.适用人群：成人；检测血样：血糖A/C/V/N，血酮C/V ；</w:t>
            </w:r>
            <w:r>
              <w:rPr>
                <w:rFonts w:hint="eastAsia" w:ascii="宋体" w:hAnsi="宋体" w:eastAsia="宋体" w:cs="宋体"/>
                <w:color w:val="auto"/>
                <w:kern w:val="0"/>
                <w:sz w:val="21"/>
                <w:szCs w:val="21"/>
                <w:highlight w:val="none"/>
                <w:lang w:val="en-US" w:eastAsia="zh-CN" w:bidi="ar-SA"/>
              </w:rPr>
              <w:t>样本量≤</w:t>
            </w:r>
            <w:r>
              <w:rPr>
                <w:rFonts w:hint="eastAsia" w:ascii="宋体" w:hAnsi="宋体" w:eastAsia="宋体" w:cs="宋体"/>
                <w:i w:val="0"/>
                <w:iCs w:val="0"/>
                <w:color w:val="auto"/>
                <w:kern w:val="0"/>
                <w:sz w:val="21"/>
                <w:szCs w:val="21"/>
                <w:highlight w:val="none"/>
                <w:lang w:val="en-US" w:eastAsia="zh-CN"/>
              </w:rPr>
              <w:t>0.6μL；</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i w:val="0"/>
                <w:iCs w:val="0"/>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lang w:val="en-US" w:eastAsia="zh-CN"/>
              </w:rPr>
              <w:t>6.精准度符合：EN ISO15197：2013;</w:t>
            </w:r>
          </w:p>
          <w:p>
            <w:pPr>
              <w:keepNext w:val="0"/>
              <w:keepLines w:val="0"/>
              <w:widowControl/>
              <w:suppressLineNumbers w:val="0"/>
              <w:autoSpaceDE w:val="0"/>
              <w:autoSpaceDN w:val="0"/>
              <w:spacing w:line="36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lang w:val="en-US" w:eastAsia="zh-CN"/>
              </w:rPr>
              <w:t>7.血糖、血酮检测能在同一仪器完成。</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2940</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条</w:t>
            </w:r>
          </w:p>
        </w:tc>
        <w:tc>
          <w:tcPr>
            <w:tcW w:w="66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3.58</w:t>
            </w:r>
          </w:p>
        </w:tc>
        <w:tc>
          <w:tcPr>
            <w:tcW w:w="84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19</w:t>
            </w:r>
          </w:p>
        </w:tc>
        <w:tc>
          <w:tcPr>
            <w:tcW w:w="84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血酮试纸</w:t>
            </w:r>
          </w:p>
        </w:tc>
        <w:tc>
          <w:tcPr>
            <w:tcW w:w="1397" w:type="pct"/>
            <w:noWrap w:val="0"/>
            <w:vAlign w:val="center"/>
          </w:tcPr>
          <w:p>
            <w:pPr>
              <w:keepNext w:val="0"/>
              <w:keepLines w:val="0"/>
              <w:widowControl/>
              <w:suppressLineNumbers w:val="0"/>
              <w:autoSpaceDE w:val="0"/>
              <w:autoSpaceDN w:val="0"/>
              <w:spacing w:line="36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1.10片/盒</w:t>
            </w:r>
          </w:p>
          <w:p>
            <w:pPr>
              <w:keepNext w:val="0"/>
              <w:keepLines w:val="0"/>
              <w:widowControl/>
              <w:suppressLineNumbers w:val="0"/>
              <w:autoSpaceDE w:val="0"/>
              <w:autoSpaceDN w:val="0"/>
              <w:spacing w:line="36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2.血酮试纸检测范围≥0.0-8.0mmol/L，红细胞压积范围30%-60%，覆盖范围广，适合多种情况。支持毛细血管血、静脉血，样本量≤</w:t>
            </w:r>
            <w:r>
              <w:rPr>
                <w:rFonts w:hint="eastAsia" w:ascii="宋体" w:hAnsi="宋体" w:eastAsia="宋体" w:cs="宋体"/>
                <w:i w:val="0"/>
                <w:iCs w:val="0"/>
                <w:color w:val="auto"/>
                <w:kern w:val="0"/>
                <w:sz w:val="21"/>
                <w:szCs w:val="21"/>
                <w:highlight w:val="none"/>
                <w:lang w:val="en-US" w:eastAsia="zh-CN"/>
              </w:rPr>
              <w:t>0.6μL</w:t>
            </w:r>
            <w:r>
              <w:rPr>
                <w:rFonts w:hint="eastAsia" w:ascii="宋体" w:hAnsi="宋体" w:eastAsia="宋体" w:cs="宋体"/>
                <w:color w:val="auto"/>
                <w:kern w:val="0"/>
                <w:sz w:val="21"/>
                <w:szCs w:val="21"/>
                <w:highlight w:val="none"/>
                <w:lang w:val="en-US" w:eastAsia="zh-CN" w:bidi="ar-SA"/>
              </w:rPr>
              <w:t>。</w:t>
            </w:r>
          </w:p>
          <w:p>
            <w:pPr>
              <w:keepNext w:val="0"/>
              <w:keepLines w:val="0"/>
              <w:widowControl/>
              <w:suppressLineNumbers w:val="0"/>
              <w:autoSpaceDE w:val="0"/>
              <w:autoSpaceDN w:val="0"/>
              <w:spacing w:line="36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3.该产品检测血酮，预防酮症酸中毒（DKA），早期发现，及时治疗。</w:t>
            </w:r>
          </w:p>
          <w:p>
            <w:pPr>
              <w:keepNext w:val="0"/>
              <w:keepLines w:val="0"/>
              <w:widowControl/>
              <w:suppressLineNumbers w:val="0"/>
              <w:autoSpaceDE w:val="0"/>
              <w:autoSpaceDN w:val="0"/>
              <w:spacing w:line="360" w:lineRule="auto"/>
              <w:jc w:val="left"/>
              <w:textAlignment w:val="center"/>
              <w:rPr>
                <w:rFonts w:hint="eastAsia" w:ascii="宋体" w:hAnsi="宋体" w:eastAsia="宋体" w:cs="宋体"/>
                <w:color w:val="auto"/>
                <w:kern w:val="0"/>
                <w:sz w:val="24"/>
                <w:szCs w:val="22"/>
                <w:highlight w:val="none"/>
                <w:lang w:val="en-US" w:eastAsia="zh-CN"/>
              </w:rPr>
            </w:pPr>
            <w:r>
              <w:rPr>
                <w:rFonts w:hint="eastAsia" w:ascii="宋体" w:hAnsi="宋体" w:eastAsia="宋体" w:cs="宋体"/>
                <w:color w:val="auto"/>
                <w:kern w:val="0"/>
                <w:sz w:val="21"/>
                <w:szCs w:val="21"/>
                <w:highlight w:val="none"/>
                <w:lang w:val="en-US" w:eastAsia="zh-CN" w:bidi="ar-SA"/>
              </w:rPr>
              <w:t>4.血糖、血酮检测能在同一仪器完成。</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96</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盒</w:t>
            </w:r>
          </w:p>
        </w:tc>
        <w:tc>
          <w:tcPr>
            <w:tcW w:w="66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160.00 </w:t>
            </w:r>
          </w:p>
        </w:tc>
        <w:tc>
          <w:tcPr>
            <w:tcW w:w="84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20</w:t>
            </w:r>
          </w:p>
        </w:tc>
        <w:tc>
          <w:tcPr>
            <w:tcW w:w="84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留置导管</w:t>
            </w:r>
          </w:p>
        </w:tc>
        <w:tc>
          <w:tcPr>
            <w:tcW w:w="1397" w:type="pct"/>
            <w:noWrap w:val="0"/>
            <w:vAlign w:val="center"/>
          </w:tcPr>
          <w:p>
            <w:pPr>
              <w:keepNext w:val="0"/>
              <w:keepLines w:val="0"/>
              <w:widowControl/>
              <w:suppressLineNumbers w:val="0"/>
              <w:autoSpaceDE w:val="0"/>
              <w:autoSpaceDN w:val="0"/>
              <w:spacing w:line="360" w:lineRule="auto"/>
              <w:jc w:val="left"/>
              <w:textAlignment w:val="center"/>
              <w:rPr>
                <w:rFonts w:hint="eastAsia" w:ascii="宋体" w:hAnsi="宋体" w:eastAsia="宋体" w:cs="宋体"/>
                <w:color w:val="FF0000"/>
                <w:kern w:val="0"/>
                <w:sz w:val="21"/>
                <w:szCs w:val="21"/>
                <w:highlight w:val="none"/>
                <w:lang w:val="en-US" w:eastAsia="zh-CN" w:bidi="ar-SA"/>
              </w:rPr>
            </w:pPr>
            <w:r>
              <w:rPr>
                <w:rFonts w:hint="eastAsia" w:ascii="宋体" w:hAnsi="宋体" w:eastAsia="宋体" w:cs="宋体"/>
                <w:color w:val="FF0000"/>
                <w:kern w:val="0"/>
                <w:sz w:val="21"/>
                <w:szCs w:val="21"/>
                <w:highlight w:val="none"/>
                <w:lang w:val="en-US" w:eastAsia="zh-CN" w:bidi="ar-SA"/>
              </w:rPr>
              <w:t>双腔导管套装产品由导管、穿刺针、弯头导丝、扩张器、手术刀、伤口敷料、注射帽组成/</w:t>
            </w:r>
            <w:r>
              <w:rPr>
                <w:rFonts w:hint="eastAsia" w:cs="宋体"/>
                <w:color w:val="FF0000"/>
                <w:kern w:val="0"/>
                <w:sz w:val="21"/>
                <w:szCs w:val="21"/>
                <w:highlight w:val="none"/>
                <w:lang w:val="en-US" w:eastAsia="zh-CN" w:bidi="ar-SA"/>
              </w:rPr>
              <w:t>外直径</w:t>
            </w:r>
            <w:r>
              <w:rPr>
                <w:rFonts w:hint="eastAsia" w:ascii="宋体" w:hAnsi="宋体" w:eastAsia="宋体" w:cs="宋体"/>
                <w:color w:val="FF0000"/>
                <w:kern w:val="0"/>
                <w:sz w:val="21"/>
                <w:szCs w:val="21"/>
                <w:highlight w:val="none"/>
                <w:lang w:val="en-US" w:eastAsia="zh-CN" w:bidi="ar-SA"/>
              </w:rPr>
              <w:t>11</w:t>
            </w:r>
            <w:r>
              <w:rPr>
                <w:rFonts w:hint="eastAsia" w:cs="宋体"/>
                <w:color w:val="FF0000"/>
                <w:kern w:val="0"/>
                <w:sz w:val="21"/>
                <w:szCs w:val="21"/>
                <w:highlight w:val="none"/>
                <w:lang w:val="en-US" w:eastAsia="zh-CN" w:bidi="ar-SA"/>
              </w:rPr>
              <w:t>F，有效长度125mm-200mm（双腔导管）</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69</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支</w:t>
            </w:r>
          </w:p>
        </w:tc>
        <w:tc>
          <w:tcPr>
            <w:tcW w:w="66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450.00 </w:t>
            </w:r>
          </w:p>
        </w:tc>
        <w:tc>
          <w:tcPr>
            <w:tcW w:w="84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21</w:t>
            </w:r>
          </w:p>
        </w:tc>
        <w:tc>
          <w:tcPr>
            <w:tcW w:w="84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留置导管</w:t>
            </w:r>
          </w:p>
        </w:tc>
        <w:tc>
          <w:tcPr>
            <w:tcW w:w="1397" w:type="pct"/>
            <w:noWrap w:val="0"/>
            <w:vAlign w:val="center"/>
          </w:tcPr>
          <w:p>
            <w:pPr>
              <w:keepNext w:val="0"/>
              <w:keepLines w:val="0"/>
              <w:widowControl/>
              <w:suppressLineNumbers w:val="0"/>
              <w:autoSpaceDE w:val="0"/>
              <w:autoSpaceDN w:val="0"/>
              <w:spacing w:line="360" w:lineRule="auto"/>
              <w:jc w:val="left"/>
              <w:textAlignment w:val="center"/>
              <w:rPr>
                <w:rFonts w:hint="eastAsia" w:ascii="宋体" w:hAnsi="宋体" w:eastAsia="宋体" w:cs="宋体"/>
                <w:color w:val="FF0000"/>
                <w:kern w:val="0"/>
                <w:sz w:val="21"/>
                <w:szCs w:val="21"/>
                <w:highlight w:val="none"/>
                <w:lang w:val="en-US" w:eastAsia="zh-CN" w:bidi="ar-SA"/>
              </w:rPr>
            </w:pPr>
            <w:r>
              <w:rPr>
                <w:rFonts w:hint="eastAsia" w:ascii="宋体" w:hAnsi="宋体" w:eastAsia="宋体" w:cs="宋体"/>
                <w:color w:val="FF0000"/>
                <w:kern w:val="0"/>
                <w:sz w:val="21"/>
                <w:szCs w:val="21"/>
                <w:highlight w:val="none"/>
                <w:lang w:val="en-US" w:eastAsia="zh-CN" w:bidi="ar-SA"/>
              </w:rPr>
              <w:t>双腔导管套装产品由导管、穿刺针、弯头导丝、扩张器、手术刀、伤口敷料、注射帽组成/</w:t>
            </w:r>
            <w:r>
              <w:rPr>
                <w:rFonts w:hint="eastAsia" w:cs="宋体"/>
                <w:color w:val="FF0000"/>
                <w:kern w:val="0"/>
                <w:sz w:val="21"/>
                <w:szCs w:val="21"/>
                <w:highlight w:val="none"/>
                <w:lang w:val="en-US" w:eastAsia="zh-CN" w:bidi="ar-SA"/>
              </w:rPr>
              <w:t>外直径</w:t>
            </w:r>
            <w:r>
              <w:rPr>
                <w:rFonts w:hint="eastAsia" w:ascii="宋体" w:hAnsi="宋体" w:eastAsia="宋体" w:cs="宋体"/>
                <w:color w:val="FF0000"/>
                <w:kern w:val="0"/>
                <w:sz w:val="21"/>
                <w:szCs w:val="21"/>
                <w:highlight w:val="none"/>
                <w:lang w:val="en-US" w:eastAsia="zh-CN" w:bidi="ar-SA"/>
              </w:rPr>
              <w:t>11</w:t>
            </w:r>
            <w:r>
              <w:rPr>
                <w:rFonts w:hint="eastAsia" w:cs="宋体"/>
                <w:color w:val="FF0000"/>
                <w:kern w:val="0"/>
                <w:sz w:val="21"/>
                <w:szCs w:val="21"/>
                <w:highlight w:val="none"/>
                <w:lang w:val="en-US" w:eastAsia="zh-CN" w:bidi="ar-SA"/>
              </w:rPr>
              <w:t>F，有效长度125mm-200mm（双腔导管套装）</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0</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支</w:t>
            </w:r>
          </w:p>
        </w:tc>
        <w:tc>
          <w:tcPr>
            <w:tcW w:w="66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513.00 </w:t>
            </w:r>
          </w:p>
        </w:tc>
        <w:tc>
          <w:tcPr>
            <w:tcW w:w="84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22</w:t>
            </w:r>
          </w:p>
        </w:tc>
        <w:tc>
          <w:tcPr>
            <w:tcW w:w="84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一次性使用中心静脉管包</w:t>
            </w:r>
          </w:p>
        </w:tc>
        <w:tc>
          <w:tcPr>
            <w:tcW w:w="1397" w:type="pct"/>
            <w:noWrap w:val="0"/>
            <w:vAlign w:val="center"/>
          </w:tcPr>
          <w:p>
            <w:pPr>
              <w:keepNext w:val="0"/>
              <w:keepLines w:val="0"/>
              <w:widowControl/>
              <w:suppressLineNumbers w:val="0"/>
              <w:autoSpaceDE w:val="0"/>
              <w:autoSpaceDN w:val="0"/>
              <w:spacing w:line="36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由中心静脉导管、导引导丝、穿刺针和Y形针、扩张管组成</w:t>
            </w:r>
          </w:p>
          <w:p>
            <w:pPr>
              <w:keepNext w:val="0"/>
              <w:keepLines w:val="0"/>
              <w:widowControl/>
              <w:suppressLineNumbers w:val="0"/>
              <w:autoSpaceDE w:val="0"/>
              <w:autoSpaceDN w:val="0"/>
              <w:spacing w:line="360" w:lineRule="auto"/>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单腔各型</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108</w:t>
            </w:r>
          </w:p>
        </w:tc>
        <w:tc>
          <w:tcPr>
            <w:tcW w:w="42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套</w:t>
            </w:r>
          </w:p>
        </w:tc>
        <w:tc>
          <w:tcPr>
            <w:tcW w:w="660"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120.00 </w:t>
            </w:r>
          </w:p>
        </w:tc>
        <w:tc>
          <w:tcPr>
            <w:tcW w:w="84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bl>
    <w:p>
      <w:pPr>
        <w:autoSpaceDE w:val="0"/>
        <w:autoSpaceDN w:val="0"/>
        <w:bidi w:val="0"/>
        <w:spacing w:line="360" w:lineRule="auto"/>
        <w:jc w:val="left"/>
        <w:rPr>
          <w:rFonts w:hint="eastAsia" w:ascii="宋体" w:hAnsi="宋体" w:eastAsia="宋体" w:cs="宋体"/>
          <w:color w:val="auto"/>
          <w:kern w:val="0"/>
          <w:sz w:val="24"/>
          <w:szCs w:val="22"/>
          <w:highlight w:val="none"/>
          <w:lang w:val="en-US" w:eastAsia="zh-CN"/>
        </w:rPr>
      </w:pPr>
      <w:r>
        <w:rPr>
          <w:rFonts w:hint="eastAsia" w:ascii="宋体" w:hAnsi="宋体" w:eastAsia="宋体" w:cs="宋体"/>
          <w:color w:val="auto"/>
          <w:kern w:val="0"/>
          <w:sz w:val="24"/>
          <w:szCs w:val="22"/>
          <w:highlight w:val="none"/>
          <w:lang w:val="en-US" w:eastAsia="zh-CN"/>
        </w:rPr>
        <w:t>04包普通耗材纱布类采购清单及技术参数：</w:t>
      </w:r>
    </w:p>
    <w:tbl>
      <w:tblPr>
        <w:tblStyle w:val="2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1741"/>
        <w:gridCol w:w="1925"/>
        <w:gridCol w:w="1243"/>
        <w:gridCol w:w="1199"/>
        <w:gridCol w:w="1347"/>
        <w:gridCol w:w="1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b/>
                <w:bCs/>
                <w:color w:val="auto"/>
                <w:kern w:val="0"/>
                <w:sz w:val="24"/>
                <w:szCs w:val="22"/>
                <w:highlight w:val="none"/>
                <w:vertAlign w:val="baseline"/>
                <w:lang w:val="en-US" w:eastAsia="zh-CN"/>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87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b/>
                <w:bCs/>
                <w:color w:val="auto"/>
                <w:kern w:val="0"/>
                <w:sz w:val="24"/>
                <w:szCs w:val="22"/>
                <w:highlight w:val="none"/>
                <w:vertAlign w:val="baseline"/>
                <w:lang w:val="en-US" w:eastAsia="zh-CN"/>
              </w:rPr>
            </w:pPr>
            <w:r>
              <w:rPr>
                <w:rFonts w:hint="eastAsia" w:ascii="宋体" w:hAnsi="宋体" w:eastAsia="宋体" w:cs="宋体"/>
                <w:b/>
                <w:bCs/>
                <w:i w:val="0"/>
                <w:iCs w:val="0"/>
                <w:color w:val="auto"/>
                <w:kern w:val="0"/>
                <w:sz w:val="22"/>
                <w:szCs w:val="22"/>
                <w:highlight w:val="none"/>
                <w:u w:val="none"/>
                <w:lang w:val="en-US" w:eastAsia="zh-CN" w:bidi="ar"/>
              </w:rPr>
              <w:t>产品名称</w:t>
            </w:r>
          </w:p>
        </w:tc>
        <w:tc>
          <w:tcPr>
            <w:tcW w:w="966"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参数</w:t>
            </w:r>
          </w:p>
        </w:tc>
        <w:tc>
          <w:tcPr>
            <w:tcW w:w="62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b/>
                <w:bCs/>
                <w:color w:val="auto"/>
                <w:kern w:val="0"/>
                <w:sz w:val="24"/>
                <w:szCs w:val="22"/>
                <w:highlight w:val="none"/>
                <w:vertAlign w:val="baseline"/>
                <w:lang w:val="en-US" w:eastAsia="zh-CN"/>
              </w:rPr>
            </w:pPr>
            <w:r>
              <w:rPr>
                <w:rFonts w:hint="eastAsia" w:ascii="宋体" w:hAnsi="宋体" w:eastAsia="宋体" w:cs="宋体"/>
                <w:b/>
                <w:bCs/>
                <w:i w:val="0"/>
                <w:iCs w:val="0"/>
                <w:color w:val="auto"/>
                <w:kern w:val="0"/>
                <w:sz w:val="22"/>
                <w:szCs w:val="22"/>
                <w:highlight w:val="none"/>
                <w:u w:val="none"/>
                <w:lang w:val="en-US" w:eastAsia="zh-CN" w:bidi="ar"/>
              </w:rPr>
              <w:t>数量</w:t>
            </w:r>
          </w:p>
        </w:tc>
        <w:tc>
          <w:tcPr>
            <w:tcW w:w="60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单位</w:t>
            </w:r>
          </w:p>
        </w:tc>
        <w:tc>
          <w:tcPr>
            <w:tcW w:w="676"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最高单价限价（元）</w:t>
            </w:r>
          </w:p>
        </w:tc>
        <w:tc>
          <w:tcPr>
            <w:tcW w:w="84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是否允许进口产品参与投标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w:t>
            </w:r>
          </w:p>
        </w:tc>
        <w:tc>
          <w:tcPr>
            <w:tcW w:w="87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血糖试纸</w:t>
            </w:r>
          </w:p>
        </w:tc>
        <w:tc>
          <w:tcPr>
            <w:tcW w:w="9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50条/盒</w:t>
            </w:r>
          </w:p>
        </w:tc>
        <w:tc>
          <w:tcPr>
            <w:tcW w:w="62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6880</w:t>
            </w:r>
          </w:p>
        </w:tc>
        <w:tc>
          <w:tcPr>
            <w:tcW w:w="60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条</w:t>
            </w:r>
          </w:p>
        </w:tc>
        <w:tc>
          <w:tcPr>
            <w:tcW w:w="67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2.80 </w:t>
            </w:r>
          </w:p>
        </w:tc>
        <w:tc>
          <w:tcPr>
            <w:tcW w:w="84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407" w:type="pct"/>
            <w:vMerge w:val="restar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w:t>
            </w:r>
          </w:p>
        </w:tc>
        <w:tc>
          <w:tcPr>
            <w:tcW w:w="87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一次性针灸针</w:t>
            </w:r>
          </w:p>
        </w:tc>
        <w:tc>
          <w:tcPr>
            <w:tcW w:w="9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0.25*25</w:t>
            </w:r>
          </w:p>
        </w:tc>
        <w:tc>
          <w:tcPr>
            <w:tcW w:w="624" w:type="pct"/>
            <w:vMerge w:val="restar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543000</w:t>
            </w:r>
          </w:p>
        </w:tc>
        <w:tc>
          <w:tcPr>
            <w:tcW w:w="60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根</w:t>
            </w:r>
          </w:p>
        </w:tc>
        <w:tc>
          <w:tcPr>
            <w:tcW w:w="67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0.15 </w:t>
            </w:r>
          </w:p>
        </w:tc>
        <w:tc>
          <w:tcPr>
            <w:tcW w:w="84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Merge w:val="continue"/>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p>
        </w:tc>
        <w:tc>
          <w:tcPr>
            <w:tcW w:w="87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一次性针灸针</w:t>
            </w:r>
          </w:p>
        </w:tc>
        <w:tc>
          <w:tcPr>
            <w:tcW w:w="9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0.25*40</w:t>
            </w:r>
          </w:p>
        </w:tc>
        <w:tc>
          <w:tcPr>
            <w:tcW w:w="624" w:type="pct"/>
            <w:vMerge w:val="continue"/>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p>
        </w:tc>
        <w:tc>
          <w:tcPr>
            <w:tcW w:w="60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根</w:t>
            </w:r>
          </w:p>
        </w:tc>
        <w:tc>
          <w:tcPr>
            <w:tcW w:w="67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0.15 </w:t>
            </w:r>
          </w:p>
        </w:tc>
        <w:tc>
          <w:tcPr>
            <w:tcW w:w="84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Merge w:val="continue"/>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p>
        </w:tc>
        <w:tc>
          <w:tcPr>
            <w:tcW w:w="87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一次性针灸针</w:t>
            </w:r>
          </w:p>
        </w:tc>
        <w:tc>
          <w:tcPr>
            <w:tcW w:w="9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0.30*75</w:t>
            </w:r>
          </w:p>
        </w:tc>
        <w:tc>
          <w:tcPr>
            <w:tcW w:w="624" w:type="pct"/>
            <w:vMerge w:val="continue"/>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p>
        </w:tc>
        <w:tc>
          <w:tcPr>
            <w:tcW w:w="60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根</w:t>
            </w:r>
          </w:p>
        </w:tc>
        <w:tc>
          <w:tcPr>
            <w:tcW w:w="67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0.15 </w:t>
            </w:r>
          </w:p>
        </w:tc>
        <w:tc>
          <w:tcPr>
            <w:tcW w:w="84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w:t>
            </w:r>
          </w:p>
        </w:tc>
        <w:tc>
          <w:tcPr>
            <w:tcW w:w="87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医用超声藕合剂</w:t>
            </w:r>
          </w:p>
        </w:tc>
        <w:tc>
          <w:tcPr>
            <w:tcW w:w="9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≥250g</w:t>
            </w:r>
          </w:p>
        </w:tc>
        <w:tc>
          <w:tcPr>
            <w:tcW w:w="624"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550</w:t>
            </w:r>
          </w:p>
        </w:tc>
        <w:tc>
          <w:tcPr>
            <w:tcW w:w="60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瓶</w:t>
            </w:r>
          </w:p>
        </w:tc>
        <w:tc>
          <w:tcPr>
            <w:tcW w:w="67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2.48 </w:t>
            </w:r>
          </w:p>
        </w:tc>
        <w:tc>
          <w:tcPr>
            <w:tcW w:w="84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b/>
                <w:bCs/>
                <w:color w:val="auto"/>
                <w:kern w:val="0"/>
                <w:sz w:val="24"/>
                <w:szCs w:val="22"/>
                <w:highlight w:val="none"/>
                <w:lang w:val="en-US" w:eastAsia="zh-CN"/>
              </w:rPr>
              <w:t>★</w:t>
            </w:r>
            <w:r>
              <w:rPr>
                <w:rFonts w:hint="eastAsia" w:ascii="宋体" w:hAnsi="宋体" w:eastAsia="宋体" w:cs="宋体"/>
                <w:color w:val="auto"/>
                <w:kern w:val="0"/>
                <w:sz w:val="21"/>
                <w:szCs w:val="21"/>
                <w:highlight w:val="none"/>
                <w:lang w:val="en-US" w:eastAsia="zh-CN" w:bidi="ar-SA"/>
              </w:rPr>
              <w:t>4</w:t>
            </w:r>
          </w:p>
        </w:tc>
        <w:tc>
          <w:tcPr>
            <w:tcW w:w="87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一次性使用氧气雾化器</w:t>
            </w:r>
          </w:p>
        </w:tc>
        <w:tc>
          <w:tcPr>
            <w:tcW w:w="9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成人</w:t>
            </w:r>
          </w:p>
        </w:tc>
        <w:tc>
          <w:tcPr>
            <w:tcW w:w="62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2610</w:t>
            </w:r>
          </w:p>
        </w:tc>
        <w:tc>
          <w:tcPr>
            <w:tcW w:w="60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只</w:t>
            </w:r>
          </w:p>
        </w:tc>
        <w:tc>
          <w:tcPr>
            <w:tcW w:w="67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19.80 </w:t>
            </w:r>
          </w:p>
        </w:tc>
        <w:tc>
          <w:tcPr>
            <w:tcW w:w="84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b/>
                <w:bCs/>
                <w:color w:val="auto"/>
                <w:kern w:val="0"/>
                <w:sz w:val="24"/>
                <w:szCs w:val="22"/>
                <w:highlight w:val="none"/>
                <w:lang w:val="en-US" w:eastAsia="zh-CN"/>
              </w:rPr>
              <w:t>★</w:t>
            </w:r>
            <w:r>
              <w:rPr>
                <w:rFonts w:hint="eastAsia" w:ascii="宋体" w:hAnsi="宋体" w:eastAsia="宋体" w:cs="宋体"/>
                <w:color w:val="auto"/>
                <w:kern w:val="0"/>
                <w:sz w:val="21"/>
                <w:szCs w:val="21"/>
                <w:highlight w:val="none"/>
                <w:lang w:val="en-US" w:eastAsia="zh-CN" w:bidi="ar-SA"/>
              </w:rPr>
              <w:t>5</w:t>
            </w:r>
          </w:p>
        </w:tc>
        <w:tc>
          <w:tcPr>
            <w:tcW w:w="87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一次性使用氧气雾化器</w:t>
            </w:r>
          </w:p>
        </w:tc>
        <w:tc>
          <w:tcPr>
            <w:tcW w:w="9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儿童</w:t>
            </w:r>
          </w:p>
        </w:tc>
        <w:tc>
          <w:tcPr>
            <w:tcW w:w="62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500</w:t>
            </w:r>
          </w:p>
        </w:tc>
        <w:tc>
          <w:tcPr>
            <w:tcW w:w="60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只</w:t>
            </w:r>
          </w:p>
        </w:tc>
        <w:tc>
          <w:tcPr>
            <w:tcW w:w="67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19.80 </w:t>
            </w:r>
          </w:p>
        </w:tc>
        <w:tc>
          <w:tcPr>
            <w:tcW w:w="84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w:t>
            </w:r>
          </w:p>
        </w:tc>
        <w:tc>
          <w:tcPr>
            <w:tcW w:w="87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医用纱布块</w:t>
            </w:r>
          </w:p>
        </w:tc>
        <w:tc>
          <w:tcPr>
            <w:tcW w:w="9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≥6*6*8cm（200片/包）</w:t>
            </w:r>
          </w:p>
        </w:tc>
        <w:tc>
          <w:tcPr>
            <w:tcW w:w="62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0</w:t>
            </w:r>
          </w:p>
        </w:tc>
        <w:tc>
          <w:tcPr>
            <w:tcW w:w="60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片</w:t>
            </w:r>
          </w:p>
        </w:tc>
        <w:tc>
          <w:tcPr>
            <w:tcW w:w="67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0.23 </w:t>
            </w:r>
          </w:p>
        </w:tc>
        <w:tc>
          <w:tcPr>
            <w:tcW w:w="84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w:t>
            </w:r>
          </w:p>
        </w:tc>
        <w:tc>
          <w:tcPr>
            <w:tcW w:w="87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医用纱布块</w:t>
            </w:r>
          </w:p>
        </w:tc>
        <w:tc>
          <w:tcPr>
            <w:tcW w:w="9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≥6*8*8cm（200片/包）</w:t>
            </w:r>
          </w:p>
        </w:tc>
        <w:tc>
          <w:tcPr>
            <w:tcW w:w="62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172800</w:t>
            </w:r>
          </w:p>
        </w:tc>
        <w:tc>
          <w:tcPr>
            <w:tcW w:w="60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片</w:t>
            </w:r>
          </w:p>
        </w:tc>
        <w:tc>
          <w:tcPr>
            <w:tcW w:w="67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0.41 </w:t>
            </w:r>
          </w:p>
        </w:tc>
        <w:tc>
          <w:tcPr>
            <w:tcW w:w="84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8</w:t>
            </w:r>
          </w:p>
        </w:tc>
        <w:tc>
          <w:tcPr>
            <w:tcW w:w="87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医用纱布块</w:t>
            </w:r>
          </w:p>
        </w:tc>
        <w:tc>
          <w:tcPr>
            <w:tcW w:w="9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≥10*10cm（150片/包）</w:t>
            </w:r>
          </w:p>
        </w:tc>
        <w:tc>
          <w:tcPr>
            <w:tcW w:w="62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229200</w:t>
            </w:r>
          </w:p>
        </w:tc>
        <w:tc>
          <w:tcPr>
            <w:tcW w:w="60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片</w:t>
            </w:r>
          </w:p>
        </w:tc>
        <w:tc>
          <w:tcPr>
            <w:tcW w:w="67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0.72 </w:t>
            </w:r>
          </w:p>
        </w:tc>
        <w:tc>
          <w:tcPr>
            <w:tcW w:w="84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9</w:t>
            </w:r>
          </w:p>
        </w:tc>
        <w:tc>
          <w:tcPr>
            <w:tcW w:w="87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医用纱布块</w:t>
            </w:r>
          </w:p>
        </w:tc>
        <w:tc>
          <w:tcPr>
            <w:tcW w:w="9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≥40*30cm显影纱布</w:t>
            </w:r>
          </w:p>
        </w:tc>
        <w:tc>
          <w:tcPr>
            <w:tcW w:w="62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10560</w:t>
            </w:r>
          </w:p>
        </w:tc>
        <w:tc>
          <w:tcPr>
            <w:tcW w:w="60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片</w:t>
            </w:r>
          </w:p>
        </w:tc>
        <w:tc>
          <w:tcPr>
            <w:tcW w:w="67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4.90 </w:t>
            </w:r>
          </w:p>
        </w:tc>
        <w:tc>
          <w:tcPr>
            <w:tcW w:w="84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10</w:t>
            </w:r>
          </w:p>
        </w:tc>
        <w:tc>
          <w:tcPr>
            <w:tcW w:w="87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一次性使用肠道冲洗袋</w:t>
            </w:r>
          </w:p>
        </w:tc>
        <w:tc>
          <w:tcPr>
            <w:tcW w:w="9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≥1000ml</w:t>
            </w:r>
          </w:p>
        </w:tc>
        <w:tc>
          <w:tcPr>
            <w:tcW w:w="62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11400</w:t>
            </w:r>
          </w:p>
        </w:tc>
        <w:tc>
          <w:tcPr>
            <w:tcW w:w="60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个</w:t>
            </w:r>
          </w:p>
        </w:tc>
        <w:tc>
          <w:tcPr>
            <w:tcW w:w="67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3.80 </w:t>
            </w:r>
          </w:p>
        </w:tc>
        <w:tc>
          <w:tcPr>
            <w:tcW w:w="84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w:t>
            </w:r>
          </w:p>
        </w:tc>
        <w:tc>
          <w:tcPr>
            <w:tcW w:w="87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一次性使用回缩式防针刺静脉采血器</w:t>
            </w:r>
          </w:p>
        </w:tc>
        <w:tc>
          <w:tcPr>
            <w:tcW w:w="966"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0.7</w:t>
            </w:r>
            <w:r>
              <w:rPr>
                <w:rFonts w:hint="eastAsia" w:cs="宋体"/>
                <w:color w:val="auto"/>
                <w:kern w:val="0"/>
                <w:sz w:val="21"/>
                <w:szCs w:val="21"/>
                <w:highlight w:val="none"/>
                <w:lang w:val="en-US" w:eastAsia="zh-CN" w:bidi="ar-SA"/>
              </w:rPr>
              <w:t>#</w:t>
            </w:r>
          </w:p>
        </w:tc>
        <w:tc>
          <w:tcPr>
            <w:tcW w:w="624"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600</w:t>
            </w:r>
          </w:p>
        </w:tc>
        <w:tc>
          <w:tcPr>
            <w:tcW w:w="60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颗</w:t>
            </w:r>
          </w:p>
        </w:tc>
        <w:tc>
          <w:tcPr>
            <w:tcW w:w="67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7.5000 </w:t>
            </w:r>
          </w:p>
        </w:tc>
        <w:tc>
          <w:tcPr>
            <w:tcW w:w="848"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bl>
    <w:p>
      <w:pPr>
        <w:autoSpaceDE w:val="0"/>
        <w:autoSpaceDN w:val="0"/>
        <w:bidi w:val="0"/>
        <w:spacing w:line="360" w:lineRule="auto"/>
        <w:jc w:val="left"/>
        <w:rPr>
          <w:rFonts w:hint="eastAsia" w:ascii="宋体" w:hAnsi="宋体" w:eastAsia="宋体" w:cs="宋体"/>
          <w:color w:val="auto"/>
          <w:kern w:val="0"/>
          <w:sz w:val="24"/>
          <w:szCs w:val="22"/>
          <w:highlight w:val="none"/>
          <w:lang w:val="en-US" w:eastAsia="zh-CN"/>
        </w:rPr>
      </w:pPr>
      <w:r>
        <w:rPr>
          <w:rFonts w:hint="eastAsia" w:ascii="宋体" w:hAnsi="宋体" w:eastAsia="宋体" w:cs="宋体"/>
          <w:color w:val="auto"/>
          <w:kern w:val="0"/>
          <w:sz w:val="24"/>
          <w:szCs w:val="22"/>
          <w:highlight w:val="none"/>
          <w:lang w:val="en-US" w:eastAsia="zh-CN"/>
        </w:rPr>
        <w:t>07包普通耗材类采购清单及技术参数：</w:t>
      </w:r>
    </w:p>
    <w:tbl>
      <w:tblPr>
        <w:tblStyle w:val="2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1"/>
        <w:gridCol w:w="2196"/>
        <w:gridCol w:w="2429"/>
        <w:gridCol w:w="789"/>
        <w:gridCol w:w="827"/>
        <w:gridCol w:w="1327"/>
        <w:gridCol w:w="1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b/>
                <w:bCs/>
                <w:color w:val="auto"/>
                <w:kern w:val="0"/>
                <w:sz w:val="24"/>
                <w:szCs w:val="22"/>
                <w:highlight w:val="none"/>
                <w:vertAlign w:val="baseline"/>
                <w:lang w:val="en-US" w:eastAsia="zh-CN"/>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110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b/>
                <w:bCs/>
                <w:color w:val="auto"/>
                <w:kern w:val="0"/>
                <w:sz w:val="24"/>
                <w:szCs w:val="22"/>
                <w:highlight w:val="none"/>
                <w:vertAlign w:val="baseline"/>
                <w:lang w:val="en-US" w:eastAsia="zh-CN"/>
              </w:rPr>
            </w:pPr>
            <w:r>
              <w:rPr>
                <w:rFonts w:hint="eastAsia" w:ascii="宋体" w:hAnsi="宋体" w:eastAsia="宋体" w:cs="宋体"/>
                <w:b/>
                <w:bCs/>
                <w:i w:val="0"/>
                <w:iCs w:val="0"/>
                <w:color w:val="auto"/>
                <w:kern w:val="0"/>
                <w:sz w:val="22"/>
                <w:szCs w:val="22"/>
                <w:highlight w:val="none"/>
                <w:u w:val="none"/>
                <w:lang w:val="en-US" w:eastAsia="zh-CN" w:bidi="ar"/>
              </w:rPr>
              <w:t>产品名称</w:t>
            </w:r>
          </w:p>
        </w:tc>
        <w:tc>
          <w:tcPr>
            <w:tcW w:w="1219"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参数</w:t>
            </w:r>
          </w:p>
        </w:tc>
        <w:tc>
          <w:tcPr>
            <w:tcW w:w="39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b/>
                <w:bCs/>
                <w:color w:val="auto"/>
                <w:kern w:val="0"/>
                <w:sz w:val="24"/>
                <w:szCs w:val="22"/>
                <w:highlight w:val="none"/>
                <w:vertAlign w:val="baseline"/>
                <w:lang w:val="en-US" w:eastAsia="zh-CN"/>
              </w:rPr>
            </w:pPr>
            <w:r>
              <w:rPr>
                <w:rFonts w:hint="eastAsia" w:ascii="宋体" w:hAnsi="宋体" w:eastAsia="宋体" w:cs="宋体"/>
                <w:b/>
                <w:bCs/>
                <w:i w:val="0"/>
                <w:iCs w:val="0"/>
                <w:color w:val="auto"/>
                <w:kern w:val="0"/>
                <w:sz w:val="22"/>
                <w:szCs w:val="22"/>
                <w:highlight w:val="none"/>
                <w:u w:val="none"/>
                <w:lang w:val="en-US" w:eastAsia="zh-CN" w:bidi="ar"/>
              </w:rPr>
              <w:t>数量</w:t>
            </w:r>
          </w:p>
        </w:tc>
        <w:tc>
          <w:tcPr>
            <w:tcW w:w="415"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单位</w:t>
            </w:r>
          </w:p>
        </w:tc>
        <w:tc>
          <w:tcPr>
            <w:tcW w:w="666"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最高单价限价（元）</w:t>
            </w:r>
          </w:p>
        </w:tc>
        <w:tc>
          <w:tcPr>
            <w:tcW w:w="82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是否允许进口产品参与投标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bCs/>
                <w:color w:val="auto"/>
                <w:kern w:val="0"/>
                <w:sz w:val="24"/>
                <w:szCs w:val="22"/>
                <w:highlight w:val="none"/>
                <w:lang w:val="en-US" w:eastAsia="zh-CN"/>
              </w:rPr>
              <w:t>★</w:t>
            </w:r>
            <w:r>
              <w:rPr>
                <w:rFonts w:hint="eastAsia" w:ascii="宋体" w:hAnsi="宋体" w:eastAsia="宋体" w:cs="宋体"/>
                <w:color w:val="auto"/>
                <w:kern w:val="0"/>
                <w:sz w:val="21"/>
                <w:szCs w:val="21"/>
                <w:highlight w:val="none"/>
                <w:lang w:val="en-US" w:eastAsia="zh-CN" w:bidi="ar-SA"/>
              </w:rPr>
              <w:t>1</w:t>
            </w:r>
          </w:p>
        </w:tc>
        <w:tc>
          <w:tcPr>
            <w:tcW w:w="110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胶原蛋白海绵</w:t>
            </w:r>
          </w:p>
        </w:tc>
        <w:tc>
          <w:tcPr>
            <w:tcW w:w="121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≥3*3*0.5cm</w:t>
            </w:r>
          </w:p>
        </w:tc>
        <w:tc>
          <w:tcPr>
            <w:tcW w:w="39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600</w:t>
            </w:r>
          </w:p>
        </w:tc>
        <w:tc>
          <w:tcPr>
            <w:tcW w:w="415"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片</w:t>
            </w:r>
          </w:p>
        </w:tc>
        <w:tc>
          <w:tcPr>
            <w:tcW w:w="6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219.6</w:t>
            </w:r>
          </w:p>
        </w:tc>
        <w:tc>
          <w:tcPr>
            <w:tcW w:w="82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377"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b/>
                <w:bCs/>
                <w:color w:val="auto"/>
                <w:kern w:val="0"/>
                <w:sz w:val="24"/>
                <w:szCs w:val="22"/>
                <w:highlight w:val="none"/>
                <w:lang w:val="en-US" w:eastAsia="zh-CN"/>
              </w:rPr>
              <w:t>★</w:t>
            </w:r>
            <w:r>
              <w:rPr>
                <w:rFonts w:hint="eastAsia" w:ascii="宋体" w:hAnsi="宋体" w:eastAsia="宋体" w:cs="宋体"/>
                <w:color w:val="auto"/>
                <w:kern w:val="0"/>
                <w:sz w:val="21"/>
                <w:szCs w:val="21"/>
                <w:highlight w:val="none"/>
                <w:lang w:val="en-US" w:eastAsia="zh-CN" w:bidi="ar-SA"/>
              </w:rPr>
              <w:t>2</w:t>
            </w:r>
          </w:p>
        </w:tc>
        <w:tc>
          <w:tcPr>
            <w:tcW w:w="110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胶原蛋白海绵</w:t>
            </w:r>
          </w:p>
        </w:tc>
        <w:tc>
          <w:tcPr>
            <w:tcW w:w="121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≥6*4*0.2cm</w:t>
            </w:r>
          </w:p>
        </w:tc>
        <w:tc>
          <w:tcPr>
            <w:tcW w:w="396"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600</w:t>
            </w:r>
          </w:p>
        </w:tc>
        <w:tc>
          <w:tcPr>
            <w:tcW w:w="415"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片</w:t>
            </w:r>
          </w:p>
        </w:tc>
        <w:tc>
          <w:tcPr>
            <w:tcW w:w="6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403</w:t>
            </w:r>
          </w:p>
        </w:tc>
        <w:tc>
          <w:tcPr>
            <w:tcW w:w="82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b/>
                <w:bCs/>
                <w:color w:val="auto"/>
                <w:kern w:val="0"/>
                <w:sz w:val="24"/>
                <w:szCs w:val="22"/>
                <w:highlight w:val="none"/>
                <w:lang w:val="en-US" w:eastAsia="zh-CN"/>
              </w:rPr>
              <w:t>★</w:t>
            </w:r>
            <w:r>
              <w:rPr>
                <w:rFonts w:hint="eastAsia" w:ascii="宋体" w:hAnsi="宋体" w:eastAsia="宋体" w:cs="宋体"/>
                <w:color w:val="auto"/>
                <w:kern w:val="0"/>
                <w:sz w:val="21"/>
                <w:szCs w:val="21"/>
                <w:highlight w:val="none"/>
                <w:lang w:val="en-US" w:eastAsia="zh-CN" w:bidi="ar-SA"/>
              </w:rPr>
              <w:t>3</w:t>
            </w:r>
          </w:p>
        </w:tc>
        <w:tc>
          <w:tcPr>
            <w:tcW w:w="110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胶原蛋白海绵</w:t>
            </w:r>
          </w:p>
        </w:tc>
        <w:tc>
          <w:tcPr>
            <w:tcW w:w="121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≥5*3*0.2cm</w:t>
            </w:r>
          </w:p>
        </w:tc>
        <w:tc>
          <w:tcPr>
            <w:tcW w:w="39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600</w:t>
            </w:r>
          </w:p>
        </w:tc>
        <w:tc>
          <w:tcPr>
            <w:tcW w:w="415"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片</w:t>
            </w:r>
          </w:p>
        </w:tc>
        <w:tc>
          <w:tcPr>
            <w:tcW w:w="6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380</w:t>
            </w:r>
          </w:p>
        </w:tc>
        <w:tc>
          <w:tcPr>
            <w:tcW w:w="82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w:t>
            </w:r>
          </w:p>
        </w:tc>
        <w:tc>
          <w:tcPr>
            <w:tcW w:w="110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一次性使用医用外科口罩</w:t>
            </w:r>
          </w:p>
        </w:tc>
        <w:tc>
          <w:tcPr>
            <w:tcW w:w="121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≥17.5cm*9.5cm 1个/包 </w:t>
            </w:r>
            <w:r>
              <w:rPr>
                <w:rFonts w:hint="eastAsia"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10个/包</w:t>
            </w:r>
          </w:p>
        </w:tc>
        <w:tc>
          <w:tcPr>
            <w:tcW w:w="39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8000</w:t>
            </w:r>
          </w:p>
        </w:tc>
        <w:tc>
          <w:tcPr>
            <w:tcW w:w="415"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个</w:t>
            </w:r>
          </w:p>
        </w:tc>
        <w:tc>
          <w:tcPr>
            <w:tcW w:w="6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0.53 </w:t>
            </w:r>
          </w:p>
        </w:tc>
        <w:tc>
          <w:tcPr>
            <w:tcW w:w="82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w:t>
            </w:r>
          </w:p>
        </w:tc>
        <w:tc>
          <w:tcPr>
            <w:tcW w:w="110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一次性使用无菌医用帽</w:t>
            </w:r>
          </w:p>
        </w:tc>
        <w:tc>
          <w:tcPr>
            <w:tcW w:w="121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10个/包</w:t>
            </w:r>
          </w:p>
        </w:tc>
        <w:tc>
          <w:tcPr>
            <w:tcW w:w="396"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3000</w:t>
            </w:r>
          </w:p>
        </w:tc>
        <w:tc>
          <w:tcPr>
            <w:tcW w:w="415"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个</w:t>
            </w:r>
          </w:p>
        </w:tc>
        <w:tc>
          <w:tcPr>
            <w:tcW w:w="6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0.30 </w:t>
            </w:r>
          </w:p>
        </w:tc>
        <w:tc>
          <w:tcPr>
            <w:tcW w:w="82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w:t>
            </w:r>
          </w:p>
        </w:tc>
        <w:tc>
          <w:tcPr>
            <w:tcW w:w="110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一次性无菌医用帽</w:t>
            </w:r>
          </w:p>
        </w:tc>
        <w:tc>
          <w:tcPr>
            <w:tcW w:w="121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B型（圆帽）；1只/包</w:t>
            </w:r>
          </w:p>
        </w:tc>
        <w:tc>
          <w:tcPr>
            <w:tcW w:w="39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2000</w:t>
            </w:r>
          </w:p>
        </w:tc>
        <w:tc>
          <w:tcPr>
            <w:tcW w:w="415"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个</w:t>
            </w:r>
          </w:p>
        </w:tc>
        <w:tc>
          <w:tcPr>
            <w:tcW w:w="6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0.60 </w:t>
            </w:r>
          </w:p>
        </w:tc>
        <w:tc>
          <w:tcPr>
            <w:tcW w:w="82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noWrap w:val="0"/>
            <w:vAlign w:val="center"/>
          </w:tcPr>
          <w:p>
            <w:pPr>
              <w:keepNext w:val="0"/>
              <w:keepLines w:val="0"/>
              <w:widowControl/>
              <w:suppressLineNumbers w:val="0"/>
              <w:autoSpaceDE w:val="0"/>
              <w:autoSpaceDN w:val="0"/>
              <w:spacing w:line="360" w:lineRule="auto"/>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w:t>
            </w:r>
          </w:p>
        </w:tc>
        <w:tc>
          <w:tcPr>
            <w:tcW w:w="110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防护口罩</w:t>
            </w:r>
          </w:p>
        </w:tc>
        <w:tc>
          <w:tcPr>
            <w:tcW w:w="1219"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N95 折叠头戴型</w:t>
            </w:r>
          </w:p>
        </w:tc>
        <w:tc>
          <w:tcPr>
            <w:tcW w:w="39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1000</w:t>
            </w:r>
          </w:p>
        </w:tc>
        <w:tc>
          <w:tcPr>
            <w:tcW w:w="415"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个</w:t>
            </w:r>
          </w:p>
        </w:tc>
        <w:tc>
          <w:tcPr>
            <w:tcW w:w="666"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5.00 </w:t>
            </w:r>
          </w:p>
        </w:tc>
        <w:tc>
          <w:tcPr>
            <w:tcW w:w="822" w:type="pct"/>
            <w:noWrap w:val="0"/>
            <w:vAlign w:val="center"/>
          </w:tcPr>
          <w:p>
            <w:pPr>
              <w:keepNext w:val="0"/>
              <w:keepLines w:val="0"/>
              <w:widowControl/>
              <w:suppressLineNumbers w:val="0"/>
              <w:autoSpaceDE w:val="0"/>
              <w:autoSpaceDN w:val="0"/>
              <w:spacing w:line="36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否</w:t>
            </w:r>
          </w:p>
        </w:tc>
      </w:tr>
    </w:tbl>
    <w:p>
      <w:pPr>
        <w:bidi w:val="0"/>
        <w:rPr>
          <w:rFonts w:hint="default"/>
          <w:color w:val="auto"/>
          <w:highlight w:val="none"/>
          <w:lang w:val="en-US" w:eastAsia="zh-CN"/>
        </w:rPr>
      </w:pPr>
      <w:r>
        <w:rPr>
          <w:rFonts w:hint="eastAsia"/>
          <w:color w:val="auto"/>
          <w:highlight w:val="none"/>
          <w:lang w:val="en-US" w:eastAsia="zh-CN"/>
        </w:rPr>
        <w:t>注：采购数量为0的产品，为临时采购的产品。</w:t>
      </w:r>
    </w:p>
    <w:p>
      <w:pPr>
        <w:numPr>
          <w:ilvl w:val="0"/>
          <w:numId w:val="0"/>
        </w:numPr>
        <w:autoSpaceDE w:val="0"/>
        <w:autoSpaceDN w:val="0"/>
        <w:bidi w:val="0"/>
        <w:spacing w:line="360" w:lineRule="auto"/>
        <w:jc w:val="left"/>
        <w:outlineLvl w:val="1"/>
        <w:rPr>
          <w:rFonts w:hint="eastAsia" w:ascii="宋体" w:hAnsi="宋体" w:eastAsia="宋体" w:cs="宋体"/>
          <w:b/>
          <w:bCs/>
          <w:color w:val="auto"/>
          <w:kern w:val="0"/>
          <w:sz w:val="24"/>
          <w:szCs w:val="22"/>
          <w:highlight w:val="none"/>
          <w:lang w:val="en-US" w:eastAsia="zh-CN"/>
        </w:rPr>
      </w:pPr>
      <w:r>
        <w:rPr>
          <w:rFonts w:hint="eastAsia" w:ascii="宋体" w:hAnsi="宋体" w:eastAsia="宋体" w:cs="宋体"/>
          <w:b/>
          <w:bCs/>
          <w:color w:val="auto"/>
          <w:kern w:val="0"/>
          <w:sz w:val="24"/>
          <w:szCs w:val="22"/>
          <w:highlight w:val="none"/>
          <w:lang w:val="en-US" w:eastAsia="zh-CN"/>
        </w:rPr>
        <w:t>三、商务要求</w:t>
      </w:r>
    </w:p>
    <w:p>
      <w:pPr>
        <w:autoSpaceDE w:val="0"/>
        <w:autoSpaceDN w:val="0"/>
        <w:spacing w:line="360" w:lineRule="auto"/>
        <w:ind w:firstLine="48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zh-CN"/>
        </w:rPr>
        <w:t>1</w:t>
      </w:r>
      <w:r>
        <w:rPr>
          <w:rFonts w:hint="eastAsia" w:ascii="宋体" w:hAnsi="宋体" w:eastAsia="宋体" w:cs="宋体"/>
          <w:color w:val="auto"/>
          <w:kern w:val="0"/>
          <w:sz w:val="24"/>
          <w:szCs w:val="24"/>
          <w:highlight w:val="none"/>
          <w:lang w:val="en-US" w:eastAsia="zh-CN"/>
        </w:rPr>
        <w:t>.本项目报价包含了货物设计、材料、制造、包装、运输等所有其他有关各项的含税费用，采购包试剂配套设备的性能验证、维修、保养、校准等一切费用。</w:t>
      </w:r>
    </w:p>
    <w:p>
      <w:pPr>
        <w:autoSpaceDE w:val="0"/>
        <w:autoSpaceDN w:val="0"/>
        <w:spacing w:line="360" w:lineRule="auto"/>
        <w:ind w:firstLine="48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2.挂网耗材必须在“四川药械采购集中采购及医药价格监管平台”获得配送权并生成订单；</w:t>
      </w:r>
    </w:p>
    <w:p>
      <w:pPr>
        <w:autoSpaceDE w:val="0"/>
        <w:autoSpaceDN w:val="0"/>
        <w:spacing w:line="360" w:lineRule="auto"/>
        <w:ind w:firstLine="48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如产品出现了降价的情况配送供应商必须执行新价格；采购价不得高于“四川药械采购集中采购及医药价格监管平台”中的“我省最高参考价”、“联动参考价”、“截止上月末全省医疗机构采购加权平均价”等价格，中标供应商无条件执行价格政策，并在四川药械采购网上进行价格确认生成订单，中标供应商如不执行我院有权终止合同；</w:t>
      </w:r>
    </w:p>
    <w:p>
      <w:pPr>
        <w:autoSpaceDE w:val="0"/>
        <w:autoSpaceDN w:val="0"/>
        <w:spacing w:line="360" w:lineRule="auto"/>
        <w:ind w:firstLine="48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4.所有采购产品，出现国家集采范围内，进入国家集采范围内的产品自动中止采购，执行国家集采相关政策；</w:t>
      </w:r>
    </w:p>
    <w:p>
      <w:pPr>
        <w:autoSpaceDE w:val="0"/>
        <w:autoSpaceDN w:val="0"/>
        <w:spacing w:line="360" w:lineRule="auto"/>
        <w:ind w:firstLine="48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val="zh-CN"/>
        </w:rPr>
        <w:t>以上列举</w:t>
      </w:r>
      <w:r>
        <w:rPr>
          <w:rFonts w:hint="eastAsia" w:ascii="宋体" w:hAnsi="宋体" w:eastAsia="宋体" w:cs="宋体"/>
          <w:color w:val="auto"/>
          <w:kern w:val="0"/>
          <w:sz w:val="24"/>
          <w:szCs w:val="24"/>
          <w:highlight w:val="none"/>
          <w:lang w:val="en-US" w:eastAsia="zh-CN"/>
        </w:rPr>
        <w:t>耗材</w:t>
      </w:r>
      <w:r>
        <w:rPr>
          <w:rFonts w:hint="eastAsia" w:ascii="宋体" w:hAnsi="宋体" w:eastAsia="宋体" w:cs="宋体"/>
          <w:color w:val="auto"/>
          <w:kern w:val="0"/>
          <w:sz w:val="24"/>
          <w:szCs w:val="24"/>
          <w:highlight w:val="none"/>
          <w:lang w:val="zh-CN"/>
        </w:rPr>
        <w:t>为院内主要采购的</w:t>
      </w:r>
      <w:r>
        <w:rPr>
          <w:rFonts w:hint="eastAsia" w:ascii="宋体" w:hAnsi="宋体" w:eastAsia="宋体" w:cs="宋体"/>
          <w:color w:val="auto"/>
          <w:kern w:val="0"/>
          <w:sz w:val="24"/>
          <w:szCs w:val="24"/>
          <w:highlight w:val="none"/>
          <w:lang w:val="en-US" w:eastAsia="zh-CN"/>
        </w:rPr>
        <w:t>耗材</w:t>
      </w:r>
      <w:r>
        <w:rPr>
          <w:rFonts w:hint="eastAsia" w:ascii="宋体" w:hAnsi="宋体" w:eastAsia="宋体" w:cs="宋体"/>
          <w:color w:val="auto"/>
          <w:kern w:val="0"/>
          <w:sz w:val="24"/>
          <w:szCs w:val="24"/>
          <w:highlight w:val="none"/>
          <w:lang w:val="zh-CN"/>
        </w:rPr>
        <w:t>（属预估清单），以上清单并不代表采购的所有内容，供应商在服务期限内须根据采购人实际需求提供相应</w:t>
      </w:r>
      <w:r>
        <w:rPr>
          <w:rFonts w:hint="eastAsia" w:ascii="宋体" w:hAnsi="宋体" w:eastAsia="宋体" w:cs="宋体"/>
          <w:color w:val="auto"/>
          <w:kern w:val="0"/>
          <w:sz w:val="24"/>
          <w:szCs w:val="24"/>
          <w:highlight w:val="none"/>
          <w:lang w:val="en-US" w:eastAsia="zh-CN"/>
        </w:rPr>
        <w:t>耗材</w:t>
      </w:r>
      <w:r>
        <w:rPr>
          <w:rFonts w:hint="eastAsia" w:ascii="宋体" w:hAnsi="宋体" w:eastAsia="宋体" w:cs="宋体"/>
          <w:color w:val="auto"/>
          <w:kern w:val="0"/>
          <w:sz w:val="24"/>
          <w:szCs w:val="24"/>
          <w:highlight w:val="none"/>
          <w:lang w:val="zh-CN"/>
        </w:rPr>
        <w:t>，清单中未列举的</w:t>
      </w:r>
      <w:r>
        <w:rPr>
          <w:rFonts w:hint="eastAsia" w:ascii="宋体" w:hAnsi="宋体" w:eastAsia="宋体" w:cs="宋体"/>
          <w:color w:val="auto"/>
          <w:kern w:val="0"/>
          <w:sz w:val="24"/>
          <w:szCs w:val="24"/>
          <w:highlight w:val="none"/>
          <w:lang w:val="en-US" w:eastAsia="zh-CN"/>
        </w:rPr>
        <w:t>耗材</w:t>
      </w:r>
      <w:r>
        <w:rPr>
          <w:rFonts w:hint="eastAsia" w:ascii="宋体" w:hAnsi="宋体" w:eastAsia="宋体" w:cs="宋体"/>
          <w:color w:val="auto"/>
          <w:kern w:val="0"/>
          <w:sz w:val="24"/>
          <w:szCs w:val="24"/>
          <w:highlight w:val="none"/>
          <w:lang w:val="zh-CN"/>
        </w:rPr>
        <w:t>，双方按照市场价确定采购价格。</w:t>
      </w:r>
    </w:p>
    <w:p>
      <w:pPr>
        <w:autoSpaceDE w:val="0"/>
        <w:autoSpaceDN w:val="0"/>
        <w:spacing w:line="360" w:lineRule="auto"/>
        <w:ind w:firstLine="480"/>
        <w:jc w:val="left"/>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val="zh-CN"/>
        </w:rPr>
        <w:t>以上医院采购</w:t>
      </w:r>
      <w:r>
        <w:rPr>
          <w:rFonts w:hint="eastAsia" w:ascii="宋体" w:hAnsi="宋体" w:eastAsia="宋体" w:cs="宋体"/>
          <w:color w:val="auto"/>
          <w:kern w:val="0"/>
          <w:sz w:val="24"/>
          <w:szCs w:val="24"/>
          <w:highlight w:val="none"/>
          <w:lang w:val="en-US" w:eastAsia="zh-CN"/>
        </w:rPr>
        <w:t>耗材</w:t>
      </w:r>
      <w:r>
        <w:rPr>
          <w:rFonts w:hint="eastAsia" w:ascii="宋体" w:hAnsi="宋体" w:eastAsia="宋体" w:cs="宋体"/>
          <w:color w:val="auto"/>
          <w:kern w:val="0"/>
          <w:sz w:val="24"/>
          <w:szCs w:val="24"/>
          <w:highlight w:val="none"/>
          <w:lang w:val="zh-CN"/>
        </w:rPr>
        <w:t>，不是一次性供货。在供货期内，按医院通知的名称和数量进行供货。</w:t>
      </w:r>
    </w:p>
    <w:p>
      <w:pPr>
        <w:autoSpaceDE w:val="0"/>
        <w:autoSpaceDN w:val="0"/>
        <w:spacing w:line="360" w:lineRule="auto"/>
        <w:ind w:firstLine="48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7.所提供的货物产品有效期不得低于6个月。</w:t>
      </w:r>
    </w:p>
    <w:p>
      <w:pPr>
        <w:autoSpaceDE w:val="0"/>
        <w:autoSpaceDN w:val="0"/>
        <w:spacing w:line="360" w:lineRule="auto"/>
        <w:ind w:firstLine="48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lang w:val="zh-CN"/>
        </w:rPr>
        <w:t>.供货期限及供货约定</w:t>
      </w:r>
    </w:p>
    <w:p>
      <w:pPr>
        <w:autoSpaceDE w:val="0"/>
        <w:autoSpaceDN w:val="0"/>
        <w:spacing w:line="360" w:lineRule="auto"/>
        <w:ind w:firstLine="48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（1）合同签订之日起一年。</w:t>
      </w:r>
    </w:p>
    <w:p>
      <w:pPr>
        <w:autoSpaceDE w:val="0"/>
        <w:autoSpaceDN w:val="0"/>
        <w:spacing w:line="360" w:lineRule="auto"/>
        <w:ind w:firstLine="48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（2）合同未到期但采购金额已满。在医院未完成新供应商招标，新供应商未供货前，医院继续沿用当前供应商继续供货，供货商品技术要求、商务要求、供货价额按原采购合同执行</w:t>
      </w:r>
      <w:r>
        <w:rPr>
          <w:rFonts w:hint="eastAsia" w:ascii="宋体" w:hAnsi="宋体" w:eastAsia="宋体" w:cs="宋体"/>
          <w:color w:val="FF0000"/>
          <w:kern w:val="0"/>
          <w:sz w:val="24"/>
          <w:szCs w:val="24"/>
          <w:highlight w:val="none"/>
          <w:lang w:val="zh-CN"/>
        </w:rPr>
        <w:t>，但累计供货不得超过合同总金额的10%。</w:t>
      </w:r>
    </w:p>
    <w:p>
      <w:pPr>
        <w:autoSpaceDE w:val="0"/>
        <w:autoSpaceDN w:val="0"/>
        <w:spacing w:line="360" w:lineRule="auto"/>
        <w:ind w:firstLine="48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lang w:val="zh-CN"/>
        </w:rPr>
        <w:t>.交货地点：富顺县中医医院指定地点（含富达路院区、</w:t>
      </w:r>
      <w:r>
        <w:rPr>
          <w:rFonts w:hint="eastAsia" w:ascii="宋体" w:hAnsi="宋体" w:eastAsia="宋体" w:cs="宋体"/>
          <w:color w:val="auto"/>
          <w:kern w:val="0"/>
          <w:sz w:val="24"/>
          <w:szCs w:val="24"/>
          <w:highlight w:val="none"/>
          <w:lang w:val="zh-CN" w:eastAsia="zh-CN"/>
        </w:rPr>
        <w:t>同心院区</w:t>
      </w:r>
      <w:r>
        <w:rPr>
          <w:rFonts w:hint="eastAsia" w:ascii="宋体" w:hAnsi="宋体" w:eastAsia="宋体" w:cs="宋体"/>
          <w:color w:val="auto"/>
          <w:kern w:val="0"/>
          <w:sz w:val="24"/>
          <w:szCs w:val="24"/>
          <w:highlight w:val="none"/>
          <w:lang w:val="zh-CN"/>
        </w:rPr>
        <w:t>和其他临时地点）。</w:t>
      </w:r>
    </w:p>
    <w:p>
      <w:pPr>
        <w:autoSpaceDE w:val="0"/>
        <w:autoSpaceDN w:val="0"/>
        <w:spacing w:line="360" w:lineRule="auto"/>
        <w:ind w:firstLine="48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lang w:val="zh-CN"/>
        </w:rPr>
        <w:t>.合同签订日期：</w:t>
      </w:r>
      <w:r>
        <w:rPr>
          <w:rFonts w:hint="eastAsia" w:cs="宋体"/>
          <w:color w:val="auto"/>
          <w:kern w:val="0"/>
          <w:sz w:val="24"/>
          <w:szCs w:val="24"/>
          <w:highlight w:val="none"/>
          <w:lang w:val="en-US" w:eastAsia="zh-CN"/>
        </w:rPr>
        <w:t>中标</w:t>
      </w:r>
      <w:r>
        <w:rPr>
          <w:rFonts w:hint="eastAsia" w:ascii="宋体" w:hAnsi="宋体" w:eastAsia="宋体" w:cs="宋体"/>
          <w:color w:val="auto"/>
          <w:kern w:val="0"/>
          <w:sz w:val="24"/>
          <w:szCs w:val="24"/>
          <w:highlight w:val="none"/>
          <w:lang w:val="zh-CN"/>
        </w:rPr>
        <w:t>通知书发出之日起30日内签订采购合同。</w:t>
      </w:r>
    </w:p>
    <w:p>
      <w:pPr>
        <w:autoSpaceDE w:val="0"/>
        <w:autoSpaceDN w:val="0"/>
        <w:spacing w:line="360" w:lineRule="auto"/>
        <w:ind w:firstLine="48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lang w:val="zh-CN"/>
        </w:rPr>
        <w:t>.付款方式</w:t>
      </w:r>
      <w:r>
        <w:rPr>
          <w:rFonts w:hint="eastAsia" w:ascii="宋体" w:hAnsi="宋体" w:eastAsia="宋体" w:cs="宋体"/>
          <w:color w:val="auto"/>
          <w:kern w:val="0"/>
          <w:sz w:val="24"/>
          <w:szCs w:val="24"/>
          <w:highlight w:val="none"/>
          <w:lang w:val="zh-CN" w:eastAsia="zh-CN"/>
        </w:rPr>
        <w:t>：</w:t>
      </w:r>
      <w:r>
        <w:rPr>
          <w:rFonts w:hint="eastAsia" w:ascii="宋体" w:hAnsi="宋体" w:eastAsia="宋体" w:cs="宋体"/>
          <w:color w:val="auto"/>
          <w:kern w:val="0"/>
          <w:sz w:val="24"/>
          <w:szCs w:val="24"/>
          <w:highlight w:val="none"/>
          <w:lang w:val="zh-CN"/>
        </w:rPr>
        <w:t>合同签订后，货款结算方式：按月实际用量结算，次月收到发票及相关凭证后30日内，支付上月结算货款。</w:t>
      </w:r>
      <w:r>
        <w:rPr>
          <w:rFonts w:hint="eastAsia" w:ascii="宋体" w:hAnsi="宋体" w:eastAsia="宋体" w:cs="宋体"/>
          <w:color w:val="auto"/>
          <w:kern w:val="0"/>
          <w:sz w:val="24"/>
          <w:szCs w:val="24"/>
          <w:highlight w:val="none"/>
          <w:lang w:val="zh-CN" w:eastAsia="zh-CN"/>
        </w:rPr>
        <w:t>（</w:t>
      </w:r>
      <w:r>
        <w:rPr>
          <w:rFonts w:hint="eastAsia" w:ascii="宋体" w:hAnsi="宋体" w:eastAsia="宋体" w:cs="宋体"/>
          <w:color w:val="auto"/>
          <w:kern w:val="0"/>
          <w:sz w:val="24"/>
          <w:szCs w:val="24"/>
          <w:highlight w:val="none"/>
          <w:lang w:val="zh-CN"/>
        </w:rPr>
        <w:t>付款前，乙方须向甲方出具合法有效完整的发票及凭证资料后进行支付结算，付款方式均采用公对公的银行转账，甲方接受转账的开户信息以合同载明的为准。如因乙方未按照要求提供合法有效的发票导致逾期付款的，不视为甲方违约，甲方不承担任何责任。</w:t>
      </w:r>
      <w:r>
        <w:rPr>
          <w:rFonts w:hint="eastAsia" w:ascii="宋体" w:hAnsi="宋体" w:eastAsia="宋体" w:cs="宋体"/>
          <w:color w:val="auto"/>
          <w:kern w:val="0"/>
          <w:sz w:val="24"/>
          <w:szCs w:val="24"/>
          <w:highlight w:val="none"/>
          <w:lang w:val="zh-CN" w:eastAsia="zh-CN"/>
        </w:rPr>
        <w:t>）</w:t>
      </w:r>
    </w:p>
    <w:p>
      <w:pPr>
        <w:autoSpaceDE w:val="0"/>
        <w:autoSpaceDN w:val="0"/>
        <w:spacing w:line="360" w:lineRule="auto"/>
        <w:ind w:firstLine="48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lang w:val="zh-CN"/>
        </w:rPr>
        <w:t>.售后服务要求</w:t>
      </w:r>
    </w:p>
    <w:p>
      <w:pPr>
        <w:autoSpaceDE w:val="0"/>
        <w:autoSpaceDN w:val="0"/>
        <w:spacing w:line="360" w:lineRule="auto"/>
        <w:ind w:firstLine="48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（1）供应商所提供的</w:t>
      </w:r>
      <w:r>
        <w:rPr>
          <w:rFonts w:hint="eastAsia" w:ascii="宋体" w:hAnsi="宋体" w:eastAsia="宋体" w:cs="宋体"/>
          <w:color w:val="auto"/>
          <w:kern w:val="0"/>
          <w:sz w:val="24"/>
          <w:szCs w:val="24"/>
          <w:highlight w:val="none"/>
          <w:lang w:val="en-US" w:eastAsia="zh-CN"/>
        </w:rPr>
        <w:t>耗材</w:t>
      </w:r>
      <w:r>
        <w:rPr>
          <w:rFonts w:hint="eastAsia" w:ascii="宋体" w:hAnsi="宋体" w:eastAsia="宋体" w:cs="宋体"/>
          <w:color w:val="auto"/>
          <w:kern w:val="0"/>
          <w:sz w:val="24"/>
          <w:szCs w:val="24"/>
          <w:highlight w:val="none"/>
          <w:lang w:val="zh-CN"/>
        </w:rPr>
        <w:t>不符合医院要求的需立即进行免费更换并承担更换的所有费用。</w:t>
      </w:r>
    </w:p>
    <w:p>
      <w:pPr>
        <w:autoSpaceDE w:val="0"/>
        <w:autoSpaceDN w:val="0"/>
        <w:spacing w:line="360" w:lineRule="auto"/>
        <w:ind w:firstLine="48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（2）产品出现质量问题，供应商必须在下次供货时进行免费更换。其他售后服务要求以合同约定为准。</w:t>
      </w:r>
    </w:p>
    <w:p>
      <w:pPr>
        <w:autoSpaceDE w:val="0"/>
        <w:autoSpaceDN w:val="0"/>
        <w:spacing w:line="360" w:lineRule="auto"/>
        <w:ind w:firstLine="48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en-US" w:eastAsia="zh-CN"/>
        </w:rPr>
        <w:t>13</w:t>
      </w:r>
      <w:r>
        <w:rPr>
          <w:rFonts w:hint="eastAsia" w:ascii="宋体" w:hAnsi="宋体" w:eastAsia="宋体" w:cs="宋体"/>
          <w:color w:val="auto"/>
          <w:kern w:val="0"/>
          <w:sz w:val="24"/>
          <w:szCs w:val="24"/>
          <w:highlight w:val="none"/>
          <w:lang w:val="zh-CN"/>
        </w:rPr>
        <w:t>.验收标准及方法</w:t>
      </w:r>
    </w:p>
    <w:p>
      <w:pPr>
        <w:bidi w:val="0"/>
        <w:ind w:firstLine="480" w:firstLineChars="200"/>
        <w:outlineLvl w:val="1"/>
        <w:rPr>
          <w:b/>
          <w:bCs/>
          <w:color w:val="auto"/>
          <w:highlight w:val="none"/>
        </w:rPr>
      </w:pPr>
      <w:r>
        <w:rPr>
          <w:rFonts w:hint="eastAsia" w:ascii="宋体" w:hAnsi="宋体" w:eastAsia="宋体" w:cs="宋体"/>
          <w:color w:val="auto"/>
          <w:kern w:val="0"/>
          <w:sz w:val="24"/>
          <w:szCs w:val="24"/>
          <w:highlight w:val="none"/>
          <w:lang w:val="zh-CN"/>
        </w:rPr>
        <w:t>按国家有关规定、采购文件的服务要求、投标人的投标文件及承诺以及合同约定的标准且参照财库[2016]205号财政部关于进一步加强政府采购需求和履约验收管理的指导意见进行验收。</w:t>
      </w:r>
    </w:p>
    <w:p>
      <w:pPr>
        <w:ind w:firstLine="480" w:firstLineChars="200"/>
        <w:rPr>
          <w:rFonts w:hint="eastAsia"/>
          <w:color w:val="auto"/>
          <w:highlight w:val="none"/>
          <w:lang w:val="en-US"/>
        </w:rPr>
      </w:pPr>
    </w:p>
    <w:p>
      <w:pPr>
        <w:ind w:firstLine="480" w:firstLineChars="200"/>
        <w:rPr>
          <w:rFonts w:hint="eastAsia"/>
          <w:color w:val="auto"/>
          <w:highlight w:val="none"/>
          <w:lang w:val="en-US"/>
        </w:rPr>
      </w:pPr>
      <w:r>
        <w:rPr>
          <w:rFonts w:hint="eastAsia"/>
          <w:color w:val="auto"/>
          <w:highlight w:val="none"/>
          <w:lang w:val="en-US"/>
        </w:rPr>
        <w:br w:type="page"/>
      </w:r>
    </w:p>
    <w:bookmarkEnd w:id="23"/>
    <w:bookmarkEnd w:id="24"/>
    <w:bookmarkEnd w:id="25"/>
    <w:bookmarkEnd w:id="26"/>
    <w:bookmarkEnd w:id="27"/>
    <w:bookmarkEnd w:id="28"/>
    <w:bookmarkEnd w:id="29"/>
    <w:bookmarkEnd w:id="30"/>
    <w:p>
      <w:pPr>
        <w:pStyle w:val="4"/>
        <w:bidi w:val="0"/>
        <w:rPr>
          <w:color w:val="auto"/>
          <w:highlight w:val="none"/>
          <w:lang w:val="en-US"/>
        </w:rPr>
      </w:pPr>
      <w:bookmarkStart w:id="32" w:name="_Toc6974"/>
      <w:r>
        <w:rPr>
          <w:rFonts w:hint="eastAsia"/>
          <w:color w:val="auto"/>
          <w:highlight w:val="none"/>
          <w:lang w:val="en-US"/>
        </w:rPr>
        <w:t>第七章  评标办法</w:t>
      </w:r>
      <w:bookmarkEnd w:id="31"/>
      <w:bookmarkEnd w:id="32"/>
    </w:p>
    <w:p>
      <w:pPr>
        <w:autoSpaceDE/>
        <w:autoSpaceDN/>
        <w:spacing w:line="360" w:lineRule="auto"/>
        <w:jc w:val="both"/>
        <w:rPr>
          <w:b/>
          <w:color w:val="auto"/>
          <w:sz w:val="35"/>
          <w:highlight w:val="none"/>
        </w:rPr>
      </w:pPr>
      <w:r>
        <w:rPr>
          <w:rFonts w:hint="eastAsia" w:cs="Times New Roman"/>
          <w:b/>
          <w:color w:val="auto"/>
          <w:kern w:val="2"/>
          <w:sz w:val="28"/>
          <w:szCs w:val="28"/>
          <w:highlight w:val="none"/>
          <w:lang w:val="en-US"/>
        </w:rPr>
        <w:t>1.总则</w:t>
      </w:r>
    </w:p>
    <w:p>
      <w:pPr>
        <w:pStyle w:val="2"/>
        <w:spacing w:line="360" w:lineRule="auto"/>
        <w:ind w:firstLine="480" w:firstLineChars="200"/>
        <w:jc w:val="both"/>
        <w:rPr>
          <w:color w:val="auto"/>
          <w:highlight w:val="none"/>
        </w:rPr>
      </w:pPr>
      <w:r>
        <w:rPr>
          <w:rFonts w:hint="eastAsia"/>
          <w:color w:val="auto"/>
          <w:highlight w:val="none"/>
        </w:rPr>
        <w:t>1.1 根据《中华人民共和国政府采购法》、《中华人民共和国政府采购法实施条例》、《政府采购货物和服务招标投标管理办法》等法律制度，结合采购项目特点制定本评标办法。</w:t>
      </w:r>
    </w:p>
    <w:p>
      <w:pPr>
        <w:pStyle w:val="2"/>
        <w:spacing w:line="360" w:lineRule="auto"/>
        <w:ind w:firstLine="480" w:firstLineChars="200"/>
        <w:jc w:val="both"/>
        <w:rPr>
          <w:color w:val="auto"/>
          <w:highlight w:val="none"/>
        </w:rPr>
      </w:pPr>
      <w:r>
        <w:rPr>
          <w:rFonts w:hint="eastAsia"/>
          <w:color w:val="auto"/>
          <w:highlight w:val="none"/>
        </w:rPr>
        <w:t>1.2 公开招标采购项目开标结束后，采购人或者采购代理机构应当依法对投标人的资格进行审查。依据法律法规和本招标文件的规定，对投标文件是否按照规定要求提供资格性证明材料，以确定投标供应商是否具备投标资格。</w:t>
      </w:r>
    </w:p>
    <w:p>
      <w:pPr>
        <w:pStyle w:val="2"/>
        <w:spacing w:line="360" w:lineRule="auto"/>
        <w:ind w:firstLine="480" w:firstLineChars="200"/>
        <w:jc w:val="both"/>
        <w:rPr>
          <w:color w:val="auto"/>
          <w:highlight w:val="none"/>
        </w:rPr>
      </w:pPr>
      <w:r>
        <w:rPr>
          <w:rFonts w:hint="eastAsia"/>
          <w:color w:val="auto"/>
          <w:highlight w:val="none"/>
        </w:rPr>
        <w:t>合格投标人不足三家的，不得评标。</w:t>
      </w:r>
    </w:p>
    <w:p>
      <w:pPr>
        <w:pStyle w:val="2"/>
        <w:spacing w:line="360" w:lineRule="auto"/>
        <w:ind w:firstLine="480" w:firstLineChars="200"/>
        <w:jc w:val="both"/>
        <w:rPr>
          <w:color w:val="auto"/>
          <w:highlight w:val="none"/>
        </w:rPr>
      </w:pPr>
      <w:r>
        <w:rPr>
          <w:rFonts w:hint="eastAsia"/>
          <w:color w:val="auto"/>
          <w:highlight w:val="none"/>
        </w:rPr>
        <w:t>评标工作由采购代理机构负责组织，具体评标事务由采购代理机构依法组建的评标委员会负责。评标委员会由采购人代表和有关技术、经济、法律等方面的专家组成。</w:t>
      </w:r>
    </w:p>
    <w:p>
      <w:pPr>
        <w:pStyle w:val="2"/>
        <w:spacing w:line="360" w:lineRule="auto"/>
        <w:ind w:firstLine="480" w:firstLineChars="200"/>
        <w:jc w:val="both"/>
        <w:rPr>
          <w:color w:val="auto"/>
          <w:highlight w:val="none"/>
        </w:rPr>
      </w:pPr>
      <w:r>
        <w:rPr>
          <w:rFonts w:hint="eastAsia"/>
          <w:color w:val="auto"/>
          <w:highlight w:val="none"/>
        </w:rPr>
        <w:t>1.3 评标工作应遵循公平、公正、科学及择优的原则，并以相同的评标程序和标准对待所有的投标人。</w:t>
      </w:r>
    </w:p>
    <w:p>
      <w:pPr>
        <w:pStyle w:val="2"/>
        <w:spacing w:line="360" w:lineRule="auto"/>
        <w:ind w:firstLine="480" w:firstLineChars="200"/>
        <w:jc w:val="both"/>
        <w:rPr>
          <w:color w:val="auto"/>
          <w:highlight w:val="none"/>
        </w:rPr>
      </w:pPr>
      <w:r>
        <w:rPr>
          <w:rFonts w:hint="eastAsia"/>
          <w:color w:val="auto"/>
          <w:highlight w:val="none"/>
        </w:rPr>
        <w:t>1.4 评标委员会按照招标文件规定的评标方法和标准进行评标，并独立履行下列职责：</w:t>
      </w:r>
    </w:p>
    <w:p>
      <w:pPr>
        <w:pStyle w:val="2"/>
        <w:spacing w:line="360" w:lineRule="auto"/>
        <w:ind w:firstLine="480" w:firstLineChars="200"/>
        <w:jc w:val="both"/>
        <w:rPr>
          <w:color w:val="auto"/>
          <w:highlight w:val="none"/>
        </w:rPr>
      </w:pPr>
      <w:r>
        <w:rPr>
          <w:rFonts w:hint="eastAsia"/>
          <w:color w:val="auto"/>
          <w:highlight w:val="none"/>
        </w:rPr>
        <w:t>（一）熟悉和理解招标文件；</w:t>
      </w:r>
    </w:p>
    <w:p>
      <w:pPr>
        <w:pStyle w:val="2"/>
        <w:spacing w:line="360" w:lineRule="auto"/>
        <w:ind w:firstLine="480" w:firstLineChars="200"/>
        <w:jc w:val="both"/>
        <w:rPr>
          <w:color w:val="auto"/>
          <w:highlight w:val="none"/>
        </w:rPr>
      </w:pPr>
      <w:r>
        <w:rPr>
          <w:rFonts w:hint="eastAsia"/>
          <w:color w:val="auto"/>
          <w:highlight w:val="none"/>
        </w:rPr>
        <w:t>（二）审查供应商投标文件等是否满足招标文件要求，并作出评价；</w:t>
      </w:r>
    </w:p>
    <w:p>
      <w:pPr>
        <w:pStyle w:val="2"/>
        <w:spacing w:line="360" w:lineRule="auto"/>
        <w:ind w:firstLine="480" w:firstLineChars="200"/>
        <w:jc w:val="both"/>
        <w:rPr>
          <w:color w:val="auto"/>
          <w:highlight w:val="none"/>
        </w:rPr>
      </w:pPr>
      <w:r>
        <w:rPr>
          <w:rFonts w:hint="eastAsia"/>
          <w:color w:val="auto"/>
          <w:highlight w:val="none"/>
        </w:rPr>
        <w:t>（三）根据需要要求招标采购单位对招标文件作出解释；根据需要要求供应商对投标文件有关事项作出澄清、说明或者更正；</w:t>
      </w:r>
    </w:p>
    <w:p>
      <w:pPr>
        <w:pStyle w:val="2"/>
        <w:spacing w:line="360" w:lineRule="auto"/>
        <w:ind w:firstLine="480" w:firstLineChars="200"/>
        <w:jc w:val="both"/>
        <w:rPr>
          <w:color w:val="auto"/>
          <w:highlight w:val="none"/>
        </w:rPr>
      </w:pPr>
      <w:r>
        <w:rPr>
          <w:rFonts w:hint="eastAsia"/>
          <w:color w:val="auto"/>
          <w:highlight w:val="none"/>
        </w:rPr>
        <w:t>（四）推荐中标候选供应商，或者受采购人委托确定中标供应商；</w:t>
      </w:r>
    </w:p>
    <w:p>
      <w:pPr>
        <w:pStyle w:val="2"/>
        <w:spacing w:line="360" w:lineRule="auto"/>
        <w:ind w:firstLine="480" w:firstLineChars="200"/>
        <w:jc w:val="both"/>
        <w:rPr>
          <w:color w:val="auto"/>
          <w:highlight w:val="none"/>
        </w:rPr>
      </w:pPr>
      <w:r>
        <w:rPr>
          <w:rFonts w:hint="eastAsia"/>
          <w:color w:val="auto"/>
          <w:highlight w:val="none"/>
        </w:rPr>
        <w:t>（五）起草评标报告并进行签署；</w:t>
      </w:r>
    </w:p>
    <w:p>
      <w:pPr>
        <w:pStyle w:val="2"/>
        <w:spacing w:line="360" w:lineRule="auto"/>
        <w:ind w:firstLine="480" w:firstLineChars="200"/>
        <w:jc w:val="both"/>
        <w:rPr>
          <w:color w:val="auto"/>
          <w:highlight w:val="none"/>
        </w:rPr>
      </w:pPr>
      <w:r>
        <w:rPr>
          <w:rFonts w:hint="eastAsia"/>
          <w:color w:val="auto"/>
          <w:highlight w:val="none"/>
        </w:rPr>
        <w:t>（六）向招标采购单位、财政部门或者其他监督部门报告非法干预评标工作的行为；</w:t>
      </w:r>
    </w:p>
    <w:p>
      <w:pPr>
        <w:pStyle w:val="2"/>
        <w:spacing w:line="360" w:lineRule="auto"/>
        <w:ind w:firstLine="480" w:firstLineChars="200"/>
        <w:jc w:val="both"/>
        <w:rPr>
          <w:color w:val="auto"/>
          <w:highlight w:val="none"/>
        </w:rPr>
      </w:pPr>
      <w:r>
        <w:rPr>
          <w:rFonts w:hint="eastAsia"/>
          <w:color w:val="auto"/>
          <w:highlight w:val="none"/>
        </w:rPr>
        <w:t>（七）法律、法规和规章规定的其他职责。</w:t>
      </w:r>
    </w:p>
    <w:p>
      <w:pPr>
        <w:pStyle w:val="2"/>
        <w:spacing w:line="360" w:lineRule="auto"/>
        <w:ind w:firstLine="480" w:firstLineChars="200"/>
        <w:jc w:val="both"/>
        <w:rPr>
          <w:color w:val="auto"/>
          <w:highlight w:val="none"/>
        </w:rPr>
      </w:pPr>
      <w:r>
        <w:rPr>
          <w:rFonts w:hint="eastAsia"/>
          <w:color w:val="auto"/>
          <w:highlight w:val="none"/>
        </w:rPr>
        <w:t>1.5 评标过程独立、保密。投标人非法干预评标评标过程的行为将导致其投标文件作为无效处理。</w:t>
      </w:r>
    </w:p>
    <w:p>
      <w:pPr>
        <w:pStyle w:val="2"/>
        <w:spacing w:line="360" w:lineRule="auto"/>
        <w:ind w:firstLine="480" w:firstLineChars="200"/>
        <w:jc w:val="both"/>
        <w:rPr>
          <w:color w:val="auto"/>
          <w:highlight w:val="none"/>
        </w:rPr>
      </w:pPr>
      <w:r>
        <w:rPr>
          <w:rFonts w:hint="eastAsia"/>
          <w:color w:val="auto"/>
          <w:highlight w:val="none"/>
        </w:rPr>
        <w:t>1.6 评标委员会评价投标文件的响应性，对于投标人而言，除评标委员会要求其澄清、说明或者更正而提供的资料外，仅依据投标文件本身的内容，不寻求其他外部证据。</w:t>
      </w:r>
    </w:p>
    <w:p>
      <w:pPr>
        <w:autoSpaceDE/>
        <w:autoSpaceDN/>
        <w:spacing w:line="360" w:lineRule="auto"/>
        <w:jc w:val="both"/>
        <w:rPr>
          <w:rFonts w:cs="Times New Roman"/>
          <w:b/>
          <w:color w:val="auto"/>
          <w:kern w:val="2"/>
          <w:sz w:val="28"/>
          <w:szCs w:val="28"/>
          <w:highlight w:val="none"/>
          <w:lang w:val="en-US"/>
        </w:rPr>
      </w:pPr>
      <w:r>
        <w:rPr>
          <w:rFonts w:hint="eastAsia" w:cs="Times New Roman"/>
          <w:b/>
          <w:color w:val="auto"/>
          <w:kern w:val="2"/>
          <w:sz w:val="28"/>
          <w:szCs w:val="28"/>
          <w:highlight w:val="none"/>
          <w:lang w:val="en-US"/>
        </w:rPr>
        <w:t>2.评标方法</w:t>
      </w:r>
    </w:p>
    <w:p>
      <w:pPr>
        <w:pStyle w:val="2"/>
        <w:spacing w:line="360" w:lineRule="auto"/>
        <w:ind w:firstLine="480" w:firstLineChars="200"/>
        <w:jc w:val="both"/>
        <w:rPr>
          <w:color w:val="auto"/>
          <w:highlight w:val="none"/>
        </w:rPr>
      </w:pPr>
      <w:r>
        <w:rPr>
          <w:rFonts w:hint="eastAsia"/>
          <w:color w:val="auto"/>
          <w:highlight w:val="none"/>
        </w:rPr>
        <w:t>本项目评标方法为：</w:t>
      </w:r>
      <w:r>
        <w:rPr>
          <w:rFonts w:hint="eastAsia"/>
          <w:b/>
          <w:bCs/>
          <w:color w:val="auto"/>
          <w:highlight w:val="none"/>
        </w:rPr>
        <w:t>综合评分法。</w:t>
      </w:r>
    </w:p>
    <w:p>
      <w:pPr>
        <w:autoSpaceDE/>
        <w:autoSpaceDN/>
        <w:spacing w:line="360" w:lineRule="auto"/>
        <w:jc w:val="both"/>
        <w:rPr>
          <w:color w:val="auto"/>
          <w:highlight w:val="none"/>
        </w:rPr>
      </w:pPr>
      <w:r>
        <w:rPr>
          <w:rFonts w:hint="eastAsia" w:cs="Times New Roman"/>
          <w:b/>
          <w:color w:val="auto"/>
          <w:kern w:val="2"/>
          <w:sz w:val="28"/>
          <w:szCs w:val="28"/>
          <w:highlight w:val="none"/>
          <w:lang w:val="en-US"/>
        </w:rPr>
        <w:t>3.评标程序</w:t>
      </w:r>
    </w:p>
    <w:p>
      <w:pPr>
        <w:pStyle w:val="2"/>
        <w:spacing w:line="360" w:lineRule="auto"/>
        <w:ind w:firstLine="480" w:firstLineChars="200"/>
        <w:jc w:val="both"/>
        <w:rPr>
          <w:color w:val="auto"/>
          <w:highlight w:val="none"/>
        </w:rPr>
      </w:pPr>
      <w:r>
        <w:rPr>
          <w:rFonts w:hint="eastAsia"/>
          <w:color w:val="auto"/>
          <w:highlight w:val="none"/>
        </w:rPr>
        <w:t>3.1 熟悉和理解招标文件和停止评标。</w:t>
      </w:r>
    </w:p>
    <w:p>
      <w:pPr>
        <w:pStyle w:val="2"/>
        <w:spacing w:line="360" w:lineRule="auto"/>
        <w:ind w:firstLine="480" w:firstLineChars="200"/>
        <w:jc w:val="both"/>
        <w:rPr>
          <w:color w:val="auto"/>
          <w:highlight w:val="none"/>
        </w:rPr>
      </w:pPr>
      <w:r>
        <w:rPr>
          <w:rFonts w:hint="eastAsia"/>
          <w:color w:val="auto"/>
          <w:highlight w:val="none"/>
        </w:rPr>
        <w:t>3.1.1 评标委员会正式评标前，应当对招标文件进行熟悉和理解，内容主要包括招标文件中投标人资格条件要求、采购项目技术、服务和商务要求、评标方法和标准以及可能涉及签订政府采购合同的内容等。</w:t>
      </w:r>
    </w:p>
    <w:p>
      <w:pPr>
        <w:pStyle w:val="2"/>
        <w:spacing w:line="360" w:lineRule="auto"/>
        <w:ind w:firstLine="480" w:firstLineChars="200"/>
        <w:jc w:val="both"/>
        <w:rPr>
          <w:color w:val="auto"/>
          <w:highlight w:val="none"/>
        </w:rPr>
      </w:pPr>
      <w:r>
        <w:rPr>
          <w:rFonts w:hint="eastAsia"/>
          <w:color w:val="auto"/>
          <w:highlight w:val="none"/>
        </w:rPr>
        <w:t>3.1.2 评标委员会熟悉和理解招标文件以及评标过程中，发现本招标文件有下列情形之一的，评标委员会应当停止评标：</w:t>
      </w:r>
    </w:p>
    <w:p>
      <w:pPr>
        <w:pStyle w:val="2"/>
        <w:spacing w:line="360" w:lineRule="auto"/>
        <w:ind w:firstLine="480" w:firstLineChars="200"/>
        <w:jc w:val="both"/>
        <w:rPr>
          <w:color w:val="auto"/>
          <w:highlight w:val="none"/>
        </w:rPr>
      </w:pPr>
      <w:r>
        <w:rPr>
          <w:rFonts w:hint="eastAsia"/>
          <w:color w:val="auto"/>
          <w:highlight w:val="none"/>
        </w:rPr>
        <w:t>（1）招标文件的规定存在歧义、重大缺陷的；</w:t>
      </w:r>
    </w:p>
    <w:p>
      <w:pPr>
        <w:pStyle w:val="2"/>
        <w:spacing w:line="360" w:lineRule="auto"/>
        <w:ind w:firstLine="480" w:firstLineChars="200"/>
        <w:jc w:val="both"/>
        <w:rPr>
          <w:color w:val="auto"/>
          <w:highlight w:val="none"/>
        </w:rPr>
      </w:pPr>
      <w:r>
        <w:rPr>
          <w:rFonts w:hint="eastAsia"/>
          <w:color w:val="auto"/>
          <w:highlight w:val="none"/>
        </w:rPr>
        <w:t>（2）招标文件明显以不合理条件对供应商实行差别待遇或者歧视待遇的；</w:t>
      </w:r>
    </w:p>
    <w:p>
      <w:pPr>
        <w:pStyle w:val="2"/>
        <w:spacing w:line="360" w:lineRule="auto"/>
        <w:ind w:firstLine="480" w:firstLineChars="200"/>
        <w:jc w:val="both"/>
        <w:rPr>
          <w:color w:val="auto"/>
          <w:highlight w:val="none"/>
        </w:rPr>
      </w:pPr>
      <w:r>
        <w:rPr>
          <w:rFonts w:hint="eastAsia"/>
          <w:color w:val="auto"/>
          <w:highlight w:val="none"/>
        </w:rPr>
        <w:t>（3）采购项目属于国家规定的优先、强制采购范围，但是招标文件未依法体现优先、强制采购相关规定的；</w:t>
      </w:r>
    </w:p>
    <w:p>
      <w:pPr>
        <w:pStyle w:val="2"/>
        <w:spacing w:line="360" w:lineRule="auto"/>
        <w:ind w:firstLine="480" w:firstLineChars="200"/>
        <w:jc w:val="both"/>
        <w:rPr>
          <w:color w:val="auto"/>
          <w:highlight w:val="none"/>
        </w:rPr>
      </w:pPr>
      <w:r>
        <w:rPr>
          <w:rFonts w:hint="eastAsia"/>
          <w:color w:val="auto"/>
          <w:highlight w:val="none"/>
        </w:rPr>
        <w:t>（4）采购项目属于政府采购促进中小企业发展的范围，但是招标文件未依法体现促进中小企业发展相关规定的；</w:t>
      </w:r>
    </w:p>
    <w:p>
      <w:pPr>
        <w:pStyle w:val="2"/>
        <w:spacing w:line="360" w:lineRule="auto"/>
        <w:ind w:firstLine="480" w:firstLineChars="200"/>
        <w:jc w:val="both"/>
        <w:rPr>
          <w:color w:val="auto"/>
          <w:highlight w:val="none"/>
        </w:rPr>
      </w:pPr>
      <w:r>
        <w:rPr>
          <w:rFonts w:hint="eastAsia"/>
          <w:color w:val="auto"/>
          <w:highlight w:val="none"/>
        </w:rPr>
        <w:t>（</w:t>
      </w:r>
      <w:r>
        <w:rPr>
          <w:rFonts w:hint="eastAsia"/>
          <w:color w:val="auto"/>
          <w:highlight w:val="none"/>
          <w:lang w:val="en-US" w:eastAsia="zh-CN"/>
        </w:rPr>
        <w:t>5</w:t>
      </w:r>
      <w:r>
        <w:rPr>
          <w:rFonts w:hint="eastAsia"/>
          <w:color w:val="auto"/>
          <w:highlight w:val="none"/>
        </w:rPr>
        <w:t>）招标文件规定的评标方法是综合评分法、最低评标价法之外的评标方法，或者虽然名称为综合评分法、最低评标价法，但实际上不符合国家规定；</w:t>
      </w:r>
    </w:p>
    <w:p>
      <w:pPr>
        <w:pStyle w:val="2"/>
        <w:spacing w:line="360" w:lineRule="auto"/>
        <w:ind w:firstLine="480" w:firstLineChars="200"/>
        <w:jc w:val="both"/>
        <w:rPr>
          <w:color w:val="auto"/>
          <w:highlight w:val="none"/>
        </w:rPr>
      </w:pPr>
      <w:r>
        <w:rPr>
          <w:rFonts w:hint="eastAsia"/>
          <w:color w:val="auto"/>
          <w:highlight w:val="none"/>
        </w:rPr>
        <w:t>（</w:t>
      </w:r>
      <w:r>
        <w:rPr>
          <w:rFonts w:hint="eastAsia"/>
          <w:color w:val="auto"/>
          <w:highlight w:val="none"/>
          <w:lang w:val="en-US" w:eastAsia="zh-CN"/>
        </w:rPr>
        <w:t>6</w:t>
      </w:r>
      <w:r>
        <w:rPr>
          <w:rFonts w:hint="eastAsia"/>
          <w:color w:val="auto"/>
          <w:highlight w:val="none"/>
        </w:rPr>
        <w:t>）招标文件将投标人的资格条件列为评分因素的；</w:t>
      </w:r>
    </w:p>
    <w:p>
      <w:pPr>
        <w:pStyle w:val="2"/>
        <w:spacing w:line="360" w:lineRule="auto"/>
        <w:ind w:firstLine="480" w:firstLineChars="200"/>
        <w:jc w:val="both"/>
        <w:rPr>
          <w:color w:val="auto"/>
          <w:highlight w:val="none"/>
        </w:rPr>
      </w:pPr>
      <w:r>
        <w:rPr>
          <w:rFonts w:hint="eastAsia"/>
          <w:color w:val="auto"/>
          <w:highlight w:val="none"/>
        </w:rPr>
        <w:t>（</w:t>
      </w:r>
      <w:r>
        <w:rPr>
          <w:rFonts w:hint="eastAsia"/>
          <w:color w:val="auto"/>
          <w:highlight w:val="none"/>
          <w:lang w:val="en-US" w:eastAsia="zh-CN"/>
        </w:rPr>
        <w:t>7</w:t>
      </w:r>
      <w:r>
        <w:rPr>
          <w:rFonts w:hint="eastAsia"/>
          <w:color w:val="auto"/>
          <w:highlight w:val="none"/>
        </w:rPr>
        <w:t>）招标文件有违反国家其他有关强制性规定的情形。</w:t>
      </w:r>
    </w:p>
    <w:p>
      <w:pPr>
        <w:pStyle w:val="2"/>
        <w:spacing w:line="360" w:lineRule="auto"/>
        <w:ind w:firstLine="480" w:firstLineChars="200"/>
        <w:jc w:val="both"/>
        <w:rPr>
          <w:color w:val="auto"/>
          <w:highlight w:val="none"/>
        </w:rPr>
      </w:pPr>
      <w:r>
        <w:rPr>
          <w:color w:val="auto"/>
          <w:highlight w:val="none"/>
        </w:rPr>
        <w:t>3.1.</w:t>
      </w:r>
      <w:r>
        <w:rPr>
          <w:rFonts w:hint="eastAsia"/>
          <w:color w:val="auto"/>
          <w:highlight w:val="none"/>
        </w:rPr>
        <w:t>3出现本条</w:t>
      </w:r>
      <w:r>
        <w:rPr>
          <w:color w:val="auto"/>
          <w:highlight w:val="none"/>
        </w:rPr>
        <w:t>3.1.2</w:t>
      </w:r>
      <w:r>
        <w:rPr>
          <w:rFonts w:hint="eastAsia"/>
          <w:color w:val="auto"/>
          <w:highlight w:val="none"/>
        </w:rPr>
        <w:t>规定应当停止评标情形的，评标委员会成员应当向招标采购单位书面说明情况。除本条规定和评标委员会无法依法组建的情形外，评标委员会成员不得以任何方式和理由停止评标。</w:t>
      </w:r>
    </w:p>
    <w:p>
      <w:pPr>
        <w:pStyle w:val="2"/>
        <w:spacing w:line="360" w:lineRule="auto"/>
        <w:ind w:firstLine="480" w:firstLineChars="200"/>
        <w:jc w:val="both"/>
        <w:rPr>
          <w:color w:val="auto"/>
          <w:highlight w:val="none"/>
        </w:rPr>
      </w:pPr>
      <w:r>
        <w:rPr>
          <w:rFonts w:hint="eastAsia"/>
          <w:color w:val="auto"/>
          <w:highlight w:val="none"/>
        </w:rPr>
        <w:t>3.2 资格性检查。</w:t>
      </w:r>
    </w:p>
    <w:p>
      <w:pPr>
        <w:pStyle w:val="2"/>
        <w:spacing w:line="360" w:lineRule="auto"/>
        <w:ind w:firstLine="480" w:firstLineChars="200"/>
        <w:jc w:val="both"/>
        <w:rPr>
          <w:color w:val="auto"/>
          <w:highlight w:val="none"/>
        </w:rPr>
      </w:pPr>
      <w:r>
        <w:rPr>
          <w:rFonts w:hint="eastAsia"/>
          <w:color w:val="auto"/>
          <w:highlight w:val="none"/>
        </w:rPr>
        <w:t>采购人或采购代理机构应依据法律法规和本招标文件的规定，对投标文件是否按照规定要求提供资格性证明材料、是否按照规定交纳投标保证金、是否属于禁止参加投标的供应商等进行审查，以确定投标供应商是否具备投标资格。</w:t>
      </w:r>
    </w:p>
    <w:p>
      <w:pPr>
        <w:pStyle w:val="2"/>
        <w:spacing w:line="360" w:lineRule="auto"/>
        <w:ind w:firstLine="480" w:firstLineChars="200"/>
        <w:jc w:val="both"/>
        <w:rPr>
          <w:color w:val="auto"/>
          <w:highlight w:val="none"/>
        </w:rPr>
      </w:pPr>
      <w:r>
        <w:rPr>
          <w:rFonts w:hint="eastAsia"/>
          <w:color w:val="auto"/>
          <w:highlight w:val="none"/>
        </w:rPr>
        <w:t>3.3 符合性检查。</w:t>
      </w:r>
    </w:p>
    <w:p>
      <w:pPr>
        <w:pStyle w:val="2"/>
        <w:spacing w:line="360" w:lineRule="auto"/>
        <w:ind w:firstLine="480" w:firstLineChars="200"/>
        <w:jc w:val="both"/>
        <w:rPr>
          <w:color w:val="auto"/>
          <w:highlight w:val="none"/>
        </w:rPr>
      </w:pPr>
      <w:r>
        <w:rPr>
          <w:rFonts w:hint="eastAsia"/>
          <w:color w:val="auto"/>
          <w:highlight w:val="none"/>
        </w:rPr>
        <w:t>3.3.1 评标委员会依据本招标文件的实质性要求，对符合资格的投标文件进行审查，以确定其是否满足本招标文件的实质性要求。本项目符合性审查事项仅限于本招标文件的明确规定。投标文件是否满足招标文件的实质性要求，必须以本招标文件的明确规定作为依据，否则，不能对投标文件作为无效处理，评标委员会不得臆测符合性审查事项。</w:t>
      </w:r>
    </w:p>
    <w:p>
      <w:pPr>
        <w:pStyle w:val="2"/>
        <w:spacing w:line="360" w:lineRule="auto"/>
        <w:ind w:firstLine="480" w:firstLineChars="200"/>
        <w:jc w:val="both"/>
        <w:rPr>
          <w:color w:val="auto"/>
          <w:highlight w:val="none"/>
        </w:rPr>
      </w:pPr>
      <w:r>
        <w:rPr>
          <w:rFonts w:hint="eastAsia"/>
          <w:color w:val="auto"/>
          <w:highlight w:val="none"/>
        </w:rPr>
        <w:t>3.3.2 投标文件（包括单独递交的开标一览表）有下列情形的，本项目不作为实质性要求进行规定，即不作为符合性审查事项，不得作为无效投标处理：</w:t>
      </w:r>
    </w:p>
    <w:p>
      <w:pPr>
        <w:pStyle w:val="2"/>
        <w:spacing w:line="360" w:lineRule="auto"/>
        <w:ind w:firstLine="480" w:firstLineChars="200"/>
        <w:jc w:val="both"/>
        <w:rPr>
          <w:color w:val="auto"/>
          <w:highlight w:val="none"/>
        </w:rPr>
      </w:pPr>
      <w:r>
        <w:rPr>
          <w:rFonts w:hint="eastAsia"/>
          <w:color w:val="auto"/>
          <w:highlight w:val="none"/>
        </w:rPr>
        <w:t>（一）正副本数量齐全、密封完好，只是未按照招标文件要求进行分装或者统装的；</w:t>
      </w:r>
    </w:p>
    <w:p>
      <w:pPr>
        <w:pStyle w:val="2"/>
        <w:spacing w:line="360" w:lineRule="auto"/>
        <w:ind w:firstLine="480" w:firstLineChars="200"/>
        <w:jc w:val="both"/>
        <w:rPr>
          <w:color w:val="auto"/>
          <w:highlight w:val="none"/>
        </w:rPr>
      </w:pPr>
      <w:r>
        <w:rPr>
          <w:rFonts w:hint="eastAsia"/>
          <w:color w:val="auto"/>
          <w:highlight w:val="none"/>
        </w:rPr>
        <w:t>（二）存在个别地方（不超过</w:t>
      </w:r>
      <w:r>
        <w:rPr>
          <w:color w:val="auto"/>
          <w:highlight w:val="none"/>
        </w:rPr>
        <w:t xml:space="preserve"> 2 </w:t>
      </w:r>
      <w:r>
        <w:rPr>
          <w:rFonts w:hint="eastAsia"/>
          <w:color w:val="auto"/>
          <w:highlight w:val="none"/>
        </w:rPr>
        <w:t>个）没有法定代表人</w:t>
      </w:r>
      <w:r>
        <w:rPr>
          <w:color w:val="auto"/>
          <w:highlight w:val="none"/>
        </w:rPr>
        <w:t>/</w:t>
      </w:r>
      <w:r>
        <w:rPr>
          <w:rFonts w:hint="eastAsia"/>
          <w:color w:val="auto"/>
          <w:highlight w:val="none"/>
        </w:rPr>
        <w:t>单位负责人签字，但有法定代表人</w:t>
      </w:r>
      <w:r>
        <w:rPr>
          <w:color w:val="auto"/>
          <w:highlight w:val="none"/>
        </w:rPr>
        <w:t>/</w:t>
      </w:r>
      <w:r>
        <w:rPr>
          <w:rFonts w:hint="eastAsia"/>
          <w:color w:val="auto"/>
          <w:highlight w:val="none"/>
        </w:rPr>
        <w:t>单位负责人的私人印章或者有效授权代理人签字的；</w:t>
      </w:r>
    </w:p>
    <w:p>
      <w:pPr>
        <w:pStyle w:val="2"/>
        <w:spacing w:line="360" w:lineRule="auto"/>
        <w:ind w:firstLine="480" w:firstLineChars="200"/>
        <w:jc w:val="both"/>
        <w:rPr>
          <w:color w:val="auto"/>
          <w:highlight w:val="none"/>
        </w:rPr>
      </w:pPr>
      <w:r>
        <w:rPr>
          <w:rFonts w:hint="eastAsia"/>
          <w:color w:val="auto"/>
          <w:highlight w:val="none"/>
        </w:rPr>
        <w:t>（三）除招标文件明确要求加盖单位</w:t>
      </w:r>
      <w:r>
        <w:rPr>
          <w:color w:val="auto"/>
          <w:highlight w:val="none"/>
        </w:rPr>
        <w:t>(</w:t>
      </w:r>
      <w:r>
        <w:rPr>
          <w:rFonts w:hint="eastAsia"/>
          <w:color w:val="auto"/>
          <w:highlight w:val="none"/>
        </w:rPr>
        <w:t>法人</w:t>
      </w:r>
      <w:r>
        <w:rPr>
          <w:color w:val="auto"/>
          <w:highlight w:val="none"/>
        </w:rPr>
        <w:t>)</w:t>
      </w:r>
      <w:r>
        <w:rPr>
          <w:rFonts w:hint="eastAsia"/>
          <w:color w:val="auto"/>
          <w:highlight w:val="none"/>
        </w:rPr>
        <w:t>公章的以外，其他地方以相关专用章加盖的；</w:t>
      </w:r>
    </w:p>
    <w:p>
      <w:pPr>
        <w:pStyle w:val="2"/>
        <w:spacing w:line="360" w:lineRule="auto"/>
        <w:ind w:firstLine="480" w:firstLineChars="200"/>
        <w:jc w:val="both"/>
        <w:rPr>
          <w:color w:val="auto"/>
          <w:highlight w:val="none"/>
        </w:rPr>
      </w:pPr>
      <w:r>
        <w:rPr>
          <w:rFonts w:hint="eastAsia"/>
          <w:color w:val="auto"/>
          <w:highlight w:val="none"/>
        </w:rPr>
        <w:t>（四）以骑缝章的形式代替投标文件内容逐页盖章的（但是骑缝章模糊不清，印章名称无法辨认的除外）；</w:t>
      </w:r>
    </w:p>
    <w:p>
      <w:pPr>
        <w:pStyle w:val="2"/>
        <w:spacing w:line="360" w:lineRule="auto"/>
        <w:ind w:firstLine="480" w:firstLineChars="200"/>
        <w:jc w:val="both"/>
        <w:rPr>
          <w:color w:val="auto"/>
          <w:highlight w:val="none"/>
        </w:rPr>
      </w:pPr>
      <w:r>
        <w:rPr>
          <w:rFonts w:hint="eastAsia"/>
          <w:color w:val="auto"/>
          <w:highlight w:val="none"/>
        </w:rPr>
        <w:t>（五）其他不影响采购项目实质性要求的情形。</w:t>
      </w:r>
    </w:p>
    <w:p>
      <w:pPr>
        <w:pStyle w:val="2"/>
        <w:spacing w:line="360" w:lineRule="auto"/>
        <w:ind w:firstLine="480" w:firstLineChars="200"/>
        <w:jc w:val="both"/>
        <w:rPr>
          <w:color w:val="auto"/>
          <w:highlight w:val="none"/>
        </w:rPr>
      </w:pPr>
      <w:r>
        <w:rPr>
          <w:rFonts w:hint="eastAsia"/>
          <w:color w:val="auto"/>
          <w:highlight w:val="none"/>
        </w:rPr>
        <w:t>3.3.3 除政府采购法律制度规定的情形外，本项目投标人或者其投标文件有下列情形之一的，作为无效投标处理：</w:t>
      </w:r>
    </w:p>
    <w:p>
      <w:pPr>
        <w:pStyle w:val="2"/>
        <w:spacing w:line="360" w:lineRule="auto"/>
        <w:ind w:firstLine="480" w:firstLineChars="200"/>
        <w:jc w:val="both"/>
        <w:rPr>
          <w:color w:val="auto"/>
          <w:highlight w:val="none"/>
        </w:rPr>
      </w:pPr>
      <w:r>
        <w:rPr>
          <w:rFonts w:hint="eastAsia"/>
          <w:color w:val="auto"/>
          <w:highlight w:val="none"/>
        </w:rPr>
        <w:t>（一）投标文件正副本数量不足的；</w:t>
      </w:r>
    </w:p>
    <w:p>
      <w:pPr>
        <w:pStyle w:val="2"/>
        <w:spacing w:line="360" w:lineRule="auto"/>
        <w:ind w:firstLine="480" w:firstLineChars="200"/>
        <w:jc w:val="both"/>
        <w:rPr>
          <w:color w:val="auto"/>
          <w:highlight w:val="none"/>
        </w:rPr>
      </w:pPr>
      <w:r>
        <w:rPr>
          <w:rFonts w:hint="eastAsia"/>
          <w:color w:val="auto"/>
          <w:highlight w:val="none"/>
        </w:rPr>
        <w:t>（二）投标文件的格式、语言、计量单位、报价货币、知识产权、投标有效期等不符合招标文件的规定，影响评标委员会评判的（以招标文件中注明为“实质性要求”的内容为准）；</w:t>
      </w:r>
    </w:p>
    <w:p>
      <w:pPr>
        <w:pStyle w:val="2"/>
        <w:spacing w:line="360" w:lineRule="auto"/>
        <w:ind w:firstLine="480" w:firstLineChars="200"/>
        <w:jc w:val="both"/>
        <w:rPr>
          <w:color w:val="auto"/>
          <w:highlight w:val="none"/>
        </w:rPr>
      </w:pPr>
      <w:r>
        <w:rPr>
          <w:rFonts w:hint="eastAsia"/>
          <w:color w:val="auto"/>
          <w:highlight w:val="none"/>
        </w:rPr>
        <w:t>（三）投标报价不符合招标文件规定的价格标底和其他报价规定的；</w:t>
      </w:r>
    </w:p>
    <w:p>
      <w:pPr>
        <w:pStyle w:val="2"/>
        <w:spacing w:line="360" w:lineRule="auto"/>
        <w:ind w:firstLine="480" w:firstLineChars="200"/>
        <w:jc w:val="both"/>
        <w:rPr>
          <w:color w:val="auto"/>
          <w:highlight w:val="none"/>
        </w:rPr>
      </w:pPr>
      <w:r>
        <w:rPr>
          <w:rFonts w:hint="eastAsia"/>
          <w:color w:val="auto"/>
          <w:highlight w:val="none"/>
        </w:rPr>
        <w:t>（四）技术应答内容完全或者绝大部分复制招标文件规定要求，且无相关证明材料的（政府采购服务类项目、政府采购工程、政府采购协议供货、定点供应商采购、政府采购的货物属于规格标准统一或者订制产品的除外，故本项目不以此项要求作为无效投标处理）；</w:t>
      </w:r>
    </w:p>
    <w:p>
      <w:pPr>
        <w:pStyle w:val="2"/>
        <w:spacing w:line="360" w:lineRule="auto"/>
        <w:ind w:firstLine="480" w:firstLineChars="200"/>
        <w:jc w:val="both"/>
        <w:rPr>
          <w:color w:val="auto"/>
          <w:highlight w:val="none"/>
        </w:rPr>
      </w:pPr>
      <w:r>
        <w:rPr>
          <w:rFonts w:hint="eastAsia"/>
          <w:color w:val="auto"/>
          <w:highlight w:val="none"/>
        </w:rPr>
        <w:t>（五）技术、服务应答内容没有完全响应招标文件实质性要求的；</w:t>
      </w:r>
    </w:p>
    <w:p>
      <w:pPr>
        <w:pStyle w:val="2"/>
        <w:spacing w:line="360" w:lineRule="auto"/>
        <w:ind w:firstLine="480" w:firstLineChars="200"/>
        <w:jc w:val="both"/>
        <w:rPr>
          <w:color w:val="auto"/>
          <w:highlight w:val="none"/>
        </w:rPr>
      </w:pPr>
      <w:r>
        <w:rPr>
          <w:rFonts w:hint="eastAsia"/>
          <w:color w:val="auto"/>
          <w:highlight w:val="none"/>
        </w:rPr>
        <w:t>（六）招标文件有明确要求，但投标文件未载明或者载明的采购项目履约时间、方式、数量与招标文件要求不一致的。</w:t>
      </w:r>
    </w:p>
    <w:p>
      <w:pPr>
        <w:pStyle w:val="2"/>
        <w:spacing w:line="360" w:lineRule="auto"/>
        <w:ind w:firstLine="480" w:firstLineChars="200"/>
        <w:jc w:val="both"/>
        <w:rPr>
          <w:color w:val="auto"/>
          <w:highlight w:val="none"/>
        </w:rPr>
      </w:pPr>
      <w:r>
        <w:rPr>
          <w:rFonts w:hint="eastAsia"/>
          <w:color w:val="auto"/>
          <w:highlight w:val="none"/>
        </w:rPr>
        <w:t>3.4 比较与评价。</w:t>
      </w:r>
    </w:p>
    <w:p>
      <w:pPr>
        <w:pStyle w:val="2"/>
        <w:spacing w:line="360" w:lineRule="auto"/>
        <w:ind w:firstLine="480" w:firstLineChars="200"/>
        <w:jc w:val="both"/>
        <w:rPr>
          <w:color w:val="auto"/>
          <w:highlight w:val="none"/>
        </w:rPr>
      </w:pPr>
      <w:r>
        <w:rPr>
          <w:rFonts w:hint="eastAsia"/>
          <w:color w:val="auto"/>
          <w:highlight w:val="none"/>
        </w:rPr>
        <w:t>按招标文件中规定的评标方法和标准，对未作无效投标处理的投标文件进行技术、服务、商务等方面评估，综合比较与评价。</w:t>
      </w:r>
    </w:p>
    <w:p>
      <w:pPr>
        <w:pStyle w:val="2"/>
        <w:spacing w:line="360" w:lineRule="auto"/>
        <w:ind w:firstLine="480" w:firstLineChars="200"/>
        <w:jc w:val="both"/>
        <w:rPr>
          <w:color w:val="auto"/>
          <w:highlight w:val="none"/>
        </w:rPr>
      </w:pPr>
      <w:r>
        <w:rPr>
          <w:rFonts w:hint="eastAsia"/>
          <w:color w:val="auto"/>
          <w:highlight w:val="none"/>
        </w:rPr>
        <w:t>3.5 复核。</w:t>
      </w:r>
    </w:p>
    <w:p>
      <w:pPr>
        <w:pStyle w:val="2"/>
        <w:spacing w:line="360" w:lineRule="auto"/>
        <w:ind w:firstLine="480" w:firstLineChars="200"/>
        <w:jc w:val="both"/>
        <w:rPr>
          <w:color w:val="auto"/>
          <w:highlight w:val="none"/>
        </w:rPr>
      </w:pPr>
      <w:r>
        <w:rPr>
          <w:rFonts w:hint="eastAsia"/>
          <w:color w:val="auto"/>
          <w:highlight w:val="none"/>
        </w:rPr>
        <w:t>评分汇总结束后，评标委员会应当进行复核，特别要对拟推荐为中标候选供应商的、报价最低的、投标文件被认定为无效的进行重点复核。</w:t>
      </w:r>
    </w:p>
    <w:p>
      <w:pPr>
        <w:pStyle w:val="2"/>
        <w:spacing w:line="360" w:lineRule="auto"/>
        <w:ind w:firstLine="480" w:firstLineChars="200"/>
        <w:jc w:val="both"/>
        <w:rPr>
          <w:color w:val="auto"/>
          <w:highlight w:val="none"/>
        </w:rPr>
      </w:pPr>
      <w:r>
        <w:rPr>
          <w:rFonts w:hint="eastAsia"/>
          <w:color w:val="auto"/>
          <w:highlight w:val="none"/>
        </w:rPr>
        <w:t>3.6 推荐中标候选供应商。中标候选供应商应当排序。采用最低评标价法的，评标结果按投标报价由低到高顺序排列；投标报价相同的并列，投标文件满足招标文件全部实质性要求且投标报价最低的供应商为中标候选供应商；报价相同且满足招标文件全部实质性要求的并列，由采购人自主采取公平、择优的方式选择中标供应商。采用综合评分法的，评标结果按评审后得分由高到低顺序排列；</w:t>
      </w:r>
      <w:r>
        <w:rPr>
          <w:rFonts w:hint="eastAsia" w:ascii="宋体" w:hAnsi="宋体" w:eastAsia="宋体" w:cs="宋体"/>
          <w:color w:val="auto"/>
          <w:sz w:val="24"/>
          <w:highlight w:val="none"/>
        </w:rPr>
        <w:t>得分相同的，按投标报价由低到高顺序排列；得分且投标报价相同的，少数民族地区的供应商排列顺序在非少数民族地区的供应商之前；得分且投标报价相同的，且均为少数民族地区的供应商并列；得分且投标报价相同的，且不能判定为少数民族地区的供应商并列。（少数民族地区的供应商需提供属于少数民族地区企业的相关证明材料，或供应商注册地为少数民族地区。）</w:t>
      </w:r>
      <w:r>
        <w:rPr>
          <w:rFonts w:hint="eastAsia"/>
          <w:color w:val="auto"/>
          <w:highlight w:val="none"/>
        </w:rPr>
        <w:t>评标委员会可推荐的中标候选供应商数量不能满足招标文件规定的数量的，只有在获得采购人书面同意后，可以根据实际情况推荐中标候选供应商。未获得采购人的书面同意</w:t>
      </w:r>
      <w:r>
        <w:rPr>
          <w:color w:val="auto"/>
          <w:highlight w:val="none"/>
        </w:rPr>
        <w:t>,</w:t>
      </w:r>
      <w:r>
        <w:rPr>
          <w:rFonts w:hint="eastAsia"/>
          <w:color w:val="auto"/>
          <w:highlight w:val="none"/>
        </w:rPr>
        <w:t>评标委员会不得在招标文件规定之外推荐中标候选供应商，否则，采购人可以不予认可。</w:t>
      </w:r>
    </w:p>
    <w:p>
      <w:pPr>
        <w:pStyle w:val="2"/>
        <w:spacing w:line="360" w:lineRule="auto"/>
        <w:ind w:firstLine="480" w:firstLineChars="200"/>
        <w:jc w:val="both"/>
        <w:rPr>
          <w:color w:val="auto"/>
          <w:highlight w:val="none"/>
        </w:rPr>
      </w:pPr>
      <w:r>
        <w:rPr>
          <w:rFonts w:hint="eastAsia"/>
          <w:color w:val="auto"/>
          <w:highlight w:val="none"/>
        </w:rPr>
        <w:t>评标委员会可推荐的中标候选供应商数量不能满足招标文件规定的数量的，只有在获得采购人书面同意后，可以根据实际情况推荐中标候选供应商。未获得采购人的书面同意</w:t>
      </w:r>
      <w:r>
        <w:rPr>
          <w:color w:val="auto"/>
          <w:highlight w:val="none"/>
        </w:rPr>
        <w:t>,</w:t>
      </w:r>
      <w:r>
        <w:rPr>
          <w:rFonts w:hint="eastAsia"/>
          <w:color w:val="auto"/>
          <w:highlight w:val="none"/>
        </w:rPr>
        <w:t>评标委员会不得在招标文件规定之外推荐中标候选供应商，否则，采购人可以不予认可。</w:t>
      </w:r>
    </w:p>
    <w:p>
      <w:pPr>
        <w:pStyle w:val="2"/>
        <w:spacing w:line="360" w:lineRule="auto"/>
        <w:ind w:firstLine="480" w:firstLineChars="200"/>
        <w:jc w:val="both"/>
        <w:rPr>
          <w:color w:val="auto"/>
          <w:highlight w:val="none"/>
        </w:rPr>
      </w:pPr>
      <w:r>
        <w:rPr>
          <w:rFonts w:hint="eastAsia"/>
          <w:color w:val="auto"/>
          <w:highlight w:val="none"/>
        </w:rPr>
        <w:t>3.7 出具评标报告。评标委员会推荐中标候选供应商后，应当向招标采购单位出具评标报告。评标报告应当包括下列内容：</w:t>
      </w:r>
    </w:p>
    <w:p>
      <w:pPr>
        <w:pStyle w:val="2"/>
        <w:spacing w:line="360" w:lineRule="auto"/>
        <w:ind w:firstLine="480" w:firstLineChars="200"/>
        <w:jc w:val="both"/>
        <w:rPr>
          <w:color w:val="auto"/>
          <w:highlight w:val="none"/>
        </w:rPr>
      </w:pPr>
      <w:r>
        <w:rPr>
          <w:rFonts w:hint="eastAsia"/>
          <w:color w:val="auto"/>
          <w:highlight w:val="none"/>
        </w:rPr>
        <w:t>（一）招标公告刊登的媒体名称、开标日期和地点；</w:t>
      </w:r>
    </w:p>
    <w:p>
      <w:pPr>
        <w:pStyle w:val="2"/>
        <w:spacing w:line="360" w:lineRule="auto"/>
        <w:ind w:firstLine="480" w:firstLineChars="200"/>
        <w:jc w:val="both"/>
        <w:rPr>
          <w:color w:val="auto"/>
          <w:highlight w:val="none"/>
        </w:rPr>
      </w:pPr>
      <w:r>
        <w:rPr>
          <w:rFonts w:hint="eastAsia"/>
          <w:color w:val="auto"/>
          <w:highlight w:val="none"/>
        </w:rPr>
        <w:t>（二）投标人名单和评标委员会成员名单；</w:t>
      </w:r>
    </w:p>
    <w:p>
      <w:pPr>
        <w:pStyle w:val="2"/>
        <w:spacing w:line="360" w:lineRule="auto"/>
        <w:ind w:firstLine="480" w:firstLineChars="200"/>
        <w:jc w:val="both"/>
        <w:rPr>
          <w:color w:val="auto"/>
          <w:highlight w:val="none"/>
        </w:rPr>
      </w:pPr>
      <w:r>
        <w:rPr>
          <w:rFonts w:hint="eastAsia"/>
          <w:color w:val="auto"/>
          <w:highlight w:val="none"/>
        </w:rPr>
        <w:t>（三）评标方法和标准；</w:t>
      </w:r>
    </w:p>
    <w:p>
      <w:pPr>
        <w:pStyle w:val="2"/>
        <w:spacing w:line="360" w:lineRule="auto"/>
        <w:ind w:firstLine="480" w:firstLineChars="200"/>
        <w:jc w:val="both"/>
        <w:rPr>
          <w:color w:val="auto"/>
          <w:highlight w:val="none"/>
        </w:rPr>
      </w:pPr>
      <w:r>
        <w:rPr>
          <w:rFonts w:hint="eastAsia"/>
          <w:color w:val="auto"/>
          <w:highlight w:val="none"/>
        </w:rPr>
        <w:t>（四）开标记录和评标情况及说明，包括无效投标人名单及原因；</w:t>
      </w:r>
    </w:p>
    <w:p>
      <w:pPr>
        <w:pStyle w:val="2"/>
        <w:spacing w:line="360" w:lineRule="auto"/>
        <w:ind w:firstLine="480" w:firstLineChars="200"/>
        <w:jc w:val="both"/>
        <w:rPr>
          <w:color w:val="auto"/>
          <w:highlight w:val="none"/>
        </w:rPr>
      </w:pPr>
      <w:r>
        <w:rPr>
          <w:rFonts w:hint="eastAsia"/>
          <w:color w:val="auto"/>
          <w:highlight w:val="none"/>
        </w:rPr>
        <w:t>（五）评标结果，确定的中标候选人名单或者经采购人委托直接确定的中标人；</w:t>
      </w:r>
    </w:p>
    <w:p>
      <w:pPr>
        <w:pStyle w:val="2"/>
        <w:spacing w:line="360" w:lineRule="auto"/>
        <w:ind w:firstLine="480" w:firstLineChars="200"/>
        <w:jc w:val="both"/>
        <w:rPr>
          <w:color w:val="auto"/>
          <w:highlight w:val="none"/>
        </w:rPr>
      </w:pPr>
      <w:r>
        <w:rPr>
          <w:rFonts w:hint="eastAsia"/>
          <w:color w:val="auto"/>
          <w:highlight w:val="none"/>
        </w:rPr>
        <w:t>（六）其他需要说明的情况，包括评标过程中投标人根据评标委员会要求进行的澄清、说明或者补正，评标委员会成员的更换等。</w:t>
      </w:r>
    </w:p>
    <w:p>
      <w:pPr>
        <w:pStyle w:val="2"/>
        <w:spacing w:line="360" w:lineRule="auto"/>
        <w:ind w:firstLine="480" w:firstLineChars="200"/>
        <w:jc w:val="both"/>
        <w:rPr>
          <w:color w:val="auto"/>
          <w:highlight w:val="none"/>
        </w:rPr>
      </w:pPr>
      <w:r>
        <w:rPr>
          <w:rFonts w:hint="eastAsia"/>
          <w:color w:val="auto"/>
          <w:highlight w:val="none"/>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pPr>
        <w:pStyle w:val="2"/>
        <w:spacing w:line="360" w:lineRule="auto"/>
        <w:ind w:firstLine="480" w:firstLineChars="200"/>
        <w:jc w:val="both"/>
        <w:rPr>
          <w:color w:val="auto"/>
          <w:highlight w:val="none"/>
        </w:rPr>
      </w:pPr>
      <w:r>
        <w:rPr>
          <w:rFonts w:hint="eastAsia"/>
          <w:color w:val="auto"/>
          <w:highlight w:val="none"/>
        </w:rPr>
        <w:t>3.8 评标争议处理规则。</w:t>
      </w:r>
    </w:p>
    <w:p>
      <w:pPr>
        <w:pStyle w:val="2"/>
        <w:spacing w:line="360" w:lineRule="auto"/>
        <w:ind w:firstLine="480" w:firstLineChars="200"/>
        <w:jc w:val="both"/>
        <w:rPr>
          <w:color w:val="auto"/>
          <w:highlight w:val="none"/>
        </w:rPr>
      </w:pPr>
      <w:r>
        <w:rPr>
          <w:rFonts w:hint="eastAsia"/>
          <w:color w:val="auto"/>
          <w:highlight w:val="none"/>
        </w:rPr>
        <w:t>评标委员会在评审过程中，对于符合性审查、对供应商投标文件做无效投标处理及其他需要共同认定的事项存在争议的，应当以少数服从多数的原则做出结论，但不得违背法律法规和招标文件规定。有不同意见的评标委员会成员认为认定过程和结果不符合法律法规或者招标文件规定的，应当及时向招标采购单位书面反映。招标采购单位收到书面反映后，应当书面报告采购项目同级财政部门依法处理。</w:t>
      </w:r>
    </w:p>
    <w:p>
      <w:pPr>
        <w:pStyle w:val="2"/>
        <w:spacing w:line="360" w:lineRule="auto"/>
        <w:ind w:firstLine="480" w:firstLineChars="200"/>
        <w:jc w:val="both"/>
        <w:rPr>
          <w:color w:val="auto"/>
          <w:highlight w:val="none"/>
        </w:rPr>
      </w:pPr>
      <w:r>
        <w:rPr>
          <w:rFonts w:hint="eastAsia"/>
          <w:color w:val="auto"/>
          <w:highlight w:val="none"/>
        </w:rPr>
        <w:t>3.9 供应商应当书面澄清、说明或者更正。</w:t>
      </w:r>
    </w:p>
    <w:p>
      <w:pPr>
        <w:pStyle w:val="2"/>
        <w:spacing w:line="360" w:lineRule="auto"/>
        <w:ind w:firstLine="480" w:firstLineChars="200"/>
        <w:jc w:val="both"/>
        <w:rPr>
          <w:color w:val="auto"/>
          <w:highlight w:val="none"/>
        </w:rPr>
      </w:pPr>
      <w:r>
        <w:rPr>
          <w:rFonts w:hint="eastAsia"/>
          <w:color w:val="auto"/>
          <w:highlight w:val="none"/>
        </w:rPr>
        <w:t>3.9.1 在评标过程中，供应商投标文件实质性符合招标文件要求的前提下，评标委员会对投标文件中含义不明确、同类问题表述不一致或者有明显文字和计算错误的内容，应当以书面形式（须由评标委员会全体成员签字）要求供应商作出必要的书面澄清、说明或者更正，并给予供应商必要的反馈时间。</w:t>
      </w:r>
    </w:p>
    <w:p>
      <w:pPr>
        <w:pStyle w:val="2"/>
        <w:spacing w:line="360" w:lineRule="auto"/>
        <w:ind w:firstLine="480" w:firstLineChars="200"/>
        <w:jc w:val="both"/>
        <w:rPr>
          <w:color w:val="auto"/>
          <w:highlight w:val="none"/>
        </w:rPr>
      </w:pPr>
      <w:r>
        <w:rPr>
          <w:rFonts w:hint="eastAsia"/>
          <w:color w:val="auto"/>
          <w:highlight w:val="none"/>
        </w:rPr>
        <w:t>3.9.2 供应商应当书面澄清、说明或者更正，并加盖公章或签字确认（供应商为法人的，应当由其法定代表人或者代理人签字确认；供应商为其他组织的，应当由其主要负责人或者代理人签字确认；供应商为自然人的，应当由其本人或者代理人签字确认），否则无效。澄清、说明或者更正不影响投标文件的效力，有效的澄清、说明或者更正材料，是投标文件的组成部分。</w:t>
      </w:r>
    </w:p>
    <w:p>
      <w:pPr>
        <w:pStyle w:val="2"/>
        <w:spacing w:line="360" w:lineRule="auto"/>
        <w:ind w:firstLine="480" w:firstLineChars="200"/>
        <w:jc w:val="both"/>
        <w:rPr>
          <w:color w:val="auto"/>
          <w:highlight w:val="none"/>
        </w:rPr>
      </w:pPr>
      <w:r>
        <w:rPr>
          <w:rFonts w:hint="eastAsia"/>
          <w:color w:val="auto"/>
          <w:highlight w:val="none"/>
        </w:rPr>
        <w:t>3.9.3 评标委员会要求供应商澄清、说明或者更正，不得超出招标文件的范围，不得以此让供应商实质改变投标文件的内容，不得影响供应商公平竞争。本项目下列内容不得澄清：</w:t>
      </w:r>
    </w:p>
    <w:p>
      <w:pPr>
        <w:pStyle w:val="2"/>
        <w:spacing w:line="360" w:lineRule="auto"/>
        <w:ind w:firstLine="480" w:firstLineChars="200"/>
        <w:jc w:val="both"/>
        <w:rPr>
          <w:color w:val="auto"/>
          <w:highlight w:val="none"/>
        </w:rPr>
      </w:pPr>
      <w:r>
        <w:rPr>
          <w:rFonts w:hint="eastAsia"/>
          <w:color w:val="auto"/>
          <w:highlight w:val="none"/>
        </w:rPr>
        <w:t>（一）按财政部规定应当在评标时不予承认的投标文件内容事项；</w:t>
      </w:r>
    </w:p>
    <w:p>
      <w:pPr>
        <w:pStyle w:val="2"/>
        <w:spacing w:line="360" w:lineRule="auto"/>
        <w:ind w:firstLine="480" w:firstLineChars="200"/>
        <w:jc w:val="both"/>
        <w:rPr>
          <w:rFonts w:hint="eastAsia" w:eastAsia="宋体"/>
          <w:color w:val="auto"/>
          <w:highlight w:val="none"/>
          <w:lang w:eastAsia="zh-CN"/>
        </w:rPr>
      </w:pPr>
      <w:r>
        <w:rPr>
          <w:rFonts w:hint="eastAsia"/>
          <w:color w:val="auto"/>
          <w:highlight w:val="none"/>
        </w:rPr>
        <w:t>（二）投标文件中已经明确的内容事项</w:t>
      </w:r>
      <w:r>
        <w:rPr>
          <w:rFonts w:hint="eastAsia"/>
          <w:color w:val="auto"/>
          <w:highlight w:val="none"/>
          <w:lang w:eastAsia="zh-CN"/>
        </w:rPr>
        <w:t>。</w:t>
      </w:r>
    </w:p>
    <w:p>
      <w:pPr>
        <w:pStyle w:val="2"/>
        <w:spacing w:line="360" w:lineRule="auto"/>
        <w:ind w:firstLine="480" w:firstLineChars="200"/>
        <w:jc w:val="both"/>
        <w:rPr>
          <w:color w:val="auto"/>
          <w:highlight w:val="none"/>
        </w:rPr>
      </w:pPr>
      <w:r>
        <w:rPr>
          <w:rFonts w:hint="eastAsia"/>
          <w:color w:val="auto"/>
          <w:highlight w:val="none"/>
        </w:rPr>
        <w:t>3.9.4 本项目采购过程中，投标文件出现下列情况的，不需要供应商澄清、说明或者更正，按照以下原则处理：</w:t>
      </w:r>
    </w:p>
    <w:p>
      <w:pPr>
        <w:pStyle w:val="2"/>
        <w:spacing w:line="360" w:lineRule="auto"/>
        <w:ind w:firstLine="480" w:firstLineChars="200"/>
        <w:jc w:val="both"/>
        <w:rPr>
          <w:color w:val="auto"/>
          <w:highlight w:val="none"/>
        </w:rPr>
      </w:pPr>
      <w:r>
        <w:rPr>
          <w:rFonts w:hint="eastAsia"/>
          <w:color w:val="auto"/>
          <w:highlight w:val="none"/>
        </w:rPr>
        <w:t>（一）投标文件中开标一览表（报价表）内容与投标文件中相应内容不一致的，以开标一览表（报价表）为准；</w:t>
      </w:r>
    </w:p>
    <w:p>
      <w:pPr>
        <w:pStyle w:val="2"/>
        <w:spacing w:line="360" w:lineRule="auto"/>
        <w:ind w:firstLine="480" w:firstLineChars="200"/>
        <w:jc w:val="both"/>
        <w:rPr>
          <w:color w:val="auto"/>
          <w:highlight w:val="none"/>
        </w:rPr>
      </w:pPr>
      <w:r>
        <w:rPr>
          <w:rFonts w:hint="eastAsia"/>
          <w:color w:val="auto"/>
          <w:highlight w:val="none"/>
        </w:rPr>
        <w:t>（二）大写金额和小写金额不一致的，以大写金额为准；</w:t>
      </w:r>
    </w:p>
    <w:p>
      <w:pPr>
        <w:pStyle w:val="2"/>
        <w:spacing w:line="360" w:lineRule="auto"/>
        <w:ind w:firstLine="480" w:firstLineChars="200"/>
        <w:jc w:val="both"/>
        <w:rPr>
          <w:color w:val="auto"/>
          <w:highlight w:val="none"/>
        </w:rPr>
      </w:pPr>
      <w:r>
        <w:rPr>
          <w:rFonts w:hint="eastAsia"/>
          <w:color w:val="auto"/>
          <w:highlight w:val="none"/>
        </w:rPr>
        <w:t>（三）单价金额小数点或者百分比有明显错位的，以开标一览表的总价为准，并修改单价；</w:t>
      </w:r>
    </w:p>
    <w:p>
      <w:pPr>
        <w:pStyle w:val="2"/>
        <w:spacing w:line="360" w:lineRule="auto"/>
        <w:ind w:firstLine="480" w:firstLineChars="200"/>
        <w:jc w:val="both"/>
        <w:rPr>
          <w:color w:val="auto"/>
          <w:highlight w:val="none"/>
        </w:rPr>
      </w:pPr>
      <w:r>
        <w:rPr>
          <w:rFonts w:hint="eastAsia"/>
          <w:color w:val="auto"/>
          <w:highlight w:val="none"/>
        </w:rPr>
        <w:t>（四）总价金额与按单价汇总金额不一致的，以单价金额计算结果为准。</w:t>
      </w:r>
    </w:p>
    <w:p>
      <w:pPr>
        <w:pStyle w:val="2"/>
        <w:spacing w:line="360" w:lineRule="auto"/>
        <w:ind w:firstLine="480" w:firstLineChars="200"/>
        <w:jc w:val="both"/>
        <w:rPr>
          <w:color w:val="auto"/>
          <w:highlight w:val="none"/>
        </w:rPr>
      </w:pPr>
      <w:r>
        <w:rPr>
          <w:rFonts w:hint="eastAsia"/>
          <w:color w:val="auto"/>
          <w:highlight w:val="none"/>
        </w:rPr>
        <w:t>同时出现两种以上不一致的，按照前款规定的顺序修正。修正后的报价按照财政部</w:t>
      </w:r>
      <w:r>
        <w:rPr>
          <w:color w:val="auto"/>
          <w:highlight w:val="none"/>
        </w:rPr>
        <w:t>87</w:t>
      </w:r>
      <w:r>
        <w:rPr>
          <w:rFonts w:hint="eastAsia"/>
          <w:color w:val="auto"/>
          <w:highlight w:val="none"/>
        </w:rPr>
        <w:t>号令第五十一条第二款的规定经投标人确认后产生约束力，投标人不确认的，其投标无效。</w:t>
      </w:r>
    </w:p>
    <w:p>
      <w:pPr>
        <w:pStyle w:val="2"/>
        <w:spacing w:line="360" w:lineRule="auto"/>
        <w:ind w:firstLine="482" w:firstLineChars="200"/>
        <w:jc w:val="both"/>
        <w:rPr>
          <w:b/>
          <w:color w:val="auto"/>
          <w:highlight w:val="none"/>
        </w:rPr>
      </w:pPr>
      <w:r>
        <w:rPr>
          <w:rFonts w:hint="eastAsia"/>
          <w:b/>
          <w:color w:val="auto"/>
          <w:highlight w:val="none"/>
        </w:rPr>
        <w:t>注：评标委员会当积极履行澄清、说明或者更正的职责，不得滥用权力。供应商的投标文件可以要求澄清、说明或者更正的，不得未经澄清、说明或者更正而直接作无效投标处理。</w:t>
      </w:r>
    </w:p>
    <w:p>
      <w:pPr>
        <w:pStyle w:val="2"/>
        <w:spacing w:line="360" w:lineRule="auto"/>
        <w:ind w:firstLine="480" w:firstLineChars="200"/>
        <w:jc w:val="both"/>
        <w:rPr>
          <w:color w:val="auto"/>
          <w:highlight w:val="none"/>
        </w:rPr>
      </w:pPr>
      <w:r>
        <w:rPr>
          <w:rFonts w:hint="eastAsia"/>
          <w:color w:val="auto"/>
          <w:highlight w:val="none"/>
        </w:rPr>
        <w:t>3.10 低于成本价投标处理。在评标过程中，评标委员会认为投标人的报价明显低于其他通过符合性审查投标人的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pStyle w:val="2"/>
        <w:spacing w:line="360" w:lineRule="auto"/>
        <w:ind w:firstLine="480" w:firstLineChars="200"/>
        <w:jc w:val="both"/>
        <w:rPr>
          <w:color w:val="auto"/>
          <w:highlight w:val="none"/>
        </w:rPr>
      </w:pPr>
      <w:r>
        <w:rPr>
          <w:rFonts w:hint="eastAsia"/>
          <w:color w:val="auto"/>
          <w:highlight w:val="none"/>
        </w:rPr>
        <w:t>供应商书面说明应当签字确认或者加盖公章，否则无效。书面说明的签字确认，供应商为法人的，应当由其法定代表人或者代理人签字确认；供应商为其他组织的，应当由其主要负责人或者代理人签字确认；投标人为自然人的，应当由其本人或者代理人签字确认。</w:t>
      </w:r>
    </w:p>
    <w:p>
      <w:pPr>
        <w:pStyle w:val="2"/>
        <w:spacing w:line="360" w:lineRule="auto"/>
        <w:ind w:firstLine="480" w:firstLineChars="200"/>
        <w:jc w:val="both"/>
        <w:rPr>
          <w:color w:val="auto"/>
          <w:highlight w:val="none"/>
        </w:rPr>
      </w:pPr>
      <w:r>
        <w:rPr>
          <w:rFonts w:hint="eastAsia"/>
          <w:color w:val="auto"/>
          <w:highlight w:val="none"/>
        </w:rPr>
        <w:t>供应商提供书面说明后，评标委员会应当结合采购项目采购需求、专业实际情况、供应商财务状况报告、与其他供应商比较情况等就供应商书面说明进行审查评价。</w:t>
      </w:r>
    </w:p>
    <w:p>
      <w:pPr>
        <w:pStyle w:val="2"/>
        <w:spacing w:line="360" w:lineRule="auto"/>
        <w:ind w:firstLine="480" w:firstLineChars="200"/>
        <w:jc w:val="both"/>
        <w:rPr>
          <w:color w:val="auto"/>
          <w:highlight w:val="none"/>
        </w:rPr>
      </w:pPr>
      <w:r>
        <w:rPr>
          <w:rFonts w:hint="eastAsia"/>
          <w:color w:val="auto"/>
          <w:highlight w:val="none"/>
        </w:rPr>
        <w:t>供应商拒绝或者变相拒绝提供有效书面说明或者书面说明不能证明其报价合理性的，评价委员会应当将其投标文件、响应文件作为无效处理。</w:t>
      </w:r>
    </w:p>
    <w:p>
      <w:pPr>
        <w:pStyle w:val="2"/>
        <w:spacing w:line="360" w:lineRule="auto"/>
        <w:ind w:firstLine="480" w:firstLineChars="200"/>
        <w:jc w:val="both"/>
        <w:rPr>
          <w:color w:val="auto"/>
          <w:highlight w:val="none"/>
        </w:rPr>
      </w:pPr>
      <w:r>
        <w:rPr>
          <w:rFonts w:hint="eastAsia"/>
          <w:color w:val="auto"/>
          <w:highlight w:val="none"/>
        </w:rPr>
        <w:t>3.11 招标采购单位现场复核评标结果。</w:t>
      </w:r>
    </w:p>
    <w:p>
      <w:pPr>
        <w:pStyle w:val="2"/>
        <w:spacing w:line="360" w:lineRule="auto"/>
        <w:ind w:firstLine="480" w:firstLineChars="200"/>
        <w:jc w:val="both"/>
        <w:rPr>
          <w:color w:val="auto"/>
          <w:highlight w:val="none"/>
        </w:rPr>
      </w:pPr>
      <w:r>
        <w:rPr>
          <w:rFonts w:hint="eastAsia"/>
          <w:color w:val="auto"/>
          <w:highlight w:val="none"/>
        </w:rPr>
        <w:t>3.11.1 评标结果汇总完成后，评标委员会拟出具评标报告前，招标采购单位应当组织</w:t>
      </w:r>
      <w:r>
        <w:rPr>
          <w:color w:val="auto"/>
          <w:highlight w:val="none"/>
        </w:rPr>
        <w:t>2</w:t>
      </w:r>
      <w:r>
        <w:rPr>
          <w:rFonts w:hint="eastAsia"/>
          <w:color w:val="auto"/>
          <w:highlight w:val="none"/>
        </w:rPr>
        <w:t>名以上的本单位工作人员，在采购现场监督人员的监督之下，依据有关的法律制度和采购文件对评标结果进行复核，出具复核报告。存在下列情形之一的，招标采购单位应当根据情况书面建议评标委员会现场修改评标结果或者重新评标：</w:t>
      </w:r>
    </w:p>
    <w:p>
      <w:pPr>
        <w:pStyle w:val="2"/>
        <w:spacing w:line="360" w:lineRule="auto"/>
        <w:ind w:firstLine="480" w:firstLineChars="200"/>
        <w:jc w:val="both"/>
        <w:rPr>
          <w:color w:val="auto"/>
          <w:highlight w:val="none"/>
        </w:rPr>
      </w:pPr>
      <w:r>
        <w:rPr>
          <w:rFonts w:hint="eastAsia"/>
          <w:color w:val="auto"/>
          <w:highlight w:val="none"/>
        </w:rPr>
        <w:t>（一）符合性审查认定错误的；</w:t>
      </w:r>
    </w:p>
    <w:p>
      <w:pPr>
        <w:pStyle w:val="2"/>
        <w:spacing w:line="360" w:lineRule="auto"/>
        <w:ind w:firstLine="480" w:firstLineChars="200"/>
        <w:jc w:val="both"/>
        <w:rPr>
          <w:color w:val="auto"/>
          <w:highlight w:val="none"/>
        </w:rPr>
      </w:pPr>
      <w:r>
        <w:rPr>
          <w:rFonts w:hint="eastAsia"/>
          <w:color w:val="auto"/>
          <w:highlight w:val="none"/>
        </w:rPr>
        <w:t>（二）分值汇总计算错误的；</w:t>
      </w:r>
    </w:p>
    <w:p>
      <w:pPr>
        <w:pStyle w:val="2"/>
        <w:spacing w:line="360" w:lineRule="auto"/>
        <w:ind w:firstLine="480" w:firstLineChars="200"/>
        <w:jc w:val="both"/>
        <w:rPr>
          <w:color w:val="auto"/>
          <w:highlight w:val="none"/>
        </w:rPr>
      </w:pPr>
      <w:r>
        <w:rPr>
          <w:rFonts w:hint="eastAsia"/>
          <w:color w:val="auto"/>
          <w:highlight w:val="none"/>
        </w:rPr>
        <w:t>（三）分项评分超出评分标准范围的；</w:t>
      </w:r>
    </w:p>
    <w:p>
      <w:pPr>
        <w:pStyle w:val="2"/>
        <w:spacing w:line="360" w:lineRule="auto"/>
        <w:ind w:firstLine="480" w:firstLineChars="200"/>
        <w:jc w:val="both"/>
        <w:rPr>
          <w:color w:val="auto"/>
          <w:highlight w:val="none"/>
        </w:rPr>
      </w:pPr>
      <w:r>
        <w:rPr>
          <w:rFonts w:hint="eastAsia"/>
          <w:color w:val="auto"/>
          <w:highlight w:val="none"/>
        </w:rPr>
        <w:t>（四）客观评分不一致的。</w:t>
      </w:r>
    </w:p>
    <w:p>
      <w:pPr>
        <w:pStyle w:val="2"/>
        <w:spacing w:line="360" w:lineRule="auto"/>
        <w:ind w:firstLine="480" w:firstLineChars="200"/>
        <w:jc w:val="both"/>
        <w:rPr>
          <w:color w:val="auto"/>
          <w:highlight w:val="none"/>
        </w:rPr>
      </w:pPr>
      <w:r>
        <w:rPr>
          <w:rFonts w:hint="eastAsia"/>
          <w:color w:val="auto"/>
          <w:highlight w:val="none"/>
        </w:rPr>
        <w:t>存在本条上述规定情形的，由评标委员会自主决定是否采纳招标采购单位的书面建议，并承担独立评审责任。评标委员会采纳招标采购单位书面建议</w:t>
      </w:r>
      <w:r>
        <w:rPr>
          <w:rFonts w:hint="eastAsia"/>
          <w:color w:val="auto"/>
          <w:spacing w:val="-11"/>
          <w:highlight w:val="none"/>
        </w:rPr>
        <w:t>的，应</w:t>
      </w:r>
      <w:r>
        <w:rPr>
          <w:rFonts w:hint="eastAsia"/>
          <w:color w:val="auto"/>
          <w:highlight w:val="none"/>
        </w:rPr>
        <w:t>当按照规定现场修改评标结果或者重新评标，并在评标报告中详细记载有关事</w:t>
      </w:r>
      <w:r>
        <w:rPr>
          <w:rFonts w:hint="eastAsia"/>
          <w:color w:val="auto"/>
          <w:spacing w:val="-9"/>
          <w:highlight w:val="none"/>
        </w:rPr>
        <w:t>宜；不采纳招标采购单位书面建议的，应当书面说明理由。招标采购单位书面建</w:t>
      </w:r>
      <w:r>
        <w:rPr>
          <w:rFonts w:hint="eastAsia"/>
          <w:color w:val="auto"/>
          <w:spacing w:val="-14"/>
          <w:highlight w:val="none"/>
        </w:rPr>
        <w:t>议未被评标委员会采纳的，应当按照规定程序要求继续组织实施采购活动，不得</w:t>
      </w:r>
      <w:r>
        <w:rPr>
          <w:rFonts w:hint="eastAsia"/>
          <w:color w:val="auto"/>
          <w:spacing w:val="-15"/>
          <w:highlight w:val="none"/>
        </w:rPr>
        <w:t>擅自中止采购活动。招标采购单位认为评标委员会评标结果不合法的，应当书面报告采购项目同级财政部门依法处理。</w:t>
      </w:r>
    </w:p>
    <w:p>
      <w:pPr>
        <w:pStyle w:val="2"/>
        <w:spacing w:line="360" w:lineRule="auto"/>
        <w:ind w:firstLine="480" w:firstLineChars="200"/>
        <w:jc w:val="both"/>
        <w:rPr>
          <w:color w:val="auto"/>
          <w:highlight w:val="none"/>
        </w:rPr>
      </w:pPr>
      <w:r>
        <w:rPr>
          <w:rFonts w:hint="eastAsia"/>
          <w:color w:val="auto"/>
          <w:highlight w:val="none"/>
        </w:rPr>
        <w:t>3.11.2 有下列情形之一的，不得修改评标结果或者重新评标：</w:t>
      </w:r>
    </w:p>
    <w:p>
      <w:pPr>
        <w:pStyle w:val="2"/>
        <w:spacing w:line="360" w:lineRule="auto"/>
        <w:ind w:firstLine="480" w:firstLineChars="200"/>
        <w:jc w:val="both"/>
        <w:rPr>
          <w:color w:val="auto"/>
          <w:highlight w:val="none"/>
        </w:rPr>
      </w:pPr>
      <w:r>
        <w:rPr>
          <w:rFonts w:hint="eastAsia"/>
          <w:color w:val="auto"/>
          <w:highlight w:val="none"/>
        </w:rPr>
        <w:t>（一）评标委员会已经出具评标报告并且离开评标现场的；</w:t>
      </w:r>
    </w:p>
    <w:p>
      <w:pPr>
        <w:pStyle w:val="2"/>
        <w:spacing w:line="360" w:lineRule="auto"/>
        <w:ind w:firstLine="480" w:firstLineChars="200"/>
        <w:jc w:val="both"/>
        <w:rPr>
          <w:color w:val="auto"/>
          <w:highlight w:val="none"/>
        </w:rPr>
      </w:pPr>
      <w:r>
        <w:rPr>
          <w:rFonts w:hint="eastAsia"/>
          <w:color w:val="auto"/>
          <w:highlight w:val="none"/>
        </w:rPr>
        <w:t>（二）招标采购单位现场复核时，复核工作人员数量不足的；</w:t>
      </w:r>
    </w:p>
    <w:p>
      <w:pPr>
        <w:pStyle w:val="2"/>
        <w:spacing w:line="360" w:lineRule="auto"/>
        <w:ind w:firstLine="480" w:firstLineChars="200"/>
        <w:jc w:val="both"/>
        <w:rPr>
          <w:color w:val="auto"/>
          <w:highlight w:val="none"/>
        </w:rPr>
      </w:pPr>
      <w:r>
        <w:rPr>
          <w:rFonts w:hint="eastAsia"/>
          <w:color w:val="auto"/>
          <w:highlight w:val="none"/>
        </w:rPr>
        <w:t>（三）招标采购单位现场复核时，没有采购监督人员现场监督的；</w:t>
      </w:r>
    </w:p>
    <w:p>
      <w:pPr>
        <w:pStyle w:val="2"/>
        <w:spacing w:line="360" w:lineRule="auto"/>
        <w:ind w:firstLine="480" w:firstLineChars="200"/>
        <w:jc w:val="both"/>
        <w:rPr>
          <w:color w:val="auto"/>
          <w:highlight w:val="none"/>
        </w:rPr>
      </w:pPr>
      <w:r>
        <w:rPr>
          <w:rFonts w:hint="eastAsia"/>
          <w:color w:val="auto"/>
          <w:highlight w:val="none"/>
        </w:rPr>
        <w:t>（四）招标采购单位现场复核内容超出规定范围的；</w:t>
      </w:r>
    </w:p>
    <w:p>
      <w:pPr>
        <w:pStyle w:val="2"/>
        <w:spacing w:line="360" w:lineRule="auto"/>
        <w:ind w:firstLine="480" w:firstLineChars="200"/>
        <w:jc w:val="both"/>
        <w:rPr>
          <w:color w:val="auto"/>
          <w:sz w:val="29"/>
          <w:highlight w:val="none"/>
        </w:rPr>
      </w:pPr>
      <w:r>
        <w:rPr>
          <w:rFonts w:hint="eastAsia"/>
          <w:color w:val="auto"/>
          <w:highlight w:val="none"/>
        </w:rPr>
        <w:t>（五）招标采购单位未提供书面建议的。</w:t>
      </w:r>
    </w:p>
    <w:p>
      <w:pPr>
        <w:autoSpaceDE/>
        <w:autoSpaceDN/>
        <w:spacing w:line="360" w:lineRule="auto"/>
        <w:jc w:val="both"/>
        <w:rPr>
          <w:b/>
          <w:color w:val="auto"/>
          <w:sz w:val="35"/>
          <w:highlight w:val="none"/>
        </w:rPr>
      </w:pPr>
      <w:r>
        <w:rPr>
          <w:rFonts w:hint="eastAsia" w:cs="Times New Roman"/>
          <w:b/>
          <w:color w:val="auto"/>
          <w:kern w:val="2"/>
          <w:sz w:val="28"/>
          <w:szCs w:val="28"/>
          <w:highlight w:val="none"/>
          <w:lang w:val="en-US"/>
        </w:rPr>
        <w:t>4.评标细则及标准</w:t>
      </w:r>
    </w:p>
    <w:p>
      <w:pPr>
        <w:pStyle w:val="2"/>
        <w:spacing w:line="360" w:lineRule="auto"/>
        <w:ind w:firstLine="480" w:firstLineChars="200"/>
        <w:jc w:val="both"/>
        <w:rPr>
          <w:color w:val="auto"/>
          <w:highlight w:val="none"/>
        </w:rPr>
      </w:pPr>
      <w:r>
        <w:rPr>
          <w:rFonts w:hint="eastAsia"/>
          <w:color w:val="auto"/>
          <w:highlight w:val="none"/>
        </w:rPr>
        <w:t>4.1 本项目采用综合评分法，评分因素详见综合评分明细表。</w:t>
      </w:r>
    </w:p>
    <w:p>
      <w:pPr>
        <w:pStyle w:val="2"/>
        <w:spacing w:line="360" w:lineRule="auto"/>
        <w:ind w:firstLine="480" w:firstLineChars="200"/>
        <w:jc w:val="both"/>
        <w:rPr>
          <w:color w:val="auto"/>
          <w:highlight w:val="none"/>
        </w:rPr>
      </w:pPr>
      <w:r>
        <w:rPr>
          <w:rFonts w:hint="eastAsia"/>
          <w:color w:val="auto"/>
          <w:highlight w:val="none"/>
        </w:rPr>
        <w:t>4.2 评标委员会成员应当根据自身专业情况对每个有效投标供应商的投标文件进行独立评分，加权汇总每项评分因素的得分，得出每个有效投标供应商的总分。技术类评分因素由技术方面评标委员会成员独立评分。经济类评分因素由经济方面评标委员会成员独立评分。政策合同类的评分因素由法律方面评标委员会成员独立评分。采购人代表原则上对技术类评分因素独立评分。价格和其他不能明确区分的评分因素由评标委员会成员共同评分。</w:t>
      </w:r>
    </w:p>
    <w:p>
      <w:pPr>
        <w:pStyle w:val="2"/>
        <w:spacing w:line="360" w:lineRule="auto"/>
        <w:ind w:firstLine="480" w:firstLineChars="200"/>
        <w:jc w:val="both"/>
        <w:rPr>
          <w:color w:val="auto"/>
          <w:highlight w:val="none"/>
        </w:rPr>
      </w:pPr>
      <w:r>
        <w:rPr>
          <w:rFonts w:hint="eastAsia"/>
          <w:color w:val="auto"/>
          <w:highlight w:val="none"/>
        </w:rPr>
        <w:t>4.3 综合评分明细表</w:t>
      </w:r>
    </w:p>
    <w:p>
      <w:pPr>
        <w:pStyle w:val="2"/>
        <w:spacing w:line="360" w:lineRule="auto"/>
        <w:ind w:firstLine="480" w:firstLineChars="200"/>
        <w:jc w:val="both"/>
        <w:rPr>
          <w:color w:val="auto"/>
          <w:highlight w:val="none"/>
        </w:rPr>
      </w:pPr>
      <w:r>
        <w:rPr>
          <w:rFonts w:hint="eastAsia"/>
          <w:color w:val="auto"/>
          <w:highlight w:val="none"/>
        </w:rPr>
        <w:t>4.3.1 综合评分明细表的制定以科学合理、降低评委会自由裁量权为原则。</w:t>
      </w:r>
    </w:p>
    <w:p>
      <w:pPr>
        <w:pStyle w:val="2"/>
        <w:spacing w:line="360" w:lineRule="auto"/>
        <w:ind w:firstLine="482" w:firstLineChars="200"/>
        <w:jc w:val="both"/>
        <w:rPr>
          <w:rFonts w:hint="eastAsia"/>
          <w:b/>
          <w:bCs/>
          <w:color w:val="auto"/>
          <w:highlight w:val="none"/>
        </w:rPr>
      </w:pPr>
      <w:r>
        <w:rPr>
          <w:rFonts w:hint="eastAsia"/>
          <w:b/>
          <w:bCs/>
          <w:color w:val="auto"/>
          <w:highlight w:val="none"/>
        </w:rPr>
        <w:t>4.3.</w:t>
      </w:r>
      <w:r>
        <w:rPr>
          <w:rFonts w:hint="eastAsia"/>
          <w:b/>
          <w:bCs/>
          <w:color w:val="auto"/>
          <w:highlight w:val="none"/>
          <w:lang w:val="en-US" w:eastAsia="zh-CN"/>
        </w:rPr>
        <w:t>2</w:t>
      </w:r>
      <w:r>
        <w:rPr>
          <w:rFonts w:hint="eastAsia"/>
          <w:b/>
          <w:bCs/>
          <w:color w:val="auto"/>
          <w:highlight w:val="none"/>
        </w:rPr>
        <w:t xml:space="preserve"> 综合评分明细表</w:t>
      </w:r>
    </w:p>
    <w:tbl>
      <w:tblPr>
        <w:tblStyle w:val="2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918"/>
        <w:gridCol w:w="5154"/>
        <w:gridCol w:w="2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754" w:type="pct"/>
            <w:noWrap w:val="0"/>
            <w:vAlign w:val="center"/>
          </w:tcPr>
          <w:p>
            <w:pPr>
              <w:pageBreakBefore w:val="0"/>
              <w:widowControl/>
              <w:kinsoku/>
              <w:overflowPunct/>
              <w:topLinePunct w:val="0"/>
              <w:bidi w:val="0"/>
              <w:snapToGrid/>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b/>
                <w:color w:val="auto"/>
                <w:kern w:val="0"/>
                <w:sz w:val="22"/>
                <w:szCs w:val="22"/>
                <w:highlight w:val="none"/>
              </w:rPr>
              <w:t>评分因素及权重</w:t>
            </w:r>
          </w:p>
        </w:tc>
        <w:tc>
          <w:tcPr>
            <w:tcW w:w="461" w:type="pct"/>
            <w:noWrap w:val="0"/>
            <w:vAlign w:val="center"/>
          </w:tcPr>
          <w:p>
            <w:pPr>
              <w:pageBreakBefore w:val="0"/>
              <w:widowControl/>
              <w:kinsoku/>
              <w:overflowPunct/>
              <w:topLinePunct w:val="0"/>
              <w:bidi w:val="0"/>
              <w:snapToGrid/>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b/>
                <w:color w:val="auto"/>
                <w:kern w:val="0"/>
                <w:sz w:val="22"/>
                <w:szCs w:val="22"/>
                <w:highlight w:val="none"/>
              </w:rPr>
              <w:t>分值</w:t>
            </w:r>
          </w:p>
        </w:tc>
        <w:tc>
          <w:tcPr>
            <w:tcW w:w="2587" w:type="pct"/>
            <w:noWrap w:val="0"/>
            <w:vAlign w:val="center"/>
          </w:tcPr>
          <w:p>
            <w:pPr>
              <w:pageBreakBefore w:val="0"/>
              <w:widowControl/>
              <w:kinsoku/>
              <w:overflowPunct/>
              <w:topLinePunct w:val="0"/>
              <w:bidi w:val="0"/>
              <w:snapToGrid/>
              <w:spacing w:line="360" w:lineRule="auto"/>
              <w:jc w:val="center"/>
              <w:rPr>
                <w:rFonts w:hint="eastAsia" w:ascii="宋体" w:hAnsi="宋体" w:eastAsia="宋体" w:cs="宋体"/>
                <w:color w:val="auto"/>
                <w:kern w:val="0"/>
                <w:sz w:val="22"/>
                <w:szCs w:val="22"/>
                <w:highlight w:val="none"/>
                <w:lang w:bidi="ar"/>
              </w:rPr>
            </w:pPr>
            <w:r>
              <w:rPr>
                <w:rFonts w:hint="eastAsia" w:ascii="宋体" w:hAnsi="宋体" w:eastAsia="宋体" w:cs="宋体"/>
                <w:b/>
                <w:color w:val="auto"/>
                <w:kern w:val="0"/>
                <w:sz w:val="22"/>
                <w:szCs w:val="22"/>
                <w:highlight w:val="none"/>
              </w:rPr>
              <w:t>评分标准</w:t>
            </w:r>
          </w:p>
        </w:tc>
        <w:tc>
          <w:tcPr>
            <w:tcW w:w="1196" w:type="pct"/>
            <w:noWrap w:val="0"/>
            <w:vAlign w:val="center"/>
          </w:tcPr>
          <w:p>
            <w:pPr>
              <w:pageBreakBefore w:val="0"/>
              <w:widowControl/>
              <w:kinsoku/>
              <w:overflowPunct/>
              <w:topLinePunct w:val="0"/>
              <w:bidi w:val="0"/>
              <w:snapToGrid/>
              <w:spacing w:line="360" w:lineRule="auto"/>
              <w:jc w:val="center"/>
              <w:rPr>
                <w:rFonts w:hint="eastAsia" w:ascii="宋体" w:hAnsi="宋体" w:eastAsia="宋体" w:cs="宋体"/>
                <w:b/>
                <w:color w:val="auto"/>
                <w:kern w:val="0"/>
                <w:sz w:val="22"/>
                <w:szCs w:val="22"/>
                <w:highlight w:val="none"/>
                <w:lang w:val="en-US" w:eastAsia="zh-CN"/>
              </w:rPr>
            </w:pPr>
            <w:r>
              <w:rPr>
                <w:rFonts w:hint="eastAsia" w:ascii="宋体" w:hAnsi="宋体" w:eastAsia="宋体" w:cs="宋体"/>
                <w:b/>
                <w:color w:val="auto"/>
                <w:kern w:val="0"/>
                <w:sz w:val="22"/>
                <w:szCs w:val="22"/>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4"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28"/>
              <w:jc w:val="center"/>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lang w:val="en-US" w:eastAsia="zh-CN" w:bidi="ar-SA"/>
              </w:rPr>
              <w:t>报价30%</w:t>
            </w:r>
          </w:p>
        </w:tc>
        <w:tc>
          <w:tcPr>
            <w:tcW w:w="461" w:type="pct"/>
            <w:noWrap w:val="0"/>
            <w:vAlign w:val="center"/>
          </w:tcPr>
          <w:p>
            <w:pPr>
              <w:pageBreakBefore w:val="0"/>
              <w:widowControl/>
              <w:kinsoku/>
              <w:overflowPunct/>
              <w:topLinePunct w:val="0"/>
              <w:bidi w:val="0"/>
              <w:snapToGrid/>
              <w:spacing w:line="360" w:lineRule="auto"/>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30分</w:t>
            </w:r>
          </w:p>
        </w:tc>
        <w:tc>
          <w:tcPr>
            <w:tcW w:w="2587" w:type="pct"/>
            <w:noWrap w:val="0"/>
            <w:vAlign w:val="center"/>
          </w:tcPr>
          <w:p>
            <w:pPr>
              <w:pageBreakBefore w:val="0"/>
              <w:widowControl/>
              <w:kinsoku/>
              <w:overflowPunct/>
              <w:topLinePunct w:val="0"/>
              <w:bidi w:val="0"/>
              <w:snapToGrid/>
              <w:spacing w:line="360" w:lineRule="auto"/>
              <w:jc w:val="left"/>
              <w:textAlignment w:val="center"/>
              <w:rPr>
                <w:rFonts w:hint="eastAsia" w:ascii="宋体" w:hAnsi="宋体" w:eastAsia="宋体" w:cs="宋体"/>
                <w:color w:val="auto"/>
                <w:sz w:val="22"/>
                <w:szCs w:val="21"/>
                <w:highlight w:val="none"/>
                <w:lang w:val="en-US" w:eastAsia="zh-CN"/>
              </w:rPr>
            </w:pPr>
            <w:r>
              <w:rPr>
                <w:rFonts w:hint="eastAsia" w:ascii="宋体" w:hAnsi="宋体" w:eastAsia="宋体" w:cs="宋体"/>
                <w:color w:val="auto"/>
                <w:sz w:val="22"/>
                <w:szCs w:val="22"/>
                <w:highlight w:val="none"/>
              </w:rPr>
              <w:t>满足采</w:t>
            </w:r>
            <w:r>
              <w:rPr>
                <w:rFonts w:hint="eastAsia" w:ascii="宋体" w:hAnsi="宋体" w:eastAsia="宋体" w:cs="宋体"/>
                <w:color w:val="auto"/>
                <w:sz w:val="22"/>
                <w:szCs w:val="22"/>
                <w:highlight w:val="none"/>
                <w:lang w:val="en-US" w:eastAsia="zh-CN"/>
              </w:rPr>
              <w:t>招标</w:t>
            </w:r>
            <w:r>
              <w:rPr>
                <w:rFonts w:hint="eastAsia" w:ascii="宋体" w:hAnsi="宋体" w:eastAsia="宋体" w:cs="宋体"/>
                <w:color w:val="auto"/>
                <w:sz w:val="22"/>
                <w:szCs w:val="22"/>
                <w:highlight w:val="none"/>
              </w:rPr>
              <w:t>文件要求且价格最低的</w:t>
            </w:r>
            <w:r>
              <w:rPr>
                <w:rFonts w:hint="eastAsia" w:ascii="宋体" w:hAnsi="宋体" w:eastAsia="宋体" w:cs="宋体"/>
                <w:color w:val="auto"/>
                <w:sz w:val="22"/>
                <w:szCs w:val="22"/>
                <w:highlight w:val="none"/>
                <w:lang w:val="en-US" w:eastAsia="zh-CN"/>
              </w:rPr>
              <w:t>投标</w:t>
            </w:r>
            <w:r>
              <w:rPr>
                <w:rFonts w:hint="eastAsia" w:ascii="宋体" w:hAnsi="宋体" w:eastAsia="宋体" w:cs="宋体"/>
                <w:color w:val="auto"/>
                <w:sz w:val="22"/>
                <w:szCs w:val="22"/>
                <w:highlight w:val="none"/>
              </w:rPr>
              <w:t>报价作为基准价，其价格分为满分，</w:t>
            </w:r>
            <w:r>
              <w:rPr>
                <w:rFonts w:hint="eastAsia" w:ascii="宋体" w:hAnsi="宋体" w:eastAsia="宋体" w:cs="宋体"/>
                <w:color w:val="auto"/>
                <w:sz w:val="22"/>
                <w:szCs w:val="22"/>
                <w:highlight w:val="none"/>
                <w:lang w:val="en-US" w:eastAsia="zh-CN"/>
              </w:rPr>
              <w:t>投标</w:t>
            </w:r>
            <w:r>
              <w:rPr>
                <w:rFonts w:hint="eastAsia" w:ascii="宋体" w:hAnsi="宋体" w:eastAsia="宋体" w:cs="宋体"/>
                <w:color w:val="auto"/>
                <w:sz w:val="22"/>
                <w:szCs w:val="22"/>
                <w:highlight w:val="none"/>
              </w:rPr>
              <w:t>报价得分＝（基准价/</w:t>
            </w:r>
            <w:r>
              <w:rPr>
                <w:rFonts w:hint="eastAsia" w:ascii="宋体" w:hAnsi="宋体" w:eastAsia="宋体" w:cs="宋体"/>
                <w:color w:val="auto"/>
                <w:sz w:val="22"/>
                <w:szCs w:val="22"/>
                <w:highlight w:val="none"/>
                <w:lang w:val="en-US" w:eastAsia="zh-CN"/>
              </w:rPr>
              <w:t>投标</w:t>
            </w:r>
            <w:r>
              <w:rPr>
                <w:rFonts w:hint="eastAsia" w:ascii="宋体" w:hAnsi="宋体" w:eastAsia="宋体" w:cs="宋体"/>
                <w:color w:val="auto"/>
                <w:sz w:val="22"/>
                <w:szCs w:val="22"/>
                <w:highlight w:val="none"/>
              </w:rPr>
              <w:t>报价）×30%×100</w:t>
            </w:r>
          </w:p>
        </w:tc>
        <w:tc>
          <w:tcPr>
            <w:tcW w:w="1196" w:type="pct"/>
            <w:noWrap w:val="0"/>
            <w:vAlign w:val="center"/>
          </w:tcPr>
          <w:p>
            <w:pPr>
              <w:pStyle w:val="72"/>
              <w:pageBreakBefore w:val="0"/>
              <w:kinsoku/>
              <w:overflowPunct/>
              <w:topLinePunct w:val="0"/>
              <w:bidi w:val="0"/>
              <w:snapToGrid/>
              <w:spacing w:line="360" w:lineRule="auto"/>
              <w:jc w:val="center"/>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小微企业（监狱企业、残疾人福利性单位视同小微企业）价格扣除按照招标文件须知附表规定执行。（共同评分因素）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754" w:type="pct"/>
            <w:noWrap w:val="0"/>
            <w:vAlign w:val="center"/>
          </w:tcPr>
          <w:p>
            <w:pPr>
              <w:pageBreakBefore w:val="0"/>
              <w:widowControl/>
              <w:kinsoku/>
              <w:overflowPunct/>
              <w:topLinePunct w:val="0"/>
              <w:bidi w:val="0"/>
              <w:snapToGrid/>
              <w:spacing w:line="360" w:lineRule="auto"/>
              <w:jc w:val="center"/>
              <w:textAlignment w:val="center"/>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sz w:val="22"/>
                <w:szCs w:val="21"/>
                <w:highlight w:val="none"/>
              </w:rPr>
              <w:t>技术指标和配置</w:t>
            </w:r>
            <w:r>
              <w:rPr>
                <w:rFonts w:hint="eastAsia" w:ascii="宋体" w:hAnsi="宋体" w:eastAsia="宋体" w:cs="宋体"/>
                <w:color w:val="auto"/>
                <w:sz w:val="22"/>
                <w:szCs w:val="21"/>
                <w:highlight w:val="none"/>
                <w:lang w:val="en-US" w:eastAsia="zh-CN"/>
              </w:rPr>
              <w:t>30</w:t>
            </w:r>
            <w:r>
              <w:rPr>
                <w:rFonts w:hint="eastAsia" w:ascii="宋体" w:hAnsi="宋体" w:eastAsia="宋体" w:cs="宋体"/>
                <w:color w:val="auto"/>
                <w:sz w:val="22"/>
                <w:szCs w:val="21"/>
                <w:highlight w:val="none"/>
              </w:rPr>
              <w:t>%</w:t>
            </w:r>
          </w:p>
        </w:tc>
        <w:tc>
          <w:tcPr>
            <w:tcW w:w="461" w:type="pct"/>
            <w:noWrap w:val="0"/>
            <w:vAlign w:val="center"/>
          </w:tcPr>
          <w:p>
            <w:pPr>
              <w:pageBreakBefore w:val="0"/>
              <w:widowControl/>
              <w:kinsoku/>
              <w:overflowPunct/>
              <w:topLinePunct w:val="0"/>
              <w:bidi w:val="0"/>
              <w:snapToGrid/>
              <w:spacing w:line="360" w:lineRule="auto"/>
              <w:jc w:val="center"/>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sz w:val="22"/>
                <w:szCs w:val="21"/>
                <w:highlight w:val="none"/>
                <w:lang w:val="en-US" w:eastAsia="zh-CN"/>
              </w:rPr>
              <w:t>30分</w:t>
            </w:r>
          </w:p>
        </w:tc>
        <w:tc>
          <w:tcPr>
            <w:tcW w:w="2587" w:type="pct"/>
            <w:noWrap w:val="0"/>
            <w:vAlign w:val="center"/>
          </w:tcPr>
          <w:p>
            <w:pPr>
              <w:pStyle w:val="6"/>
              <w:pageBreakBefore w:val="0"/>
              <w:kinsoku/>
              <w:overflowPunct/>
              <w:topLinePunct w:val="0"/>
              <w:bidi w:val="0"/>
              <w:snapToGrid/>
              <w:spacing w:before="0" w:beforeLines="0" w:after="0" w:afterLines="0" w:line="360" w:lineRule="auto"/>
              <w:rPr>
                <w:rFonts w:hint="eastAsia" w:ascii="宋体" w:hAnsi="宋体" w:eastAsia="宋体" w:cs="宋体"/>
                <w:color w:val="auto"/>
                <w:sz w:val="28"/>
                <w:szCs w:val="21"/>
                <w:highlight w:val="none"/>
              </w:rPr>
            </w:pPr>
            <w:r>
              <w:rPr>
                <w:rFonts w:hint="eastAsia" w:ascii="宋体" w:hAnsi="宋体" w:eastAsia="宋体" w:cs="宋体"/>
                <w:b w:val="0"/>
                <w:color w:val="auto"/>
                <w:sz w:val="22"/>
                <w:szCs w:val="21"/>
                <w:highlight w:val="none"/>
                <w:lang w:val="zh-CN" w:eastAsia="zh-CN" w:bidi="ar-SA"/>
              </w:rPr>
              <w:t>投标人完全满足招标文件技术要求的得30分，其他则按以下原则计分：技术参数条款响应得分=（投标人满足技术参数条款的数量÷对应包件中技术参数条款的总数量）×30分</w:t>
            </w:r>
          </w:p>
          <w:p>
            <w:pPr>
              <w:pageBreakBefore w:val="0"/>
              <w:widowControl/>
              <w:kinsoku/>
              <w:overflowPunct/>
              <w:topLinePunct w:val="0"/>
              <w:bidi w:val="0"/>
              <w:snapToGrid/>
              <w:spacing w:line="360" w:lineRule="auto"/>
              <w:jc w:val="left"/>
              <w:textAlignment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注：本项所述的条款数量按以下原则计算：（1）无子项的条款：以每项条款为1项进行计算；（2）有子项的条款：以最末级的子项为1项进行计算。</w:t>
            </w:r>
          </w:p>
        </w:tc>
        <w:tc>
          <w:tcPr>
            <w:tcW w:w="1196" w:type="pct"/>
            <w:noWrap w:val="0"/>
            <w:vAlign w:val="center"/>
          </w:tcPr>
          <w:p>
            <w:pPr>
              <w:pStyle w:val="3"/>
              <w:keepNext w:val="0"/>
              <w:keepLines w:val="0"/>
              <w:pageBreakBefore w:val="0"/>
              <w:widowControl w:val="0"/>
              <w:kinsoku/>
              <w:wordWrap w:val="0"/>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以投标文件为准</w:t>
            </w:r>
          </w:p>
          <w:p>
            <w:pPr>
              <w:pStyle w:val="3"/>
              <w:keepNext w:val="0"/>
              <w:keepLines w:val="0"/>
              <w:pageBreakBefore w:val="0"/>
              <w:widowControl w:val="0"/>
              <w:kinsoku/>
              <w:wordWrap w:val="0"/>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宋体" w:hAnsi="宋体" w:eastAsia="宋体" w:cs="宋体"/>
                <w:i w:val="0"/>
                <w:color w:val="auto"/>
                <w:sz w:val="22"/>
                <w:szCs w:val="21"/>
                <w:highlight w:val="none"/>
                <w:lang w:val="zh-CN" w:eastAsia="zh-CN" w:bidi="ar-SA"/>
              </w:rPr>
            </w:pPr>
            <w:r>
              <w:rPr>
                <w:rFonts w:hint="eastAsia" w:ascii="宋体" w:hAnsi="宋体" w:eastAsia="宋体" w:cs="宋体"/>
                <w:i w:val="0"/>
                <w:color w:val="auto"/>
                <w:sz w:val="22"/>
                <w:szCs w:val="22"/>
                <w:highlight w:val="none"/>
                <w:lang w:val="en-US" w:eastAsia="zh-CN" w:bidi="ar-SA"/>
              </w:rPr>
              <w:t>（技术评分因素）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754" w:type="pct"/>
            <w:noWrap w:val="0"/>
            <w:vAlign w:val="center"/>
          </w:tcPr>
          <w:p>
            <w:pPr>
              <w:keepNext w:val="0"/>
              <w:keepLines w:val="0"/>
              <w:pageBreakBefore w:val="0"/>
              <w:widowControl/>
              <w:suppressLineNumbers w:val="0"/>
              <w:kinsoku/>
              <w:overflowPunct/>
              <w:topLinePunct w:val="0"/>
              <w:bidi w:val="0"/>
              <w:snapToGrid/>
              <w:spacing w:line="360" w:lineRule="auto"/>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业绩6%</w:t>
            </w:r>
          </w:p>
        </w:tc>
        <w:tc>
          <w:tcPr>
            <w:tcW w:w="461" w:type="pct"/>
            <w:noWrap w:val="0"/>
            <w:vAlign w:val="center"/>
          </w:tcPr>
          <w:p>
            <w:pPr>
              <w:keepNext w:val="0"/>
              <w:keepLines w:val="0"/>
              <w:pageBreakBefore w:val="0"/>
              <w:widowControl/>
              <w:suppressLineNumbers w:val="0"/>
              <w:kinsoku/>
              <w:overflowPunct/>
              <w:topLinePunct w:val="0"/>
              <w:bidi w:val="0"/>
              <w:snapToGrid/>
              <w:spacing w:line="360" w:lineRule="auto"/>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6分</w:t>
            </w:r>
          </w:p>
        </w:tc>
        <w:tc>
          <w:tcPr>
            <w:tcW w:w="2587" w:type="pct"/>
            <w:noWrap w:val="0"/>
            <w:vAlign w:val="center"/>
          </w:tcPr>
          <w:p>
            <w:pPr>
              <w:keepNext w:val="0"/>
              <w:keepLines w:val="0"/>
              <w:pageBreakBefore w:val="0"/>
              <w:widowControl/>
              <w:suppressLineNumbers w:val="0"/>
              <w:kinsoku/>
              <w:overflowPunct/>
              <w:topLinePunct w:val="0"/>
              <w:bidi w:val="0"/>
              <w:snapToGrid/>
              <w:spacing w:line="360" w:lineRule="auto"/>
              <w:jc w:val="left"/>
              <w:textAlignment w:val="center"/>
              <w:rPr>
                <w:rFonts w:hint="eastAsia" w:ascii="宋体" w:hAnsi="宋体" w:eastAsia="宋体" w:cs="宋体"/>
                <w:color w:val="auto"/>
                <w:sz w:val="22"/>
                <w:szCs w:val="21"/>
                <w:highlight w:val="none"/>
                <w:lang w:val="en-US" w:eastAsia="zh-CN" w:bidi="ar-SA"/>
              </w:rPr>
            </w:pPr>
            <w:r>
              <w:rPr>
                <w:rFonts w:hint="eastAsia" w:ascii="宋体" w:hAnsi="宋体" w:eastAsia="宋体" w:cs="宋体"/>
                <w:b w:val="0"/>
                <w:color w:val="auto"/>
                <w:sz w:val="22"/>
                <w:szCs w:val="21"/>
                <w:highlight w:val="none"/>
                <w:lang w:val="zh-CN" w:eastAsia="zh-CN" w:bidi="ar-SA"/>
              </w:rPr>
              <w:t>投标人</w:t>
            </w:r>
            <w:r>
              <w:rPr>
                <w:rFonts w:hint="eastAsia" w:ascii="宋体" w:hAnsi="宋体" w:eastAsia="宋体" w:cs="宋体"/>
                <w:i w:val="0"/>
                <w:iCs w:val="0"/>
                <w:color w:val="auto"/>
                <w:kern w:val="0"/>
                <w:sz w:val="22"/>
                <w:szCs w:val="22"/>
                <w:highlight w:val="none"/>
                <w:u w:val="none"/>
                <w:lang w:val="en-US" w:eastAsia="zh-CN" w:bidi="ar"/>
              </w:rPr>
              <w:t>2020年01月01日（含01日）以来每提供一个类似业绩的得2分，每增加一个得2分，最多得6分（提供项目成交/中标通知书或合同复印件并加盖鲜章）</w:t>
            </w:r>
          </w:p>
        </w:tc>
        <w:tc>
          <w:tcPr>
            <w:tcW w:w="1196" w:type="pct"/>
            <w:noWrap w:val="0"/>
            <w:vAlign w:val="center"/>
          </w:tcPr>
          <w:p>
            <w:pPr>
              <w:keepNext w:val="0"/>
              <w:keepLines w:val="0"/>
              <w:pageBreakBefore w:val="0"/>
              <w:widowControl/>
              <w:suppressLineNumbers w:val="0"/>
              <w:kinsoku/>
              <w:overflowPunct/>
              <w:topLinePunct w:val="0"/>
              <w:bidi w:val="0"/>
              <w:snapToGrid/>
              <w:spacing w:line="360" w:lineRule="auto"/>
              <w:jc w:val="center"/>
              <w:textAlignment w:val="center"/>
              <w:rPr>
                <w:rFonts w:hint="eastAsia" w:ascii="宋体" w:hAnsi="宋体" w:eastAsia="宋体" w:cs="宋体"/>
                <w:color w:val="auto"/>
                <w:sz w:val="22"/>
                <w:szCs w:val="21"/>
                <w:highlight w:val="none"/>
              </w:rPr>
            </w:pPr>
            <w:r>
              <w:rPr>
                <w:rFonts w:hint="eastAsia" w:ascii="宋体" w:hAnsi="宋体" w:eastAsia="宋体" w:cs="宋体"/>
                <w:i w:val="0"/>
                <w:iCs w:val="0"/>
                <w:color w:val="auto"/>
                <w:kern w:val="0"/>
                <w:sz w:val="22"/>
                <w:szCs w:val="22"/>
                <w:highlight w:val="none"/>
                <w:u w:val="none"/>
                <w:lang w:val="en-US" w:eastAsia="zh-CN" w:bidi="ar"/>
              </w:rPr>
              <w:t>以投标文件为准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9" w:hRule="atLeast"/>
        </w:trPr>
        <w:tc>
          <w:tcPr>
            <w:tcW w:w="754" w:type="pct"/>
            <w:noWrap w:val="0"/>
            <w:vAlign w:val="center"/>
          </w:tcPr>
          <w:p>
            <w:pPr>
              <w:keepNext w:val="0"/>
              <w:keepLines w:val="0"/>
              <w:pageBreakBefore w:val="0"/>
              <w:widowControl/>
              <w:suppressLineNumbers w:val="0"/>
              <w:kinsoku/>
              <w:overflowPunct/>
              <w:topLinePunct w:val="0"/>
              <w:bidi w:val="0"/>
              <w:snapToGrid/>
              <w:spacing w:line="36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项目实施方案24%</w:t>
            </w:r>
          </w:p>
        </w:tc>
        <w:tc>
          <w:tcPr>
            <w:tcW w:w="461" w:type="pct"/>
            <w:noWrap w:val="0"/>
            <w:vAlign w:val="center"/>
          </w:tcPr>
          <w:p>
            <w:pPr>
              <w:keepNext w:val="0"/>
              <w:keepLines w:val="0"/>
              <w:pageBreakBefore w:val="0"/>
              <w:widowControl/>
              <w:suppressLineNumbers w:val="0"/>
              <w:kinsoku/>
              <w:overflowPunct/>
              <w:topLinePunct w:val="0"/>
              <w:bidi w:val="0"/>
              <w:snapToGrid/>
              <w:spacing w:line="36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24分</w:t>
            </w:r>
          </w:p>
        </w:tc>
        <w:tc>
          <w:tcPr>
            <w:tcW w:w="2587" w:type="pct"/>
            <w:noWrap w:val="0"/>
            <w:vAlign w:val="center"/>
          </w:tcPr>
          <w:p>
            <w:pPr>
              <w:keepNext w:val="0"/>
              <w:keepLines w:val="0"/>
              <w:pageBreakBefore w:val="0"/>
              <w:widowControl/>
              <w:suppressLineNumbers w:val="0"/>
              <w:kinsoku/>
              <w:overflowPunct/>
              <w:topLinePunct w:val="0"/>
              <w:bidi w:val="0"/>
              <w:snapToGrid/>
              <w:spacing w:line="360" w:lineRule="auto"/>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根据投标人提供的针对本项目的项目实施方案（包含：①配送服务计划及响应时限；②公司内部管理制度；③备货方案；④人员配置安排方案；⑤项目服务质量保障措施；⑥安全保障措施。）以上6个部分方案要素齐全得24分。每缺少一个部分扣4分，扣完为止，内容描述存在不完整、前后矛盾、不符合项目要求中任何一种情形或其他不足之处的，每有一处扣1分，每个部分最多扣4分，扣完为止。</w:t>
            </w:r>
          </w:p>
          <w:p>
            <w:pPr>
              <w:keepNext w:val="0"/>
              <w:keepLines w:val="0"/>
              <w:pageBreakBefore w:val="0"/>
              <w:widowControl/>
              <w:suppressLineNumbers w:val="0"/>
              <w:kinsoku/>
              <w:overflowPunct/>
              <w:topLinePunct w:val="0"/>
              <w:bidi w:val="0"/>
              <w:snapToGrid/>
              <w:spacing w:line="360" w:lineRule="auto"/>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注：其他不足之处是指存在凭空编造、内容套用或错用、前后不一致、前后逻辑错误、涉及的规范及标准错误、地点区域错误、科学原理错误以及不可能实现的夸大情形等。</w:t>
            </w:r>
          </w:p>
        </w:tc>
        <w:tc>
          <w:tcPr>
            <w:tcW w:w="1196" w:type="pct"/>
            <w:noWrap w:val="0"/>
            <w:vAlign w:val="center"/>
          </w:tcPr>
          <w:p>
            <w:pPr>
              <w:keepNext w:val="0"/>
              <w:keepLines w:val="0"/>
              <w:pageBreakBefore w:val="0"/>
              <w:widowControl/>
              <w:suppressLineNumbers w:val="0"/>
              <w:kinsoku/>
              <w:overflowPunct/>
              <w:topLinePunct w:val="0"/>
              <w:bidi w:val="0"/>
              <w:snapToGrid/>
              <w:spacing w:line="36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以投标文件为准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(技术评分因素)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754" w:type="pct"/>
            <w:noWrap w:val="0"/>
            <w:vAlign w:val="center"/>
          </w:tcPr>
          <w:p>
            <w:pPr>
              <w:keepNext w:val="0"/>
              <w:keepLines w:val="0"/>
              <w:pageBreakBefore w:val="0"/>
              <w:widowControl/>
              <w:suppressLineNumbers w:val="0"/>
              <w:kinsoku/>
              <w:overflowPunct/>
              <w:topLinePunct w:val="0"/>
              <w:bidi w:val="0"/>
              <w:snapToGrid/>
              <w:spacing w:line="36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售后服务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方案10%</w:t>
            </w:r>
          </w:p>
        </w:tc>
        <w:tc>
          <w:tcPr>
            <w:tcW w:w="461" w:type="pct"/>
            <w:noWrap w:val="0"/>
            <w:vAlign w:val="center"/>
          </w:tcPr>
          <w:p>
            <w:pPr>
              <w:keepNext w:val="0"/>
              <w:keepLines w:val="0"/>
              <w:pageBreakBefore w:val="0"/>
              <w:widowControl/>
              <w:suppressLineNumbers w:val="0"/>
              <w:kinsoku/>
              <w:overflowPunct/>
              <w:topLinePunct w:val="0"/>
              <w:bidi w:val="0"/>
              <w:snapToGrid/>
              <w:spacing w:line="36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10分</w:t>
            </w:r>
          </w:p>
        </w:tc>
        <w:tc>
          <w:tcPr>
            <w:tcW w:w="2587" w:type="pct"/>
            <w:noWrap w:val="0"/>
            <w:vAlign w:val="center"/>
          </w:tcPr>
          <w:p>
            <w:pPr>
              <w:keepNext w:val="0"/>
              <w:keepLines w:val="0"/>
              <w:pageBreakBefore w:val="0"/>
              <w:widowControl/>
              <w:suppressLineNumbers w:val="0"/>
              <w:kinsoku/>
              <w:overflowPunct/>
              <w:topLinePunct w:val="0"/>
              <w:bidi w:val="0"/>
              <w:snapToGrid/>
              <w:spacing w:line="360" w:lineRule="auto"/>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根据投标人提供的针对本项目的售后服务方案（包含：①售后服务体系；②不良事件处理方案；③短缺货/紧急采购应急处置流程；④退换货服务方案）以上4个部分方案要素齐全得10分。每缺少一个部分扣2.5分，扣完为止，内容描述存在不完整、前后矛盾、不符合项目要求中任何一种情形或其他不足之处的，每有一处扣1.25分，每个部分最多扣2.5分，扣完为止。</w:t>
            </w:r>
          </w:p>
          <w:p>
            <w:pPr>
              <w:keepNext w:val="0"/>
              <w:keepLines w:val="0"/>
              <w:pageBreakBefore w:val="0"/>
              <w:widowControl/>
              <w:suppressLineNumbers w:val="0"/>
              <w:kinsoku/>
              <w:overflowPunct/>
              <w:topLinePunct w:val="0"/>
              <w:bidi w:val="0"/>
              <w:snapToGrid/>
              <w:spacing w:line="360" w:lineRule="auto"/>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注：其他不足之处是指存在凭空编造、内容套用或错用、前后不一致、前后逻辑错误、涉及的规范及标准错误、地点区域错误、科学原理错误以及不可能实现的夸大情形等。</w:t>
            </w:r>
          </w:p>
        </w:tc>
        <w:tc>
          <w:tcPr>
            <w:tcW w:w="1196" w:type="pct"/>
            <w:noWrap w:val="0"/>
            <w:vAlign w:val="center"/>
          </w:tcPr>
          <w:p>
            <w:pPr>
              <w:keepNext w:val="0"/>
              <w:keepLines w:val="0"/>
              <w:pageBreakBefore w:val="0"/>
              <w:widowControl/>
              <w:suppressLineNumbers w:val="0"/>
              <w:kinsoku/>
              <w:overflowPunct/>
              <w:topLinePunct w:val="0"/>
              <w:bidi w:val="0"/>
              <w:snapToGrid/>
              <w:spacing w:line="36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以投标文件为准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(技术评分因素)</w:t>
            </w:r>
          </w:p>
        </w:tc>
      </w:tr>
    </w:tbl>
    <w:p>
      <w:pPr>
        <w:autoSpaceDE/>
        <w:autoSpaceDN/>
        <w:spacing w:line="360" w:lineRule="auto"/>
        <w:jc w:val="both"/>
        <w:rPr>
          <w:rFonts w:cs="Times New Roman"/>
          <w:b/>
          <w:color w:val="auto"/>
          <w:kern w:val="2"/>
          <w:sz w:val="28"/>
          <w:szCs w:val="28"/>
          <w:highlight w:val="none"/>
          <w:lang w:val="en-US"/>
        </w:rPr>
      </w:pPr>
      <w:r>
        <w:rPr>
          <w:rFonts w:hint="eastAsia" w:cs="Times New Roman"/>
          <w:b/>
          <w:color w:val="auto"/>
          <w:kern w:val="2"/>
          <w:sz w:val="28"/>
          <w:szCs w:val="28"/>
          <w:highlight w:val="none"/>
          <w:lang w:val="en-US"/>
        </w:rPr>
        <w:t>5.废标</w:t>
      </w:r>
    </w:p>
    <w:p>
      <w:pPr>
        <w:pStyle w:val="2"/>
        <w:spacing w:line="360" w:lineRule="auto"/>
        <w:ind w:firstLine="480" w:firstLineChars="200"/>
        <w:jc w:val="both"/>
        <w:rPr>
          <w:color w:val="auto"/>
          <w:highlight w:val="none"/>
        </w:rPr>
      </w:pPr>
      <w:r>
        <w:rPr>
          <w:rFonts w:hint="eastAsia"/>
          <w:color w:val="auto"/>
          <w:highlight w:val="none"/>
        </w:rPr>
        <w:t>5.1 本次政府采购活动中，出现下列情形之一的，予以废标：</w:t>
      </w:r>
    </w:p>
    <w:p>
      <w:pPr>
        <w:pStyle w:val="2"/>
        <w:spacing w:line="360" w:lineRule="auto"/>
        <w:ind w:firstLine="480" w:firstLineChars="200"/>
        <w:jc w:val="both"/>
        <w:rPr>
          <w:color w:val="auto"/>
          <w:highlight w:val="none"/>
        </w:rPr>
      </w:pPr>
      <w:r>
        <w:rPr>
          <w:rFonts w:hint="eastAsia"/>
          <w:color w:val="auto"/>
          <w:highlight w:val="none"/>
        </w:rPr>
        <w:t>（1）符合专业条件的</w:t>
      </w:r>
      <w:r>
        <w:rPr>
          <w:rFonts w:hint="eastAsia"/>
          <w:color w:val="auto"/>
          <w:highlight w:val="none"/>
          <w:lang w:eastAsia="zh-CN"/>
        </w:rPr>
        <w:t>投标人</w:t>
      </w:r>
      <w:r>
        <w:rPr>
          <w:rFonts w:hint="eastAsia"/>
          <w:color w:val="auto"/>
          <w:highlight w:val="none"/>
        </w:rPr>
        <w:t>或者对招标文件作实质响应的</w:t>
      </w:r>
      <w:r>
        <w:rPr>
          <w:rFonts w:hint="eastAsia"/>
          <w:color w:val="auto"/>
          <w:highlight w:val="none"/>
          <w:lang w:eastAsia="zh-CN"/>
        </w:rPr>
        <w:t>投标人</w:t>
      </w:r>
      <w:r>
        <w:rPr>
          <w:rFonts w:hint="eastAsia"/>
          <w:color w:val="auto"/>
          <w:highlight w:val="none"/>
        </w:rPr>
        <w:t>不足三家的；</w:t>
      </w:r>
    </w:p>
    <w:p>
      <w:pPr>
        <w:pStyle w:val="2"/>
        <w:spacing w:line="360" w:lineRule="auto"/>
        <w:ind w:firstLine="480" w:firstLineChars="200"/>
        <w:jc w:val="both"/>
        <w:rPr>
          <w:color w:val="auto"/>
          <w:highlight w:val="none"/>
        </w:rPr>
      </w:pPr>
      <w:r>
        <w:rPr>
          <w:rFonts w:hint="eastAsia"/>
          <w:color w:val="auto"/>
          <w:highlight w:val="none"/>
        </w:rPr>
        <w:t>（2）出现影响采购公正的违法、违规行为的；</w:t>
      </w:r>
    </w:p>
    <w:p>
      <w:pPr>
        <w:pStyle w:val="2"/>
        <w:spacing w:line="360" w:lineRule="auto"/>
        <w:ind w:firstLine="480" w:firstLineChars="200"/>
        <w:jc w:val="both"/>
        <w:rPr>
          <w:color w:val="auto"/>
          <w:highlight w:val="none"/>
        </w:rPr>
      </w:pPr>
      <w:r>
        <w:rPr>
          <w:rFonts w:hint="eastAsia"/>
          <w:color w:val="auto"/>
          <w:highlight w:val="none"/>
        </w:rPr>
        <w:t>（3）投标人的报价均超过了采购预算，采购人不能支付的；</w:t>
      </w:r>
    </w:p>
    <w:p>
      <w:pPr>
        <w:pStyle w:val="2"/>
        <w:spacing w:line="360" w:lineRule="auto"/>
        <w:ind w:firstLine="480" w:firstLineChars="200"/>
        <w:jc w:val="both"/>
        <w:rPr>
          <w:color w:val="auto"/>
          <w:highlight w:val="none"/>
        </w:rPr>
      </w:pPr>
      <w:r>
        <w:rPr>
          <w:rFonts w:hint="eastAsia"/>
          <w:color w:val="auto"/>
          <w:highlight w:val="none"/>
        </w:rPr>
        <w:t>（4）因重大变故，采购任务取消的。</w:t>
      </w:r>
    </w:p>
    <w:p>
      <w:pPr>
        <w:pStyle w:val="2"/>
        <w:spacing w:line="360" w:lineRule="auto"/>
        <w:ind w:firstLine="480" w:firstLineChars="200"/>
        <w:jc w:val="both"/>
        <w:rPr>
          <w:color w:val="auto"/>
          <w:highlight w:val="none"/>
        </w:rPr>
      </w:pPr>
      <w:r>
        <w:rPr>
          <w:rFonts w:hint="eastAsia"/>
          <w:color w:val="auto"/>
          <w:highlight w:val="none"/>
        </w:rPr>
        <w:t>（5）废标后，采购代理机构应在</w:t>
      </w:r>
      <w:r>
        <w:rPr>
          <w:rFonts w:hint="eastAsia"/>
          <w:color w:val="auto"/>
          <w:highlight w:val="none"/>
          <w:lang w:eastAsia="zh-CN"/>
        </w:rPr>
        <w:t>中国政府采购网</w:t>
      </w:r>
      <w:r>
        <w:rPr>
          <w:rFonts w:hint="eastAsia"/>
          <w:color w:val="auto"/>
          <w:highlight w:val="none"/>
          <w:lang w:val="en-US" w:eastAsia="zh-CN"/>
        </w:rPr>
        <w:t>（http://www.ccgp.gov.cn/）</w:t>
      </w:r>
      <w:r>
        <w:rPr>
          <w:rFonts w:hint="eastAsia"/>
          <w:color w:val="auto"/>
          <w:highlight w:val="none"/>
        </w:rPr>
        <w:t>上公告，并公告废标的情形。投标人需要知晓导致废标情形的具体原因和理由的，可以通过书面形式询问招标采购单位。</w:t>
      </w:r>
    </w:p>
    <w:p>
      <w:pPr>
        <w:pStyle w:val="2"/>
        <w:spacing w:line="360" w:lineRule="auto"/>
        <w:ind w:firstLine="480" w:firstLineChars="200"/>
        <w:jc w:val="both"/>
        <w:rPr>
          <w:color w:val="auto"/>
          <w:sz w:val="28"/>
          <w:highlight w:val="none"/>
        </w:rPr>
      </w:pPr>
      <w:r>
        <w:rPr>
          <w:rFonts w:hint="eastAsia"/>
          <w:color w:val="auto"/>
          <w:highlight w:val="none"/>
        </w:rPr>
        <w:t>5.2 对于评标过程中废标的采购项目，评标委员会应当对招标文件是否存在倾向性和歧视性、是否存在不合理条款进行论证，并出具书面论证意见。</w:t>
      </w:r>
    </w:p>
    <w:p>
      <w:pPr>
        <w:autoSpaceDE/>
        <w:autoSpaceDN/>
        <w:spacing w:line="360" w:lineRule="auto"/>
        <w:jc w:val="both"/>
        <w:rPr>
          <w:rFonts w:cs="Times New Roman"/>
          <w:b/>
          <w:color w:val="auto"/>
          <w:kern w:val="2"/>
          <w:sz w:val="28"/>
          <w:szCs w:val="28"/>
          <w:highlight w:val="none"/>
          <w:lang w:val="en-US"/>
        </w:rPr>
      </w:pPr>
      <w:r>
        <w:rPr>
          <w:rFonts w:hint="eastAsia" w:cs="Times New Roman"/>
          <w:b/>
          <w:color w:val="auto"/>
          <w:kern w:val="2"/>
          <w:sz w:val="28"/>
          <w:szCs w:val="28"/>
          <w:highlight w:val="none"/>
          <w:lang w:val="en-US"/>
        </w:rPr>
        <w:t>6.定标</w:t>
      </w:r>
    </w:p>
    <w:p>
      <w:pPr>
        <w:pStyle w:val="2"/>
        <w:spacing w:line="360" w:lineRule="auto"/>
        <w:ind w:firstLine="480" w:firstLineChars="200"/>
        <w:jc w:val="both"/>
        <w:rPr>
          <w:color w:val="auto"/>
          <w:highlight w:val="none"/>
        </w:rPr>
      </w:pPr>
      <w:r>
        <w:rPr>
          <w:rFonts w:hint="eastAsia"/>
          <w:color w:val="auto"/>
          <w:highlight w:val="none"/>
        </w:rPr>
        <w:t>6.1 定标原则：本项目由购人根据评标委员会推荐的中标候选</w:t>
      </w:r>
      <w:r>
        <w:rPr>
          <w:rFonts w:hint="eastAsia"/>
          <w:color w:val="auto"/>
          <w:highlight w:val="none"/>
          <w:lang w:eastAsia="zh-CN"/>
        </w:rPr>
        <w:t>人</w:t>
      </w:r>
      <w:r>
        <w:rPr>
          <w:rFonts w:hint="eastAsia"/>
          <w:color w:val="auto"/>
          <w:highlight w:val="none"/>
        </w:rPr>
        <w:t>名单。</w:t>
      </w:r>
    </w:p>
    <w:p>
      <w:pPr>
        <w:pStyle w:val="2"/>
        <w:spacing w:line="360" w:lineRule="auto"/>
        <w:ind w:firstLine="480" w:firstLineChars="200"/>
        <w:jc w:val="both"/>
        <w:rPr>
          <w:color w:val="auto"/>
          <w:highlight w:val="none"/>
        </w:rPr>
      </w:pPr>
      <w:r>
        <w:rPr>
          <w:rFonts w:hint="eastAsia"/>
          <w:color w:val="auto"/>
          <w:highlight w:val="none"/>
        </w:rPr>
        <w:t>6.2 定标程序（本程序适用于采购人根据评标委员会推荐的中标候选</w:t>
      </w:r>
      <w:r>
        <w:rPr>
          <w:rFonts w:hint="eastAsia"/>
          <w:color w:val="auto"/>
          <w:highlight w:val="none"/>
          <w:lang w:eastAsia="zh-CN"/>
        </w:rPr>
        <w:t>人</w:t>
      </w:r>
      <w:r>
        <w:rPr>
          <w:rFonts w:hint="eastAsia"/>
          <w:color w:val="auto"/>
          <w:highlight w:val="none"/>
        </w:rPr>
        <w:t>名单，按顺序确定中标供应商。）</w:t>
      </w:r>
    </w:p>
    <w:p>
      <w:pPr>
        <w:pStyle w:val="2"/>
        <w:spacing w:line="360" w:lineRule="auto"/>
        <w:ind w:firstLine="480" w:firstLineChars="200"/>
        <w:jc w:val="both"/>
        <w:rPr>
          <w:color w:val="auto"/>
          <w:highlight w:val="none"/>
        </w:rPr>
      </w:pPr>
      <w:r>
        <w:rPr>
          <w:rFonts w:hint="eastAsia"/>
          <w:color w:val="auto"/>
          <w:highlight w:val="none"/>
        </w:rPr>
        <w:t>6.2.1 评标委员会将评标情况写出书面报告，推荐中标候选供应商。</w:t>
      </w:r>
    </w:p>
    <w:p>
      <w:pPr>
        <w:pStyle w:val="2"/>
        <w:spacing w:line="360" w:lineRule="auto"/>
        <w:ind w:firstLine="480" w:firstLineChars="200"/>
        <w:jc w:val="both"/>
        <w:rPr>
          <w:color w:val="auto"/>
          <w:highlight w:val="none"/>
        </w:rPr>
      </w:pPr>
      <w:r>
        <w:rPr>
          <w:rFonts w:hint="eastAsia"/>
          <w:color w:val="auto"/>
          <w:highlight w:val="none"/>
        </w:rPr>
        <w:t>6.2.2 采购代理机构在评标结束后</w:t>
      </w:r>
      <w:r>
        <w:rPr>
          <w:color w:val="auto"/>
          <w:highlight w:val="none"/>
        </w:rPr>
        <w:t>2</w:t>
      </w:r>
      <w:r>
        <w:rPr>
          <w:rFonts w:hint="eastAsia"/>
          <w:color w:val="auto"/>
          <w:highlight w:val="none"/>
        </w:rPr>
        <w:t>个工作日内将评标报告送采购人。</w:t>
      </w:r>
    </w:p>
    <w:p>
      <w:pPr>
        <w:pStyle w:val="2"/>
        <w:spacing w:line="360" w:lineRule="auto"/>
        <w:ind w:firstLine="480" w:firstLineChars="200"/>
        <w:jc w:val="both"/>
        <w:rPr>
          <w:color w:val="auto"/>
          <w:highlight w:val="none"/>
        </w:rPr>
      </w:pPr>
      <w:r>
        <w:rPr>
          <w:rFonts w:hint="eastAsia"/>
          <w:color w:val="auto"/>
          <w:highlight w:val="none"/>
        </w:rPr>
        <w:t>6.2.3 采购人在收到评标报告后</w:t>
      </w:r>
      <w:r>
        <w:rPr>
          <w:color w:val="auto"/>
          <w:highlight w:val="none"/>
        </w:rPr>
        <w:t>5</w:t>
      </w:r>
      <w:r>
        <w:rPr>
          <w:rFonts w:hint="eastAsia"/>
          <w:color w:val="auto"/>
          <w:highlight w:val="none"/>
        </w:rPr>
        <w:t>个工作日内，按照评标报告中推荐的中标候选供应商顺序确定中标供应商。采用最低评标价法的，评标结果按投标报价由低到高顺序排列；投标报价相同的并列，投标文件满足招标文件全部实质性要求且投标报价最低的供应商为中标候选供应商；报价相同且满足招标文件全部实质性要求的并列，由采购人自主采取公平、择优的方式选择中标供应商。采用综合评分法的，评标结果按评审后得分由高到低顺序排列；</w:t>
      </w:r>
      <w:r>
        <w:rPr>
          <w:rFonts w:hint="eastAsia" w:ascii="宋体" w:hAnsi="宋体" w:eastAsia="宋体" w:cs="宋体"/>
          <w:color w:val="auto"/>
          <w:sz w:val="24"/>
          <w:highlight w:val="none"/>
        </w:rPr>
        <w:t>得分相同的，按投标报价由低到高顺序排列；得分且投标报价相同的，少数民族地区的供应商排列顺序在非少数民族地区的供应商之前；得分且投标报价相同的，且均为少数民族地区的供应商并列；得分且投标报价相同的，且不能判定为少数民族地区的供应商并列。（少数民族地区的供应商需提供属于少数民族地区企业的相关证明材料，或供应商注册地为少数民族地区。）</w:t>
      </w:r>
      <w:r>
        <w:rPr>
          <w:rFonts w:hint="eastAsia"/>
          <w:color w:val="auto"/>
          <w:highlight w:val="none"/>
        </w:rPr>
        <w:t>评标委员会可推荐的中标候选供应商数量不能满足招标文件规定的数量的，只有在获得采购人书面同意后，可以根据实际情况推荐中标候选供应商。未获得采购人的书面同意</w:t>
      </w:r>
      <w:r>
        <w:rPr>
          <w:color w:val="auto"/>
          <w:highlight w:val="none"/>
        </w:rPr>
        <w:t>,</w:t>
      </w:r>
      <w:r>
        <w:rPr>
          <w:rFonts w:hint="eastAsia"/>
          <w:color w:val="auto"/>
          <w:highlight w:val="none"/>
        </w:rPr>
        <w:t>评标委员会不得在招标文件规定之外推荐中标候选供应商，否则，采购人可以不予认可。</w:t>
      </w:r>
    </w:p>
    <w:p>
      <w:pPr>
        <w:pStyle w:val="2"/>
        <w:spacing w:line="360" w:lineRule="auto"/>
        <w:ind w:firstLine="482" w:firstLineChars="200"/>
        <w:jc w:val="both"/>
        <w:rPr>
          <w:b/>
          <w:color w:val="auto"/>
          <w:highlight w:val="none"/>
        </w:rPr>
      </w:pPr>
      <w:r>
        <w:rPr>
          <w:rFonts w:hint="eastAsia"/>
          <w:b/>
          <w:color w:val="auto"/>
          <w:highlight w:val="none"/>
        </w:rPr>
        <w:t>注意，采购人按照推荐的中标候选供应商顺序确定中标供应商，不能认为采购人只能确定第一中标候选供应商为中标供应商，采购人有正当理由的，可以确定后一顺序中标候选供应商为中标供应商，依次类推。</w:t>
      </w:r>
    </w:p>
    <w:p>
      <w:pPr>
        <w:pStyle w:val="2"/>
        <w:spacing w:line="360" w:lineRule="auto"/>
        <w:ind w:firstLine="480" w:firstLineChars="200"/>
        <w:jc w:val="both"/>
        <w:rPr>
          <w:color w:val="auto"/>
          <w:highlight w:val="none"/>
        </w:rPr>
      </w:pPr>
      <w:r>
        <w:rPr>
          <w:rFonts w:hint="eastAsia"/>
          <w:color w:val="auto"/>
          <w:highlight w:val="none"/>
        </w:rPr>
        <w:t>6.2.4 根据采购人确定的中标供应商，采购代理机构在</w:t>
      </w:r>
      <w:r>
        <w:rPr>
          <w:rFonts w:hint="eastAsia"/>
          <w:color w:val="auto"/>
          <w:highlight w:val="none"/>
          <w:lang w:eastAsia="zh-CN"/>
        </w:rPr>
        <w:t>中国政府采购网</w:t>
      </w:r>
      <w:r>
        <w:rPr>
          <w:rFonts w:hint="eastAsia" w:ascii="宋体" w:hAnsi="宋体" w:eastAsia="宋体" w:cs="宋体"/>
          <w:color w:val="auto"/>
          <w:sz w:val="24"/>
          <w:szCs w:val="24"/>
          <w:highlight w:val="none"/>
          <w:lang w:val="en-US" w:eastAsia="zh-CN" w:bidi="ar-SA"/>
        </w:rPr>
        <w:t>（</w:t>
      </w:r>
      <w:r>
        <w:rPr>
          <w:rFonts w:hint="eastAsia" w:cs="宋体"/>
          <w:color w:val="auto"/>
          <w:sz w:val="24"/>
          <w:szCs w:val="24"/>
          <w:highlight w:val="none"/>
          <w:lang w:val="en-US" w:eastAsia="zh-CN" w:bidi="ar-SA"/>
        </w:rPr>
        <w:t>http://www.ccgp.gov.cn/</w:t>
      </w:r>
      <w:r>
        <w:rPr>
          <w:rFonts w:hint="eastAsia" w:ascii="宋体" w:hAnsi="宋体" w:eastAsia="宋体" w:cs="宋体"/>
          <w:color w:val="auto"/>
          <w:sz w:val="24"/>
          <w:szCs w:val="24"/>
          <w:highlight w:val="none"/>
          <w:lang w:val="en-US" w:eastAsia="zh-CN" w:bidi="ar-SA"/>
        </w:rPr>
        <w:t>）</w:t>
      </w:r>
      <w:r>
        <w:rPr>
          <w:rFonts w:hint="eastAsia"/>
          <w:color w:val="auto"/>
          <w:highlight w:val="none"/>
        </w:rPr>
        <w:t>上发布中标公告，并自采购人确定中标之日起</w:t>
      </w:r>
      <w:r>
        <w:rPr>
          <w:color w:val="auto"/>
          <w:highlight w:val="none"/>
        </w:rPr>
        <w:t>2</w:t>
      </w:r>
      <w:r>
        <w:rPr>
          <w:rFonts w:hint="eastAsia"/>
          <w:color w:val="auto"/>
          <w:highlight w:val="none"/>
        </w:rPr>
        <w:t>个工作日内向中标供应商发出中标通知书。</w:t>
      </w:r>
    </w:p>
    <w:p>
      <w:pPr>
        <w:pStyle w:val="2"/>
        <w:spacing w:line="360" w:lineRule="auto"/>
        <w:ind w:firstLine="480" w:firstLineChars="200"/>
        <w:jc w:val="both"/>
        <w:rPr>
          <w:color w:val="auto"/>
          <w:highlight w:val="none"/>
        </w:rPr>
      </w:pPr>
      <w:r>
        <w:rPr>
          <w:rFonts w:hint="eastAsia"/>
          <w:color w:val="auto"/>
          <w:highlight w:val="none"/>
        </w:rPr>
        <w:t>6.2.5 招标采购单位不退回投标人投标文件和其他投标资料。</w:t>
      </w:r>
    </w:p>
    <w:p>
      <w:pPr>
        <w:autoSpaceDE/>
        <w:autoSpaceDN/>
        <w:spacing w:line="360" w:lineRule="auto"/>
        <w:jc w:val="both"/>
        <w:rPr>
          <w:rFonts w:cs="Times New Roman"/>
          <w:b/>
          <w:color w:val="auto"/>
          <w:kern w:val="2"/>
          <w:sz w:val="28"/>
          <w:szCs w:val="28"/>
          <w:highlight w:val="none"/>
          <w:lang w:val="en-US"/>
        </w:rPr>
      </w:pPr>
      <w:r>
        <w:rPr>
          <w:rFonts w:hint="eastAsia" w:cs="Times New Roman"/>
          <w:b/>
          <w:color w:val="auto"/>
          <w:kern w:val="2"/>
          <w:sz w:val="28"/>
          <w:szCs w:val="28"/>
          <w:highlight w:val="none"/>
          <w:lang w:val="en-US"/>
        </w:rPr>
        <w:t>7.评标专家在政府采购活动中应承担的义务</w:t>
      </w:r>
    </w:p>
    <w:p>
      <w:pPr>
        <w:pStyle w:val="2"/>
        <w:spacing w:line="360" w:lineRule="auto"/>
        <w:ind w:firstLine="480" w:firstLineChars="200"/>
        <w:jc w:val="both"/>
        <w:rPr>
          <w:color w:val="auto"/>
          <w:highlight w:val="none"/>
        </w:rPr>
      </w:pPr>
      <w:r>
        <w:rPr>
          <w:rFonts w:hint="eastAsia"/>
          <w:color w:val="auto"/>
          <w:highlight w:val="none"/>
        </w:rPr>
        <w:t>（一）遵守评审工作纪律；</w:t>
      </w:r>
    </w:p>
    <w:p>
      <w:pPr>
        <w:pStyle w:val="2"/>
        <w:spacing w:line="360" w:lineRule="auto"/>
        <w:ind w:firstLine="480" w:firstLineChars="200"/>
        <w:jc w:val="both"/>
        <w:rPr>
          <w:color w:val="auto"/>
          <w:highlight w:val="none"/>
        </w:rPr>
      </w:pPr>
      <w:r>
        <w:rPr>
          <w:rFonts w:hint="eastAsia"/>
          <w:color w:val="auto"/>
          <w:highlight w:val="none"/>
        </w:rPr>
        <w:t>（二）按照客观、公正、审慎的原则，根据采购文件规定的评审程序、评审方法和评审标准进行独立评审；</w:t>
      </w:r>
    </w:p>
    <w:p>
      <w:pPr>
        <w:pStyle w:val="2"/>
        <w:spacing w:line="360" w:lineRule="auto"/>
        <w:ind w:firstLine="480" w:firstLineChars="200"/>
        <w:jc w:val="both"/>
        <w:rPr>
          <w:color w:val="auto"/>
          <w:highlight w:val="none"/>
        </w:rPr>
      </w:pPr>
      <w:r>
        <w:rPr>
          <w:rFonts w:hint="eastAsia"/>
          <w:color w:val="auto"/>
          <w:highlight w:val="none"/>
        </w:rPr>
        <w:t>（三）不得泄露评审文件、评审情况和在评审过程中获悉的商业秘密；</w:t>
      </w:r>
    </w:p>
    <w:p>
      <w:pPr>
        <w:pStyle w:val="2"/>
        <w:spacing w:line="360" w:lineRule="auto"/>
        <w:ind w:firstLine="480" w:firstLineChars="200"/>
        <w:jc w:val="both"/>
        <w:rPr>
          <w:color w:val="auto"/>
          <w:highlight w:val="none"/>
        </w:rPr>
      </w:pPr>
      <w:r>
        <w:rPr>
          <w:rFonts w:hint="eastAsia"/>
          <w:color w:val="auto"/>
          <w:highlight w:val="none"/>
        </w:rPr>
        <w:t>（四）及时向监督部门报告评审过程中采购组织单位向评审专家做倾向性、误导性的解释或者说明，供应商行贿、提供虚假材料或者串通、受到的非法干预情况等违法违规行为；</w:t>
      </w:r>
    </w:p>
    <w:p>
      <w:pPr>
        <w:pStyle w:val="2"/>
        <w:spacing w:line="360" w:lineRule="auto"/>
        <w:ind w:firstLine="480" w:firstLineChars="200"/>
        <w:jc w:val="both"/>
        <w:rPr>
          <w:color w:val="auto"/>
          <w:highlight w:val="none"/>
        </w:rPr>
      </w:pPr>
      <w:r>
        <w:rPr>
          <w:rFonts w:hint="eastAsia"/>
          <w:color w:val="auto"/>
          <w:highlight w:val="none"/>
        </w:rPr>
        <w:t>（五）发现采购文件内容违反国家有关强制性规定或者存在歧义、重大缺陷导致评审工作无法进行时，停止评审并向采购组织单位书面说明情况；</w:t>
      </w:r>
    </w:p>
    <w:p>
      <w:pPr>
        <w:pStyle w:val="2"/>
        <w:spacing w:line="360" w:lineRule="auto"/>
        <w:ind w:firstLine="480" w:firstLineChars="200"/>
        <w:jc w:val="both"/>
        <w:rPr>
          <w:color w:val="auto"/>
          <w:highlight w:val="none"/>
        </w:rPr>
      </w:pPr>
      <w:r>
        <w:rPr>
          <w:rFonts w:hint="eastAsia"/>
          <w:color w:val="auto"/>
          <w:highlight w:val="none"/>
        </w:rPr>
        <w:t>（六）配合答复处理供应商的询问、质疑和投诉等事项；</w:t>
      </w:r>
    </w:p>
    <w:p>
      <w:pPr>
        <w:pStyle w:val="2"/>
        <w:spacing w:line="360" w:lineRule="auto"/>
        <w:ind w:firstLine="480" w:firstLineChars="200"/>
        <w:jc w:val="both"/>
        <w:rPr>
          <w:color w:val="auto"/>
          <w:highlight w:val="none"/>
        </w:rPr>
      </w:pPr>
      <w:r>
        <w:rPr>
          <w:rFonts w:hint="eastAsia"/>
          <w:color w:val="auto"/>
          <w:highlight w:val="none"/>
        </w:rPr>
        <w:t>（七）法律、法规和规章规定的其他义务。</w:t>
      </w:r>
    </w:p>
    <w:p>
      <w:pPr>
        <w:autoSpaceDE/>
        <w:autoSpaceDN/>
        <w:spacing w:line="360" w:lineRule="auto"/>
        <w:jc w:val="both"/>
        <w:rPr>
          <w:rFonts w:cs="Times New Roman"/>
          <w:b/>
          <w:color w:val="auto"/>
          <w:kern w:val="2"/>
          <w:sz w:val="28"/>
          <w:szCs w:val="28"/>
          <w:highlight w:val="none"/>
          <w:lang w:val="en-US"/>
        </w:rPr>
      </w:pPr>
      <w:r>
        <w:rPr>
          <w:rFonts w:hint="eastAsia" w:cs="Times New Roman"/>
          <w:b/>
          <w:color w:val="auto"/>
          <w:kern w:val="2"/>
          <w:sz w:val="28"/>
          <w:szCs w:val="28"/>
          <w:highlight w:val="none"/>
          <w:lang w:val="en-US"/>
        </w:rPr>
        <w:t>8.评审专家在政府采购活动中应当遵守的工作纪律</w:t>
      </w:r>
    </w:p>
    <w:p>
      <w:pPr>
        <w:pStyle w:val="2"/>
        <w:spacing w:line="360" w:lineRule="auto"/>
        <w:ind w:firstLine="480" w:firstLineChars="200"/>
        <w:jc w:val="both"/>
        <w:rPr>
          <w:color w:val="auto"/>
          <w:highlight w:val="none"/>
        </w:rPr>
      </w:pPr>
      <w:r>
        <w:rPr>
          <w:rFonts w:hint="eastAsia"/>
          <w:color w:val="auto"/>
          <w:highlight w:val="none"/>
        </w:rPr>
        <w:t>（一）遵行《政府采购法》第十二条和《政府采购法实施条例》第九条及财政部关于回避的规定。</w:t>
      </w:r>
    </w:p>
    <w:p>
      <w:pPr>
        <w:pStyle w:val="2"/>
        <w:spacing w:line="360" w:lineRule="auto"/>
        <w:ind w:firstLine="480" w:firstLineChars="200"/>
        <w:jc w:val="both"/>
        <w:rPr>
          <w:color w:val="auto"/>
          <w:highlight w:val="none"/>
        </w:rPr>
      </w:pPr>
      <w:r>
        <w:rPr>
          <w:rFonts w:hint="eastAsia"/>
          <w:color w:val="auto"/>
          <w:highlight w:val="none"/>
        </w:rPr>
        <w:t>（二）评标前，应当将通讯工具或者相关电子设备交由招标采购单位统一保管。</w:t>
      </w:r>
    </w:p>
    <w:p>
      <w:pPr>
        <w:pStyle w:val="2"/>
        <w:spacing w:line="360" w:lineRule="auto"/>
        <w:ind w:firstLine="480" w:firstLineChars="200"/>
        <w:jc w:val="both"/>
        <w:rPr>
          <w:color w:val="auto"/>
          <w:highlight w:val="none"/>
        </w:rPr>
      </w:pPr>
      <w:r>
        <w:rPr>
          <w:rFonts w:hint="eastAsia"/>
          <w:color w:val="auto"/>
          <w:highlight w:val="none"/>
        </w:rPr>
        <w:t>（三）评标过程中，不得与外界联系，因发生不可预见情况，确实需要与外界联系的，应当在监督人员监督之下办理。</w:t>
      </w:r>
    </w:p>
    <w:p>
      <w:pPr>
        <w:pStyle w:val="2"/>
        <w:spacing w:line="360" w:lineRule="auto"/>
        <w:ind w:firstLine="480" w:firstLineChars="200"/>
        <w:jc w:val="both"/>
        <w:rPr>
          <w:color w:val="auto"/>
          <w:highlight w:val="none"/>
        </w:rPr>
      </w:pPr>
      <w:r>
        <w:rPr>
          <w:rFonts w:hint="eastAsia"/>
          <w:color w:val="auto"/>
          <w:highlight w:val="none"/>
        </w:rPr>
        <w:t>（四）评标过程中，不得干预或者影响正常评标工作，不得发表倾向性、引导性意见，不得修改或细化招标文件确定的评标程序、评标方法、评标因素和评标标准，不得接受供应商主动提出的澄清和解释，不得征询采购人代表的意见，不得协商评分，不得违反规定的评标格式评分和撰写评标意见，不得拒绝对自己的评标意见签字确认。</w:t>
      </w:r>
    </w:p>
    <w:p>
      <w:pPr>
        <w:pStyle w:val="2"/>
        <w:spacing w:line="360" w:lineRule="auto"/>
        <w:ind w:firstLine="480" w:firstLineChars="200"/>
        <w:jc w:val="both"/>
        <w:rPr>
          <w:color w:val="auto"/>
          <w:highlight w:val="none"/>
        </w:rPr>
      </w:pPr>
      <w:r>
        <w:rPr>
          <w:rFonts w:hint="eastAsia"/>
          <w:color w:val="auto"/>
          <w:highlight w:val="none"/>
        </w:rPr>
        <w:t>（五）在评标过程中和评标结束后，不得记录、复制或带走任何评标资料，除因规定的义务外，不得向外界透露评标内容。</w:t>
      </w:r>
    </w:p>
    <w:p>
      <w:pPr>
        <w:pStyle w:val="2"/>
        <w:spacing w:line="360" w:lineRule="auto"/>
        <w:ind w:firstLine="480" w:firstLineChars="200"/>
        <w:jc w:val="both"/>
        <w:rPr>
          <w:color w:val="auto"/>
          <w:highlight w:val="none"/>
        </w:rPr>
      </w:pPr>
      <w:r>
        <w:rPr>
          <w:rFonts w:hint="eastAsia"/>
          <w:color w:val="auto"/>
          <w:highlight w:val="none"/>
        </w:rPr>
        <w:t>（六）服从评标现场招标采购单位的现场秩序管理，接受评标现场监督人员的合法监督。</w:t>
      </w:r>
    </w:p>
    <w:p>
      <w:pPr>
        <w:pStyle w:val="2"/>
        <w:spacing w:line="360" w:lineRule="auto"/>
        <w:ind w:firstLine="480" w:firstLineChars="200"/>
        <w:jc w:val="both"/>
        <w:rPr>
          <w:color w:val="auto"/>
          <w:highlight w:val="none"/>
        </w:rPr>
      </w:pPr>
      <w:r>
        <w:rPr>
          <w:rFonts w:hint="eastAsia"/>
          <w:color w:val="auto"/>
          <w:highlight w:val="none"/>
        </w:rPr>
        <w:t>（七）遵守有关廉洁自律规定，不得私下接触供应商，不得收受供应商及有关业务单位和个人的财物或好处，不得接受采购组织单位的请托。</w:t>
      </w:r>
    </w:p>
    <w:p>
      <w:pPr>
        <w:widowControl/>
        <w:autoSpaceDE/>
        <w:autoSpaceDN/>
        <w:rPr>
          <w:rFonts w:cs="Times New Roman"/>
          <w:b/>
          <w:color w:val="auto"/>
          <w:kern w:val="2"/>
          <w:sz w:val="36"/>
          <w:szCs w:val="36"/>
          <w:highlight w:val="none"/>
          <w:lang w:val="en-US"/>
        </w:rPr>
      </w:pPr>
      <w:bookmarkStart w:id="33" w:name="_bookmark7"/>
      <w:bookmarkEnd w:id="33"/>
      <w:r>
        <w:rPr>
          <w:rFonts w:cs="Times New Roman"/>
          <w:b/>
          <w:color w:val="auto"/>
          <w:kern w:val="2"/>
          <w:sz w:val="36"/>
          <w:szCs w:val="36"/>
          <w:highlight w:val="none"/>
          <w:lang w:val="en-US"/>
        </w:rPr>
        <w:br w:type="page"/>
      </w:r>
    </w:p>
    <w:p>
      <w:pPr>
        <w:pStyle w:val="4"/>
        <w:bidi w:val="0"/>
        <w:rPr>
          <w:color w:val="auto"/>
          <w:highlight w:val="none"/>
        </w:rPr>
      </w:pPr>
      <w:bookmarkStart w:id="34" w:name="_Toc528098586"/>
      <w:bookmarkStart w:id="35" w:name="_Toc12409"/>
      <w:r>
        <w:rPr>
          <w:rFonts w:hint="eastAsia"/>
          <w:color w:val="auto"/>
          <w:highlight w:val="none"/>
          <w:lang w:val="en-US"/>
        </w:rPr>
        <w:t xml:space="preserve">第八章  </w:t>
      </w:r>
      <w:bookmarkEnd w:id="34"/>
      <w:r>
        <w:rPr>
          <w:rFonts w:hint="eastAsia"/>
          <w:color w:val="auto"/>
          <w:highlight w:val="none"/>
          <w:lang w:val="en-US"/>
        </w:rPr>
        <w:t>政府采购合同（草案）</w:t>
      </w:r>
      <w:bookmarkEnd w:id="35"/>
    </w:p>
    <w:p>
      <w:pPr>
        <w:keepNext w:val="0"/>
        <w:keepLines w:val="0"/>
        <w:pageBreakBefore w:val="0"/>
        <w:widowControl w:val="0"/>
        <w:kinsoku/>
        <w:overflowPunct/>
        <w:autoSpaceDE w:val="0"/>
        <w:autoSpaceDN w:val="0"/>
        <w:bidi w:val="0"/>
        <w:spacing w:beforeAutospacing="0" w:afterAutospacing="0" w:line="360" w:lineRule="auto"/>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合同编号：XXX</w:t>
      </w:r>
    </w:p>
    <w:p>
      <w:pPr>
        <w:keepNext w:val="0"/>
        <w:keepLines w:val="0"/>
        <w:pageBreakBefore w:val="0"/>
        <w:widowControl w:val="0"/>
        <w:kinsoku/>
        <w:overflowPunct/>
        <w:autoSpaceDE w:val="0"/>
        <w:autoSpaceDN w:val="0"/>
        <w:bidi w:val="0"/>
        <w:spacing w:beforeAutospacing="0" w:afterAutospacing="0" w:line="360" w:lineRule="auto"/>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签订地点：XXX</w:t>
      </w:r>
    </w:p>
    <w:p>
      <w:pPr>
        <w:keepNext w:val="0"/>
        <w:keepLines w:val="0"/>
        <w:pageBreakBefore w:val="0"/>
        <w:widowControl w:val="0"/>
        <w:kinsoku/>
        <w:overflowPunct/>
        <w:autoSpaceDE w:val="0"/>
        <w:autoSpaceDN w:val="0"/>
        <w:bidi w:val="0"/>
        <w:spacing w:beforeAutospacing="0" w:afterAutospacing="0" w:line="360" w:lineRule="auto"/>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签订时间：XXX年XXX月XXX日</w:t>
      </w:r>
    </w:p>
    <w:p>
      <w:pPr>
        <w:keepNext w:val="0"/>
        <w:keepLines w:val="0"/>
        <w:pageBreakBefore w:val="0"/>
        <w:widowControl w:val="0"/>
        <w:kinsoku/>
        <w:overflowPunct/>
        <w:autoSpaceDE w:val="0"/>
        <w:autoSpaceDN w:val="0"/>
        <w:bidi w:val="0"/>
        <w:spacing w:beforeAutospacing="0" w:afterAutospacing="0" w:line="360" w:lineRule="auto"/>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采购人（甲方）：XXX</w:t>
      </w:r>
    </w:p>
    <w:p>
      <w:pPr>
        <w:keepNext w:val="0"/>
        <w:keepLines w:val="0"/>
        <w:pageBreakBefore w:val="0"/>
        <w:widowControl w:val="0"/>
        <w:kinsoku/>
        <w:overflowPunct/>
        <w:autoSpaceDE w:val="0"/>
        <w:autoSpaceDN w:val="0"/>
        <w:bidi w:val="0"/>
        <w:spacing w:beforeAutospacing="0" w:afterAutospacing="0" w:line="360" w:lineRule="auto"/>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供应商（乙方）：XXX</w:t>
      </w:r>
    </w:p>
    <w:p>
      <w:pPr>
        <w:keepNext w:val="0"/>
        <w:keepLines w:val="0"/>
        <w:pageBreakBefore w:val="0"/>
        <w:widowControl w:val="0"/>
        <w:suppressLineNumbers w:val="0"/>
        <w:kinsoku/>
        <w:overflowPunct/>
        <w:autoSpaceDE w:val="0"/>
        <w:autoSpaceDN/>
        <w:bidi w:val="0"/>
        <w:spacing w:beforeAutospacing="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lang w:val="en-US" w:eastAsia="zh-CN" w:bidi="ar"/>
        </w:rPr>
        <w:t>根据《中华人民共和国民法典》、《中华人民共和国政府采购法》、《中华人民共和国政府采购法实施条例》(国务院令第658号)、</w:t>
      </w:r>
      <w:r>
        <w:rPr>
          <w:rFonts w:hint="eastAsia" w:ascii="Times New Roman" w:hAnsi="Times New Roman" w:cs="宋体"/>
          <w:color w:val="auto"/>
          <w:kern w:val="2"/>
          <w:sz w:val="24"/>
          <w:szCs w:val="24"/>
          <w:highlight w:val="none"/>
          <w:lang w:val="en-US" w:eastAsia="zh-CN" w:bidi="ar"/>
        </w:rPr>
        <w:t>《政府采购货物和服务招标投标管理办法》第87号</w:t>
      </w:r>
      <w:r>
        <w:rPr>
          <w:rFonts w:hint="eastAsia" w:ascii="宋体" w:hAnsi="宋体" w:eastAsia="宋体" w:cs="宋体"/>
          <w:color w:val="auto"/>
          <w:kern w:val="2"/>
          <w:sz w:val="24"/>
          <w:szCs w:val="24"/>
          <w:highlight w:val="none"/>
          <w:lang w:val="en-US" w:eastAsia="zh-CN" w:bidi="ar"/>
        </w:rPr>
        <w:t>及(</w:t>
      </w:r>
      <w:r>
        <w:rPr>
          <w:rFonts w:hint="eastAsia" w:ascii="Times New Roman" w:hAnsi="Times New Roman" w:cs="宋体"/>
          <w:color w:val="auto"/>
          <w:kern w:val="2"/>
          <w:sz w:val="24"/>
          <w:szCs w:val="24"/>
          <w:highlight w:val="none"/>
          <w:lang w:val="en-US" w:eastAsia="zh-CN" w:bidi="ar"/>
        </w:rPr>
        <w:t>富顺县中医医院普通挂网耗材采购项目（第三次）</w:t>
      </w:r>
      <w:r>
        <w:rPr>
          <w:rFonts w:hint="eastAsia" w:ascii="宋体" w:hAnsi="宋体" w:eastAsia="宋体" w:cs="宋体"/>
          <w:color w:val="auto"/>
          <w:kern w:val="2"/>
          <w:sz w:val="24"/>
          <w:szCs w:val="24"/>
          <w:highlight w:val="none"/>
          <w:lang w:val="en-US" w:eastAsia="zh-CN" w:bidi="ar"/>
        </w:rPr>
        <w:t>)包号：</w:t>
      </w:r>
      <w:r>
        <w:rPr>
          <w:rFonts w:hint="eastAsia" w:ascii="宋体" w:hAnsi="宋体" w:eastAsia="宋体" w:cs="宋体"/>
          <w:color w:val="auto"/>
          <w:kern w:val="2"/>
          <w:sz w:val="24"/>
          <w:szCs w:val="24"/>
          <w:highlight w:val="none"/>
          <w:lang w:val="en-US" w:eastAsia="zh-CN" w:bidi="ar-SA"/>
        </w:rPr>
        <w:t>XXX</w:t>
      </w:r>
      <w:r>
        <w:rPr>
          <w:rFonts w:hint="eastAsia" w:ascii="宋体" w:hAnsi="宋体" w:eastAsia="宋体" w:cs="宋体"/>
          <w:color w:val="auto"/>
          <w:kern w:val="2"/>
          <w:sz w:val="24"/>
          <w:szCs w:val="24"/>
          <w:highlight w:val="none"/>
          <w:lang w:val="en-US" w:eastAsia="zh-CN" w:bidi="ar"/>
        </w:rPr>
        <w:t>(项目编号：(采购项目的编号))的《</w:t>
      </w:r>
      <w:r>
        <w:rPr>
          <w:rFonts w:hint="eastAsia" w:ascii="Times New Roman" w:hAnsi="Times New Roman" w:cs="宋体"/>
          <w:color w:val="auto"/>
          <w:kern w:val="2"/>
          <w:sz w:val="24"/>
          <w:szCs w:val="24"/>
          <w:highlight w:val="none"/>
          <w:lang w:val="en-US" w:eastAsia="zh-CN" w:bidi="ar"/>
        </w:rPr>
        <w:t>招标文件</w:t>
      </w:r>
      <w:r>
        <w:rPr>
          <w:rFonts w:hint="eastAsia" w:ascii="宋体" w:hAnsi="宋体" w:eastAsia="宋体" w:cs="宋体"/>
          <w:color w:val="auto"/>
          <w:kern w:val="2"/>
          <w:sz w:val="24"/>
          <w:szCs w:val="24"/>
          <w:highlight w:val="none"/>
          <w:lang w:val="en-US" w:eastAsia="zh-CN" w:bidi="ar"/>
        </w:rPr>
        <w:t>》、乙方的《</w:t>
      </w:r>
      <w:r>
        <w:rPr>
          <w:rFonts w:hint="eastAsia" w:ascii="Times New Roman" w:hAnsi="Times New Roman" w:cs="宋体"/>
          <w:color w:val="auto"/>
          <w:kern w:val="2"/>
          <w:sz w:val="24"/>
          <w:szCs w:val="24"/>
          <w:highlight w:val="none"/>
          <w:lang w:val="en-US" w:eastAsia="zh-CN" w:bidi="ar"/>
        </w:rPr>
        <w:t>投标文件</w:t>
      </w:r>
      <w:r>
        <w:rPr>
          <w:rFonts w:hint="eastAsia" w:ascii="宋体" w:hAnsi="宋体" w:eastAsia="宋体" w:cs="宋体"/>
          <w:color w:val="auto"/>
          <w:kern w:val="2"/>
          <w:sz w:val="24"/>
          <w:szCs w:val="24"/>
          <w:highlight w:val="none"/>
          <w:lang w:val="en-US" w:eastAsia="zh-CN" w:bidi="ar"/>
        </w:rPr>
        <w:t>》及《</w:t>
      </w:r>
      <w:r>
        <w:rPr>
          <w:rFonts w:hint="eastAsia" w:ascii="Times New Roman" w:hAnsi="Times New Roman" w:cs="宋体"/>
          <w:color w:val="auto"/>
          <w:kern w:val="2"/>
          <w:sz w:val="24"/>
          <w:szCs w:val="24"/>
          <w:highlight w:val="none"/>
          <w:lang w:val="en-US" w:eastAsia="zh-CN" w:bidi="ar"/>
        </w:rPr>
        <w:t>中标通知书</w:t>
      </w:r>
      <w:r>
        <w:rPr>
          <w:rFonts w:hint="eastAsia" w:ascii="宋体" w:hAnsi="宋体" w:eastAsia="宋体" w:cs="宋体"/>
          <w:color w:val="auto"/>
          <w:kern w:val="2"/>
          <w:sz w:val="24"/>
          <w:szCs w:val="24"/>
          <w:highlight w:val="none"/>
          <w:lang w:val="en-US" w:eastAsia="zh-CN" w:bidi="ar"/>
        </w:rPr>
        <w:t>》，甲、乙双方同意签订本合同。详细技术说明及其他有关合同项目的特定信息由合同附件予以说明，合同附件及本项目的</w:t>
      </w:r>
      <w:r>
        <w:rPr>
          <w:rFonts w:hint="eastAsia" w:ascii="Times New Roman" w:hAnsi="Times New Roman" w:cs="宋体"/>
          <w:color w:val="auto"/>
          <w:kern w:val="2"/>
          <w:sz w:val="24"/>
          <w:szCs w:val="24"/>
          <w:highlight w:val="none"/>
          <w:lang w:val="en-US" w:eastAsia="zh-CN" w:bidi="ar"/>
        </w:rPr>
        <w:t>招标文件</w:t>
      </w:r>
      <w:r>
        <w:rPr>
          <w:rFonts w:hint="eastAsia" w:ascii="宋体" w:hAnsi="宋体" w:eastAsia="宋体" w:cs="宋体"/>
          <w:color w:val="auto"/>
          <w:kern w:val="2"/>
          <w:sz w:val="24"/>
          <w:szCs w:val="24"/>
          <w:highlight w:val="none"/>
          <w:lang w:val="en-US" w:eastAsia="zh-CN" w:bidi="ar"/>
        </w:rPr>
        <w:t>、</w:t>
      </w:r>
      <w:r>
        <w:rPr>
          <w:rFonts w:hint="eastAsia" w:ascii="Times New Roman" w:hAnsi="Times New Roman" w:cs="宋体"/>
          <w:color w:val="auto"/>
          <w:kern w:val="2"/>
          <w:sz w:val="24"/>
          <w:szCs w:val="24"/>
          <w:highlight w:val="none"/>
          <w:lang w:val="en-US" w:eastAsia="zh-CN" w:bidi="ar"/>
        </w:rPr>
        <w:t>投标文件</w:t>
      </w:r>
      <w:r>
        <w:rPr>
          <w:rFonts w:hint="eastAsia" w:ascii="宋体" w:hAnsi="宋体" w:eastAsia="宋体" w:cs="宋体"/>
          <w:color w:val="auto"/>
          <w:kern w:val="2"/>
          <w:sz w:val="24"/>
          <w:szCs w:val="24"/>
          <w:highlight w:val="none"/>
          <w:lang w:val="en-US" w:eastAsia="zh-CN" w:bidi="ar"/>
        </w:rPr>
        <w:t>、《</w:t>
      </w:r>
      <w:r>
        <w:rPr>
          <w:rFonts w:hint="eastAsia" w:ascii="Times New Roman" w:hAnsi="Times New Roman" w:cs="宋体"/>
          <w:color w:val="auto"/>
          <w:kern w:val="2"/>
          <w:sz w:val="24"/>
          <w:szCs w:val="24"/>
          <w:highlight w:val="none"/>
          <w:lang w:val="en-US" w:eastAsia="zh-CN" w:bidi="ar"/>
        </w:rPr>
        <w:t>中标通知书</w:t>
      </w:r>
      <w:r>
        <w:rPr>
          <w:rFonts w:hint="eastAsia" w:ascii="宋体" w:hAnsi="宋体" w:eastAsia="宋体" w:cs="宋体"/>
          <w:color w:val="auto"/>
          <w:kern w:val="2"/>
          <w:sz w:val="24"/>
          <w:szCs w:val="24"/>
          <w:highlight w:val="none"/>
          <w:lang w:val="en-US" w:eastAsia="zh-CN" w:bidi="ar"/>
        </w:rPr>
        <w:t>》等均为本合同不可分割的部分。双方同意共同遵守如下条款：</w:t>
      </w:r>
    </w:p>
    <w:p>
      <w:pPr>
        <w:keepNext w:val="0"/>
        <w:keepLines w:val="0"/>
        <w:pageBreakBefore w:val="0"/>
        <w:widowControl w:val="0"/>
        <w:suppressLineNumbers w:val="0"/>
        <w:kinsoku/>
        <w:overflowPunct/>
        <w:autoSpaceDE w:val="0"/>
        <w:autoSpaceDN/>
        <w:bidi w:val="0"/>
        <w:spacing w:beforeAutospacing="0" w:afterAutospacing="0" w:line="360" w:lineRule="auto"/>
        <w:ind w:left="0" w:right="0" w:firstLine="482" w:firstLineChars="200"/>
        <w:jc w:val="both"/>
        <w:textAlignment w:val="auto"/>
        <w:rPr>
          <w:rFonts w:hint="eastAsia" w:ascii="Times New Roman" w:hAnsi="Times New Roman" w:cs="宋体"/>
          <w:b/>
          <w:bCs/>
          <w:color w:val="auto"/>
          <w:kern w:val="2"/>
          <w:sz w:val="24"/>
          <w:szCs w:val="24"/>
          <w:highlight w:val="none"/>
          <w:lang w:val="en-US" w:eastAsia="zh-CN" w:bidi="ar"/>
        </w:rPr>
      </w:pPr>
      <w:bookmarkStart w:id="36" w:name="_Toc10095"/>
      <w:bookmarkEnd w:id="36"/>
      <w:bookmarkStart w:id="37" w:name="_Toc10567"/>
      <w:bookmarkEnd w:id="37"/>
      <w:bookmarkStart w:id="38" w:name="_Toc31919"/>
      <w:r>
        <w:rPr>
          <w:rFonts w:hint="eastAsia" w:ascii="Times New Roman" w:hAnsi="Times New Roman" w:cs="宋体"/>
          <w:b/>
          <w:bCs/>
          <w:color w:val="auto"/>
          <w:kern w:val="2"/>
          <w:sz w:val="24"/>
          <w:szCs w:val="24"/>
          <w:highlight w:val="none"/>
          <w:lang w:val="en-US" w:eastAsia="zh-CN" w:bidi="ar"/>
        </w:rPr>
        <w:t>第一条 合同货物</w:t>
      </w:r>
      <w:bookmarkEnd w:id="38"/>
    </w:p>
    <w:tbl>
      <w:tblPr>
        <w:tblStyle w:val="25"/>
        <w:tblW w:w="9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2"/>
        <w:gridCol w:w="1678"/>
        <w:gridCol w:w="991"/>
        <w:gridCol w:w="1187"/>
        <w:gridCol w:w="953"/>
        <w:gridCol w:w="903"/>
        <w:gridCol w:w="1451"/>
        <w:gridCol w:w="1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6" w:hRule="atLeast"/>
          <w:jc w:val="center"/>
        </w:trPr>
        <w:tc>
          <w:tcPr>
            <w:tcW w:w="722" w:type="dxa"/>
            <w:tcMar>
              <w:bottom w:w="0" w:type="dxa"/>
            </w:tcMar>
            <w:vAlign w:val="center"/>
          </w:tcPr>
          <w:p>
            <w:pPr>
              <w:wordWrap w:val="0"/>
              <w:autoSpaceDE/>
              <w:autoSpaceDN/>
              <w:adjustRightInd w:val="0"/>
              <w:snapToGrid w:val="0"/>
              <w:spacing w:line="360" w:lineRule="auto"/>
              <w:jc w:val="center"/>
              <w:rPr>
                <w:rFonts w:ascii="宋体" w:hAnsi="宋体" w:eastAsia="宋体"/>
                <w:color w:val="auto"/>
                <w:sz w:val="24"/>
                <w:szCs w:val="24"/>
                <w:highlight w:val="none"/>
                <w:lang w:val="en-US"/>
              </w:rPr>
            </w:pPr>
            <w:r>
              <w:rPr>
                <w:rFonts w:hint="eastAsia" w:ascii="宋体" w:hAnsi="宋体" w:eastAsia="宋体"/>
                <w:color w:val="auto"/>
                <w:sz w:val="24"/>
                <w:szCs w:val="24"/>
                <w:highlight w:val="none"/>
                <w:lang w:val="en-US"/>
              </w:rPr>
              <w:t>序号</w:t>
            </w:r>
          </w:p>
        </w:tc>
        <w:tc>
          <w:tcPr>
            <w:tcW w:w="1678" w:type="dxa"/>
            <w:tcMar>
              <w:bottom w:w="0" w:type="dxa"/>
            </w:tcMar>
            <w:vAlign w:val="center"/>
          </w:tcPr>
          <w:p>
            <w:pPr>
              <w:wordWrap w:val="0"/>
              <w:autoSpaceDE/>
              <w:autoSpaceDN/>
              <w:spacing w:line="360" w:lineRule="auto"/>
              <w:ind w:right="120" w:rightChars="50"/>
              <w:jc w:val="center"/>
              <w:rPr>
                <w:rFonts w:ascii="宋体" w:hAnsi="宋体" w:eastAsia="宋体"/>
                <w:color w:val="auto"/>
                <w:sz w:val="24"/>
                <w:szCs w:val="24"/>
                <w:highlight w:val="none"/>
                <w:lang w:val="en-US"/>
              </w:rPr>
            </w:pPr>
            <w:r>
              <w:rPr>
                <w:rFonts w:hint="eastAsia" w:ascii="宋体" w:hAnsi="宋体" w:eastAsia="宋体"/>
                <w:color w:val="auto"/>
                <w:sz w:val="24"/>
                <w:szCs w:val="24"/>
                <w:highlight w:val="none"/>
                <w:lang w:val="en-US" w:eastAsia="zh-CN"/>
              </w:rPr>
              <w:t>产品</w:t>
            </w:r>
            <w:r>
              <w:rPr>
                <w:rFonts w:hint="eastAsia" w:ascii="宋体" w:hAnsi="宋体" w:eastAsia="宋体"/>
                <w:color w:val="auto"/>
                <w:sz w:val="24"/>
                <w:szCs w:val="24"/>
                <w:highlight w:val="none"/>
                <w:lang w:val="en-US"/>
              </w:rPr>
              <w:t>名称</w:t>
            </w:r>
          </w:p>
        </w:tc>
        <w:tc>
          <w:tcPr>
            <w:tcW w:w="991" w:type="dxa"/>
            <w:tcMar>
              <w:bottom w:w="0" w:type="dxa"/>
            </w:tcMar>
            <w:vAlign w:val="center"/>
          </w:tcPr>
          <w:p>
            <w:pPr>
              <w:wordWrap w:val="0"/>
              <w:autoSpaceDE/>
              <w:autoSpaceDN/>
              <w:spacing w:line="360" w:lineRule="auto"/>
              <w:ind w:right="120" w:rightChars="50"/>
              <w:jc w:val="center"/>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品牌</w:t>
            </w:r>
          </w:p>
        </w:tc>
        <w:tc>
          <w:tcPr>
            <w:tcW w:w="1187" w:type="dxa"/>
            <w:tcMar>
              <w:bottom w:w="0" w:type="dxa"/>
            </w:tcMar>
            <w:vAlign w:val="center"/>
          </w:tcPr>
          <w:p>
            <w:pPr>
              <w:wordWrap w:val="0"/>
              <w:autoSpaceDE/>
              <w:autoSpaceDN/>
              <w:spacing w:line="360" w:lineRule="auto"/>
              <w:ind w:right="120" w:rightChars="50"/>
              <w:jc w:val="center"/>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规格型号</w:t>
            </w:r>
          </w:p>
        </w:tc>
        <w:tc>
          <w:tcPr>
            <w:tcW w:w="953" w:type="dxa"/>
            <w:tcMar>
              <w:bottom w:w="0" w:type="dxa"/>
            </w:tcMar>
            <w:vAlign w:val="center"/>
          </w:tcPr>
          <w:p>
            <w:pPr>
              <w:wordWrap w:val="0"/>
              <w:autoSpaceDE/>
              <w:autoSpaceDN/>
              <w:spacing w:line="360" w:lineRule="auto"/>
              <w:ind w:right="120" w:rightChars="50"/>
              <w:jc w:val="center"/>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数量</w:t>
            </w:r>
          </w:p>
        </w:tc>
        <w:tc>
          <w:tcPr>
            <w:tcW w:w="903" w:type="dxa"/>
            <w:tcMar>
              <w:bottom w:w="0" w:type="dxa"/>
            </w:tcMar>
            <w:vAlign w:val="center"/>
          </w:tcPr>
          <w:p>
            <w:pPr>
              <w:wordWrap w:val="0"/>
              <w:autoSpaceDE/>
              <w:autoSpaceDN/>
              <w:spacing w:line="360" w:lineRule="auto"/>
              <w:ind w:right="120" w:rightChars="50"/>
              <w:jc w:val="center"/>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单位</w:t>
            </w:r>
          </w:p>
        </w:tc>
        <w:tc>
          <w:tcPr>
            <w:tcW w:w="1451" w:type="dxa"/>
            <w:tcMar>
              <w:bottom w:w="0" w:type="dxa"/>
            </w:tcMar>
            <w:vAlign w:val="center"/>
          </w:tcPr>
          <w:p>
            <w:pPr>
              <w:wordWrap w:val="0"/>
              <w:autoSpaceDE/>
              <w:autoSpaceDN/>
              <w:spacing w:line="360" w:lineRule="auto"/>
              <w:ind w:right="120" w:rightChars="50"/>
              <w:jc w:val="both"/>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单价（元）</w:t>
            </w:r>
          </w:p>
        </w:tc>
        <w:tc>
          <w:tcPr>
            <w:tcW w:w="1381" w:type="dxa"/>
            <w:tcMar>
              <w:bottom w:w="0" w:type="dxa"/>
            </w:tcMar>
            <w:vAlign w:val="center"/>
          </w:tcPr>
          <w:p>
            <w:pPr>
              <w:wordWrap w:val="0"/>
              <w:autoSpaceDE/>
              <w:autoSpaceDN/>
              <w:spacing w:line="360" w:lineRule="auto"/>
              <w:ind w:right="120" w:rightChars="50"/>
              <w:jc w:val="center"/>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合计</w:t>
            </w:r>
            <w:r>
              <w:rPr>
                <w:rFonts w:hint="eastAsia"/>
                <w:color w:val="auto"/>
                <w:sz w:val="24"/>
                <w:szCs w:val="24"/>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atLeast"/>
          <w:jc w:val="center"/>
        </w:trPr>
        <w:tc>
          <w:tcPr>
            <w:tcW w:w="722" w:type="dxa"/>
            <w:tcMar>
              <w:bottom w:w="0" w:type="dxa"/>
            </w:tcMar>
            <w:vAlign w:val="center"/>
          </w:tcPr>
          <w:p>
            <w:pPr>
              <w:wordWrap w:val="0"/>
              <w:autoSpaceDE/>
              <w:autoSpaceDN/>
              <w:adjustRightInd w:val="0"/>
              <w:snapToGrid w:val="0"/>
              <w:spacing w:line="360" w:lineRule="auto"/>
              <w:jc w:val="center"/>
              <w:rPr>
                <w:rFonts w:ascii="宋体" w:hAnsi="宋体" w:eastAsia="宋体"/>
                <w:color w:val="auto"/>
                <w:sz w:val="24"/>
                <w:szCs w:val="24"/>
                <w:highlight w:val="none"/>
                <w:lang w:val="en-US"/>
              </w:rPr>
            </w:pPr>
            <w:r>
              <w:rPr>
                <w:rFonts w:hint="eastAsia" w:ascii="宋体" w:hAnsi="宋体" w:eastAsia="宋体"/>
                <w:color w:val="auto"/>
                <w:sz w:val="24"/>
                <w:szCs w:val="24"/>
                <w:highlight w:val="none"/>
                <w:lang w:val="en-US"/>
              </w:rPr>
              <w:t>1</w:t>
            </w:r>
          </w:p>
        </w:tc>
        <w:tc>
          <w:tcPr>
            <w:tcW w:w="1678" w:type="dxa"/>
            <w:tcMar>
              <w:bottom w:w="0" w:type="dxa"/>
            </w:tcMar>
            <w:vAlign w:val="center"/>
          </w:tcPr>
          <w:p>
            <w:pPr>
              <w:wordWrap w:val="0"/>
              <w:autoSpaceDE/>
              <w:autoSpaceDN/>
              <w:spacing w:line="360" w:lineRule="auto"/>
              <w:ind w:right="120" w:rightChars="50"/>
              <w:jc w:val="center"/>
              <w:rPr>
                <w:rFonts w:hint="default" w:ascii="宋体" w:hAnsi="宋体" w:eastAsia="宋体"/>
                <w:color w:val="auto"/>
                <w:sz w:val="24"/>
                <w:szCs w:val="24"/>
                <w:highlight w:val="none"/>
                <w:lang w:val="en-US" w:eastAsia="zh-CN"/>
              </w:rPr>
            </w:pPr>
          </w:p>
        </w:tc>
        <w:tc>
          <w:tcPr>
            <w:tcW w:w="991" w:type="dxa"/>
            <w:tcMar>
              <w:bottom w:w="0" w:type="dxa"/>
            </w:tcMar>
            <w:vAlign w:val="center"/>
          </w:tcPr>
          <w:p>
            <w:pPr>
              <w:wordWrap w:val="0"/>
              <w:autoSpaceDE/>
              <w:autoSpaceDN/>
              <w:spacing w:line="360" w:lineRule="auto"/>
              <w:ind w:right="120" w:rightChars="50"/>
              <w:jc w:val="center"/>
              <w:rPr>
                <w:rFonts w:ascii="宋体" w:hAnsi="宋体" w:eastAsia="宋体"/>
                <w:color w:val="auto"/>
                <w:sz w:val="24"/>
                <w:szCs w:val="24"/>
                <w:highlight w:val="none"/>
                <w:lang w:val="en-US"/>
              </w:rPr>
            </w:pPr>
          </w:p>
        </w:tc>
        <w:tc>
          <w:tcPr>
            <w:tcW w:w="1187" w:type="dxa"/>
            <w:tcMar>
              <w:bottom w:w="0" w:type="dxa"/>
            </w:tcMar>
            <w:vAlign w:val="center"/>
          </w:tcPr>
          <w:p>
            <w:pPr>
              <w:wordWrap w:val="0"/>
              <w:autoSpaceDE/>
              <w:autoSpaceDN/>
              <w:spacing w:line="360" w:lineRule="auto"/>
              <w:ind w:right="120" w:rightChars="50"/>
              <w:jc w:val="center"/>
              <w:rPr>
                <w:rFonts w:ascii="宋体" w:hAnsi="宋体" w:eastAsia="宋体"/>
                <w:color w:val="auto"/>
                <w:sz w:val="24"/>
                <w:szCs w:val="24"/>
                <w:highlight w:val="none"/>
                <w:lang w:val="en-US"/>
              </w:rPr>
            </w:pPr>
          </w:p>
        </w:tc>
        <w:tc>
          <w:tcPr>
            <w:tcW w:w="953" w:type="dxa"/>
            <w:tcMar>
              <w:bottom w:w="0" w:type="dxa"/>
            </w:tcMar>
            <w:vAlign w:val="center"/>
          </w:tcPr>
          <w:p>
            <w:pPr>
              <w:wordWrap w:val="0"/>
              <w:autoSpaceDE/>
              <w:autoSpaceDN/>
              <w:spacing w:line="360" w:lineRule="auto"/>
              <w:ind w:right="120" w:rightChars="50"/>
              <w:jc w:val="center"/>
              <w:rPr>
                <w:rFonts w:ascii="宋体" w:hAnsi="宋体" w:eastAsia="宋体"/>
                <w:color w:val="auto"/>
                <w:sz w:val="24"/>
                <w:szCs w:val="24"/>
                <w:highlight w:val="none"/>
                <w:u w:val="single"/>
                <w:lang w:val="en-US"/>
              </w:rPr>
            </w:pPr>
          </w:p>
        </w:tc>
        <w:tc>
          <w:tcPr>
            <w:tcW w:w="903" w:type="dxa"/>
            <w:tcMar>
              <w:bottom w:w="0" w:type="dxa"/>
            </w:tcMar>
            <w:vAlign w:val="center"/>
          </w:tcPr>
          <w:p>
            <w:pPr>
              <w:wordWrap w:val="0"/>
              <w:autoSpaceDE/>
              <w:autoSpaceDN/>
              <w:spacing w:line="360" w:lineRule="auto"/>
              <w:ind w:right="120" w:rightChars="50"/>
              <w:jc w:val="center"/>
              <w:rPr>
                <w:rFonts w:ascii="宋体" w:hAnsi="宋体" w:eastAsia="宋体"/>
                <w:color w:val="auto"/>
                <w:sz w:val="24"/>
                <w:szCs w:val="24"/>
                <w:highlight w:val="none"/>
                <w:u w:val="single"/>
                <w:lang w:val="en-US"/>
              </w:rPr>
            </w:pPr>
          </w:p>
        </w:tc>
        <w:tc>
          <w:tcPr>
            <w:tcW w:w="1451" w:type="dxa"/>
            <w:tcMar>
              <w:bottom w:w="0" w:type="dxa"/>
            </w:tcMar>
            <w:vAlign w:val="center"/>
          </w:tcPr>
          <w:p>
            <w:pPr>
              <w:wordWrap w:val="0"/>
              <w:autoSpaceDE/>
              <w:autoSpaceDN/>
              <w:spacing w:line="360" w:lineRule="auto"/>
              <w:ind w:right="120" w:rightChars="50"/>
              <w:jc w:val="center"/>
              <w:rPr>
                <w:rFonts w:ascii="宋体" w:hAnsi="宋体" w:eastAsia="宋体"/>
                <w:color w:val="auto"/>
                <w:sz w:val="24"/>
                <w:szCs w:val="24"/>
                <w:highlight w:val="none"/>
                <w:u w:val="single"/>
                <w:lang w:val="en-US"/>
              </w:rPr>
            </w:pPr>
          </w:p>
        </w:tc>
        <w:tc>
          <w:tcPr>
            <w:tcW w:w="1381" w:type="dxa"/>
            <w:tcMar>
              <w:bottom w:w="0" w:type="dxa"/>
            </w:tcMar>
            <w:vAlign w:val="center"/>
          </w:tcPr>
          <w:p>
            <w:pPr>
              <w:wordWrap w:val="0"/>
              <w:autoSpaceDE/>
              <w:autoSpaceDN/>
              <w:spacing w:line="360" w:lineRule="auto"/>
              <w:ind w:right="120" w:rightChars="50"/>
              <w:jc w:val="center"/>
              <w:rPr>
                <w:rFonts w:ascii="宋体" w:hAnsi="宋体" w:eastAsia="宋体"/>
                <w:color w:val="auto"/>
                <w:sz w:val="24"/>
                <w:szCs w:val="24"/>
                <w:highlight w:val="none"/>
                <w:u w:val="singl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atLeast"/>
          <w:jc w:val="center"/>
        </w:trPr>
        <w:tc>
          <w:tcPr>
            <w:tcW w:w="722" w:type="dxa"/>
            <w:tcMar>
              <w:bottom w:w="0" w:type="dxa"/>
            </w:tcMar>
            <w:vAlign w:val="center"/>
          </w:tcPr>
          <w:p>
            <w:pPr>
              <w:wordWrap w:val="0"/>
              <w:autoSpaceDE/>
              <w:autoSpaceDN/>
              <w:adjustRightInd w:val="0"/>
              <w:snapToGrid w:val="0"/>
              <w:spacing w:line="360" w:lineRule="auto"/>
              <w:jc w:val="center"/>
              <w:rPr>
                <w:rFonts w:hint="eastAsia" w:ascii="宋体" w:hAnsi="宋体" w:eastAsia="宋体"/>
                <w:color w:val="auto"/>
                <w:sz w:val="24"/>
                <w:szCs w:val="24"/>
                <w:highlight w:val="none"/>
                <w:lang w:val="en-US" w:eastAsia="zh-CN"/>
              </w:rPr>
            </w:pPr>
            <w:r>
              <w:rPr>
                <w:rFonts w:hint="eastAsia"/>
                <w:color w:val="auto"/>
                <w:sz w:val="24"/>
                <w:szCs w:val="24"/>
                <w:highlight w:val="none"/>
                <w:lang w:val="en-US" w:eastAsia="zh-CN"/>
              </w:rPr>
              <w:t>2</w:t>
            </w:r>
          </w:p>
        </w:tc>
        <w:tc>
          <w:tcPr>
            <w:tcW w:w="1678" w:type="dxa"/>
            <w:tcMar>
              <w:bottom w:w="0" w:type="dxa"/>
            </w:tcMar>
            <w:vAlign w:val="center"/>
          </w:tcPr>
          <w:p>
            <w:pPr>
              <w:wordWrap w:val="0"/>
              <w:autoSpaceDE/>
              <w:autoSpaceDN/>
              <w:spacing w:line="360" w:lineRule="auto"/>
              <w:ind w:right="120" w:rightChars="50"/>
              <w:jc w:val="center"/>
              <w:rPr>
                <w:rFonts w:hint="default" w:ascii="宋体" w:hAnsi="宋体" w:eastAsia="宋体"/>
                <w:color w:val="auto"/>
                <w:sz w:val="24"/>
                <w:szCs w:val="24"/>
                <w:highlight w:val="none"/>
                <w:lang w:val="en-US" w:eastAsia="zh-CN"/>
              </w:rPr>
            </w:pPr>
          </w:p>
        </w:tc>
        <w:tc>
          <w:tcPr>
            <w:tcW w:w="991" w:type="dxa"/>
            <w:tcMar>
              <w:bottom w:w="0" w:type="dxa"/>
            </w:tcMar>
            <w:vAlign w:val="center"/>
          </w:tcPr>
          <w:p>
            <w:pPr>
              <w:wordWrap w:val="0"/>
              <w:autoSpaceDE/>
              <w:autoSpaceDN/>
              <w:spacing w:line="360" w:lineRule="auto"/>
              <w:ind w:right="120" w:rightChars="50"/>
              <w:jc w:val="center"/>
              <w:rPr>
                <w:rFonts w:ascii="宋体" w:hAnsi="宋体" w:eastAsia="宋体"/>
                <w:color w:val="auto"/>
                <w:sz w:val="24"/>
                <w:szCs w:val="24"/>
                <w:highlight w:val="none"/>
                <w:lang w:val="en-US"/>
              </w:rPr>
            </w:pPr>
          </w:p>
        </w:tc>
        <w:tc>
          <w:tcPr>
            <w:tcW w:w="1187" w:type="dxa"/>
            <w:tcMar>
              <w:bottom w:w="0" w:type="dxa"/>
            </w:tcMar>
            <w:vAlign w:val="center"/>
          </w:tcPr>
          <w:p>
            <w:pPr>
              <w:wordWrap w:val="0"/>
              <w:autoSpaceDE/>
              <w:autoSpaceDN/>
              <w:spacing w:line="360" w:lineRule="auto"/>
              <w:ind w:right="120" w:rightChars="50"/>
              <w:jc w:val="center"/>
              <w:rPr>
                <w:rFonts w:ascii="宋体" w:hAnsi="宋体" w:eastAsia="宋体"/>
                <w:color w:val="auto"/>
                <w:sz w:val="24"/>
                <w:szCs w:val="24"/>
                <w:highlight w:val="none"/>
                <w:lang w:val="en-US"/>
              </w:rPr>
            </w:pPr>
          </w:p>
        </w:tc>
        <w:tc>
          <w:tcPr>
            <w:tcW w:w="953" w:type="dxa"/>
            <w:tcMar>
              <w:bottom w:w="0" w:type="dxa"/>
            </w:tcMar>
            <w:vAlign w:val="center"/>
          </w:tcPr>
          <w:p>
            <w:pPr>
              <w:wordWrap w:val="0"/>
              <w:autoSpaceDE/>
              <w:autoSpaceDN/>
              <w:spacing w:line="360" w:lineRule="auto"/>
              <w:ind w:right="120" w:rightChars="50"/>
              <w:jc w:val="center"/>
              <w:rPr>
                <w:rFonts w:ascii="宋体" w:hAnsi="宋体" w:eastAsia="宋体"/>
                <w:color w:val="auto"/>
                <w:sz w:val="24"/>
                <w:szCs w:val="24"/>
                <w:highlight w:val="none"/>
                <w:u w:val="single"/>
                <w:lang w:val="en-US"/>
              </w:rPr>
            </w:pPr>
          </w:p>
        </w:tc>
        <w:tc>
          <w:tcPr>
            <w:tcW w:w="903" w:type="dxa"/>
            <w:tcMar>
              <w:bottom w:w="0" w:type="dxa"/>
            </w:tcMar>
            <w:vAlign w:val="center"/>
          </w:tcPr>
          <w:p>
            <w:pPr>
              <w:wordWrap w:val="0"/>
              <w:autoSpaceDE/>
              <w:autoSpaceDN/>
              <w:spacing w:line="360" w:lineRule="auto"/>
              <w:ind w:right="120" w:rightChars="50"/>
              <w:jc w:val="center"/>
              <w:rPr>
                <w:rFonts w:ascii="宋体" w:hAnsi="宋体" w:eastAsia="宋体"/>
                <w:color w:val="auto"/>
                <w:sz w:val="24"/>
                <w:szCs w:val="24"/>
                <w:highlight w:val="none"/>
                <w:u w:val="single"/>
                <w:lang w:val="en-US"/>
              </w:rPr>
            </w:pPr>
          </w:p>
        </w:tc>
        <w:tc>
          <w:tcPr>
            <w:tcW w:w="1451" w:type="dxa"/>
            <w:tcMar>
              <w:bottom w:w="0" w:type="dxa"/>
            </w:tcMar>
            <w:vAlign w:val="center"/>
          </w:tcPr>
          <w:p>
            <w:pPr>
              <w:wordWrap w:val="0"/>
              <w:autoSpaceDE/>
              <w:autoSpaceDN/>
              <w:spacing w:line="360" w:lineRule="auto"/>
              <w:ind w:right="120" w:rightChars="50"/>
              <w:jc w:val="center"/>
              <w:rPr>
                <w:rFonts w:ascii="宋体" w:hAnsi="宋体" w:eastAsia="宋体"/>
                <w:color w:val="auto"/>
                <w:sz w:val="24"/>
                <w:szCs w:val="24"/>
                <w:highlight w:val="none"/>
                <w:u w:val="single"/>
                <w:lang w:val="en-US"/>
              </w:rPr>
            </w:pPr>
          </w:p>
        </w:tc>
        <w:tc>
          <w:tcPr>
            <w:tcW w:w="1381" w:type="dxa"/>
            <w:tcMar>
              <w:bottom w:w="0" w:type="dxa"/>
            </w:tcMar>
            <w:vAlign w:val="center"/>
          </w:tcPr>
          <w:p>
            <w:pPr>
              <w:wordWrap w:val="0"/>
              <w:autoSpaceDE/>
              <w:autoSpaceDN/>
              <w:spacing w:line="360" w:lineRule="auto"/>
              <w:ind w:right="120" w:rightChars="50"/>
              <w:jc w:val="center"/>
              <w:rPr>
                <w:rFonts w:ascii="宋体" w:hAnsi="宋体" w:eastAsia="宋体"/>
                <w:color w:val="auto"/>
                <w:sz w:val="24"/>
                <w:szCs w:val="24"/>
                <w:highlight w:val="none"/>
                <w:u w:val="singl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atLeast"/>
          <w:jc w:val="center"/>
        </w:trPr>
        <w:tc>
          <w:tcPr>
            <w:tcW w:w="722" w:type="dxa"/>
            <w:tcMar>
              <w:bottom w:w="0" w:type="dxa"/>
            </w:tcMar>
            <w:vAlign w:val="center"/>
          </w:tcPr>
          <w:p>
            <w:pPr>
              <w:wordWrap w:val="0"/>
              <w:autoSpaceDE/>
              <w:autoSpaceDN/>
              <w:adjustRightInd w:val="0"/>
              <w:snapToGrid w:val="0"/>
              <w:spacing w:line="360" w:lineRule="auto"/>
              <w:jc w:val="center"/>
              <w:rPr>
                <w:rFonts w:hint="eastAsia" w:ascii="宋体" w:hAnsi="宋体" w:eastAsia="宋体"/>
                <w:color w:val="auto"/>
                <w:sz w:val="24"/>
                <w:szCs w:val="24"/>
                <w:highlight w:val="none"/>
                <w:lang w:val="en-US" w:eastAsia="zh-CN"/>
              </w:rPr>
            </w:pPr>
            <w:r>
              <w:rPr>
                <w:rFonts w:hint="eastAsia"/>
                <w:color w:val="auto"/>
                <w:sz w:val="24"/>
                <w:szCs w:val="24"/>
                <w:highlight w:val="none"/>
                <w:lang w:val="en-US" w:eastAsia="zh-CN"/>
              </w:rPr>
              <w:t>3</w:t>
            </w:r>
          </w:p>
        </w:tc>
        <w:tc>
          <w:tcPr>
            <w:tcW w:w="1678" w:type="dxa"/>
            <w:tcMar>
              <w:bottom w:w="0" w:type="dxa"/>
            </w:tcMar>
            <w:vAlign w:val="center"/>
          </w:tcPr>
          <w:p>
            <w:pPr>
              <w:wordWrap w:val="0"/>
              <w:autoSpaceDE/>
              <w:autoSpaceDN/>
              <w:spacing w:line="360" w:lineRule="auto"/>
              <w:ind w:right="120" w:rightChars="50"/>
              <w:jc w:val="center"/>
              <w:rPr>
                <w:rFonts w:hint="default" w:ascii="宋体" w:hAnsi="宋体" w:eastAsia="宋体"/>
                <w:color w:val="auto"/>
                <w:sz w:val="24"/>
                <w:szCs w:val="24"/>
                <w:highlight w:val="none"/>
                <w:lang w:val="en-US" w:eastAsia="zh-CN"/>
              </w:rPr>
            </w:pPr>
          </w:p>
        </w:tc>
        <w:tc>
          <w:tcPr>
            <w:tcW w:w="991" w:type="dxa"/>
            <w:tcMar>
              <w:bottom w:w="0" w:type="dxa"/>
            </w:tcMar>
            <w:vAlign w:val="center"/>
          </w:tcPr>
          <w:p>
            <w:pPr>
              <w:wordWrap w:val="0"/>
              <w:autoSpaceDE/>
              <w:autoSpaceDN/>
              <w:spacing w:line="360" w:lineRule="auto"/>
              <w:ind w:right="120" w:rightChars="50"/>
              <w:jc w:val="center"/>
              <w:rPr>
                <w:rFonts w:ascii="宋体" w:hAnsi="宋体" w:eastAsia="宋体"/>
                <w:color w:val="auto"/>
                <w:sz w:val="24"/>
                <w:szCs w:val="24"/>
                <w:highlight w:val="none"/>
                <w:lang w:val="en-US"/>
              </w:rPr>
            </w:pPr>
          </w:p>
        </w:tc>
        <w:tc>
          <w:tcPr>
            <w:tcW w:w="1187" w:type="dxa"/>
            <w:tcMar>
              <w:bottom w:w="0" w:type="dxa"/>
            </w:tcMar>
            <w:vAlign w:val="center"/>
          </w:tcPr>
          <w:p>
            <w:pPr>
              <w:wordWrap w:val="0"/>
              <w:autoSpaceDE/>
              <w:autoSpaceDN/>
              <w:spacing w:line="360" w:lineRule="auto"/>
              <w:ind w:right="120" w:rightChars="50"/>
              <w:jc w:val="center"/>
              <w:rPr>
                <w:rFonts w:ascii="宋体" w:hAnsi="宋体" w:eastAsia="宋体"/>
                <w:color w:val="auto"/>
                <w:sz w:val="24"/>
                <w:szCs w:val="24"/>
                <w:highlight w:val="none"/>
                <w:lang w:val="en-US"/>
              </w:rPr>
            </w:pPr>
          </w:p>
        </w:tc>
        <w:tc>
          <w:tcPr>
            <w:tcW w:w="953" w:type="dxa"/>
            <w:tcMar>
              <w:bottom w:w="0" w:type="dxa"/>
            </w:tcMar>
            <w:vAlign w:val="center"/>
          </w:tcPr>
          <w:p>
            <w:pPr>
              <w:wordWrap w:val="0"/>
              <w:autoSpaceDE/>
              <w:autoSpaceDN/>
              <w:spacing w:line="360" w:lineRule="auto"/>
              <w:ind w:right="120" w:rightChars="50"/>
              <w:jc w:val="center"/>
              <w:rPr>
                <w:rFonts w:ascii="宋体" w:hAnsi="宋体" w:eastAsia="宋体"/>
                <w:color w:val="auto"/>
                <w:sz w:val="24"/>
                <w:szCs w:val="24"/>
                <w:highlight w:val="none"/>
                <w:u w:val="single"/>
                <w:lang w:val="en-US"/>
              </w:rPr>
            </w:pPr>
          </w:p>
        </w:tc>
        <w:tc>
          <w:tcPr>
            <w:tcW w:w="903" w:type="dxa"/>
            <w:tcMar>
              <w:bottom w:w="0" w:type="dxa"/>
            </w:tcMar>
            <w:vAlign w:val="center"/>
          </w:tcPr>
          <w:p>
            <w:pPr>
              <w:wordWrap w:val="0"/>
              <w:autoSpaceDE/>
              <w:autoSpaceDN/>
              <w:spacing w:line="360" w:lineRule="auto"/>
              <w:ind w:right="120" w:rightChars="50"/>
              <w:jc w:val="center"/>
              <w:rPr>
                <w:rFonts w:ascii="宋体" w:hAnsi="宋体" w:eastAsia="宋体"/>
                <w:color w:val="auto"/>
                <w:sz w:val="24"/>
                <w:szCs w:val="24"/>
                <w:highlight w:val="none"/>
                <w:u w:val="single"/>
                <w:lang w:val="en-US"/>
              </w:rPr>
            </w:pPr>
          </w:p>
        </w:tc>
        <w:tc>
          <w:tcPr>
            <w:tcW w:w="1451" w:type="dxa"/>
            <w:tcMar>
              <w:bottom w:w="0" w:type="dxa"/>
            </w:tcMar>
            <w:vAlign w:val="center"/>
          </w:tcPr>
          <w:p>
            <w:pPr>
              <w:wordWrap w:val="0"/>
              <w:autoSpaceDE/>
              <w:autoSpaceDN/>
              <w:spacing w:line="360" w:lineRule="auto"/>
              <w:ind w:right="120" w:rightChars="50"/>
              <w:jc w:val="center"/>
              <w:rPr>
                <w:rFonts w:ascii="宋体" w:hAnsi="宋体" w:eastAsia="宋体"/>
                <w:color w:val="auto"/>
                <w:sz w:val="24"/>
                <w:szCs w:val="24"/>
                <w:highlight w:val="none"/>
                <w:u w:val="single"/>
                <w:lang w:val="en-US"/>
              </w:rPr>
            </w:pPr>
          </w:p>
        </w:tc>
        <w:tc>
          <w:tcPr>
            <w:tcW w:w="1381" w:type="dxa"/>
            <w:tcMar>
              <w:bottom w:w="0" w:type="dxa"/>
            </w:tcMar>
            <w:vAlign w:val="center"/>
          </w:tcPr>
          <w:p>
            <w:pPr>
              <w:wordWrap w:val="0"/>
              <w:autoSpaceDE/>
              <w:autoSpaceDN/>
              <w:spacing w:line="360" w:lineRule="auto"/>
              <w:ind w:right="120" w:rightChars="50"/>
              <w:jc w:val="center"/>
              <w:rPr>
                <w:rFonts w:ascii="宋体" w:hAnsi="宋体" w:eastAsia="宋体"/>
                <w:color w:val="auto"/>
                <w:sz w:val="24"/>
                <w:szCs w:val="24"/>
                <w:highlight w:val="none"/>
                <w:u w:val="singl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9" w:hRule="atLeast"/>
          <w:jc w:val="center"/>
        </w:trPr>
        <w:tc>
          <w:tcPr>
            <w:tcW w:w="9266" w:type="dxa"/>
            <w:gridSpan w:val="8"/>
            <w:tcMar>
              <w:bottom w:w="0" w:type="dxa"/>
            </w:tcMar>
            <w:vAlign w:val="center"/>
          </w:tcPr>
          <w:p>
            <w:pPr>
              <w:wordWrap w:val="0"/>
              <w:autoSpaceDE/>
              <w:autoSpaceDN/>
              <w:spacing w:line="360" w:lineRule="auto"/>
              <w:ind w:right="120" w:rightChars="50"/>
              <w:jc w:val="both"/>
              <w:rPr>
                <w:rFonts w:ascii="宋体" w:hAnsi="宋体" w:eastAsia="宋体"/>
                <w:color w:val="auto"/>
                <w:sz w:val="24"/>
                <w:szCs w:val="24"/>
                <w:highlight w:val="none"/>
                <w:u w:val="single"/>
                <w:lang w:val="en-US"/>
              </w:rPr>
            </w:pPr>
            <w:r>
              <w:rPr>
                <w:rFonts w:hint="eastAsia" w:ascii="宋体" w:hAnsi="宋体" w:eastAsia="宋体"/>
                <w:color w:val="auto"/>
                <w:sz w:val="24"/>
                <w:szCs w:val="24"/>
                <w:highlight w:val="none"/>
                <w:lang w:val="en-US" w:eastAsia="zh-CN"/>
              </w:rPr>
              <w:t>合计金额:</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lang w:val="en-US" w:eastAsia="zh-CN"/>
              </w:rPr>
              <w:t>元（大写：</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lang w:val="en-US" w:eastAsia="zh-CN"/>
              </w:rPr>
              <w:t>元）</w:t>
            </w:r>
          </w:p>
        </w:tc>
      </w:tr>
    </w:tbl>
    <w:p>
      <w:pPr>
        <w:keepNext w:val="0"/>
        <w:keepLines w:val="0"/>
        <w:pageBreakBefore w:val="0"/>
        <w:widowControl w:val="0"/>
        <w:suppressLineNumbers w:val="0"/>
        <w:kinsoku/>
        <w:overflowPunct/>
        <w:autoSpaceDE w:val="0"/>
        <w:autoSpaceDN/>
        <w:bidi w:val="0"/>
        <w:spacing w:beforeAutospacing="0" w:afterAutospacing="0" w:line="360" w:lineRule="auto"/>
        <w:ind w:left="0" w:right="0" w:firstLine="482" w:firstLineChars="200"/>
        <w:jc w:val="both"/>
        <w:textAlignment w:val="auto"/>
        <w:rPr>
          <w:rFonts w:hint="eastAsia" w:ascii="Times New Roman" w:hAnsi="Times New Roman" w:cs="宋体"/>
          <w:b/>
          <w:bCs/>
          <w:color w:val="auto"/>
          <w:kern w:val="2"/>
          <w:sz w:val="24"/>
          <w:szCs w:val="24"/>
          <w:highlight w:val="none"/>
          <w:lang w:val="en-US" w:eastAsia="zh-CN" w:bidi="ar"/>
        </w:rPr>
      </w:pPr>
      <w:bookmarkStart w:id="39" w:name="_Toc2400"/>
      <w:bookmarkEnd w:id="39"/>
      <w:bookmarkStart w:id="40" w:name="_Toc28355"/>
      <w:bookmarkEnd w:id="40"/>
      <w:bookmarkStart w:id="41" w:name="_Toc1621"/>
      <w:r>
        <w:rPr>
          <w:rFonts w:hint="eastAsia" w:ascii="Times New Roman" w:hAnsi="Times New Roman" w:cs="宋体"/>
          <w:b/>
          <w:bCs/>
          <w:color w:val="auto"/>
          <w:kern w:val="2"/>
          <w:sz w:val="24"/>
          <w:szCs w:val="24"/>
          <w:highlight w:val="none"/>
          <w:lang w:val="en-US" w:eastAsia="zh-CN" w:bidi="ar"/>
        </w:rPr>
        <w:t>第二条 标的及合同价款</w:t>
      </w:r>
      <w:bookmarkEnd w:id="41"/>
    </w:p>
    <w:p>
      <w:pPr>
        <w:pStyle w:val="84"/>
        <w:keepNext w:val="0"/>
        <w:keepLines w:val="0"/>
        <w:pageBreakBefore w:val="0"/>
        <w:widowControl/>
        <w:kinsoku/>
        <w:overflowPunct/>
        <w:autoSpaceDE w:val="0"/>
        <w:autoSpaceDN/>
        <w:bidi w:val="0"/>
        <w:spacing w:before="0" w:beforeAutospacing="0" w:after="0" w:afterAutospacing="0" w:line="360" w:lineRule="auto"/>
        <w:ind w:left="0" w:firstLine="64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eastAsia="zh-CN"/>
        </w:rPr>
        <w:t>合同总价为人民币大写：</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lang w:eastAsia="zh-CN"/>
        </w:rPr>
        <w:t>元，即</w:t>
      </w:r>
      <w:r>
        <w:rPr>
          <w:rFonts w:hint="eastAsia" w:ascii="宋体" w:hAnsi="宋体" w:eastAsia="宋体" w:cs="宋体"/>
          <w:color w:val="auto"/>
          <w:sz w:val="24"/>
          <w:szCs w:val="24"/>
          <w:highlight w:val="none"/>
          <w:lang w:val="en-US"/>
        </w:rPr>
        <w:t>RMB</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lang w:eastAsia="zh-CN"/>
        </w:rPr>
        <w:t>元；该合同总价已包括产品设计、生产制造、运输、安装、调试、检验、培训、利润、税金和保险等费用以及</w:t>
      </w:r>
      <w:r>
        <w:rPr>
          <w:rFonts w:hint="eastAsia" w:cs="宋体"/>
          <w:color w:val="auto"/>
          <w:sz w:val="24"/>
          <w:szCs w:val="24"/>
          <w:highlight w:val="none"/>
          <w:lang w:eastAsia="zh-CN"/>
        </w:rPr>
        <w:t>招标文件</w:t>
      </w:r>
      <w:r>
        <w:rPr>
          <w:rFonts w:hint="eastAsia" w:ascii="宋体" w:hAnsi="宋体" w:eastAsia="宋体" w:cs="宋体"/>
          <w:color w:val="auto"/>
          <w:sz w:val="24"/>
          <w:szCs w:val="24"/>
          <w:highlight w:val="none"/>
          <w:lang w:eastAsia="zh-CN"/>
        </w:rPr>
        <w:t>规定的其他费用。本合同执行期间合同总价不变，甲方无须另向乙方支付本合同规定之外的其他任何费用：</w:t>
      </w:r>
    </w:p>
    <w:p>
      <w:pPr>
        <w:keepNext w:val="0"/>
        <w:keepLines w:val="0"/>
        <w:pageBreakBefore w:val="0"/>
        <w:widowControl w:val="0"/>
        <w:suppressLineNumbers w:val="0"/>
        <w:kinsoku/>
        <w:overflowPunct/>
        <w:autoSpaceDE w:val="0"/>
        <w:autoSpaceDN/>
        <w:bidi w:val="0"/>
        <w:spacing w:beforeAutospacing="0" w:afterAutospacing="0" w:line="360" w:lineRule="auto"/>
        <w:ind w:left="0" w:right="0" w:firstLine="482" w:firstLineChars="200"/>
        <w:jc w:val="both"/>
        <w:textAlignment w:val="auto"/>
        <w:rPr>
          <w:rFonts w:hint="eastAsia" w:ascii="宋体" w:hAnsi="宋体" w:eastAsia="宋体" w:cs="宋体"/>
          <w:b/>
          <w:bCs/>
          <w:color w:val="auto"/>
          <w:kern w:val="2"/>
          <w:sz w:val="24"/>
          <w:szCs w:val="24"/>
          <w:highlight w:val="none"/>
          <w:lang w:val="en-US" w:eastAsia="zh-CN" w:bidi="ar"/>
        </w:rPr>
      </w:pPr>
      <w:bookmarkStart w:id="42" w:name="_Toc22060"/>
      <w:bookmarkEnd w:id="42"/>
      <w:bookmarkStart w:id="43" w:name="_Toc412"/>
      <w:bookmarkEnd w:id="43"/>
      <w:bookmarkStart w:id="44" w:name="_Toc282696226"/>
      <w:bookmarkEnd w:id="44"/>
      <w:bookmarkStart w:id="45" w:name="_Toc247334841"/>
      <w:bookmarkEnd w:id="45"/>
      <w:bookmarkStart w:id="46" w:name="_Toc185395249"/>
      <w:bookmarkEnd w:id="46"/>
      <w:bookmarkStart w:id="47" w:name="_Toc283019214"/>
      <w:bookmarkEnd w:id="47"/>
      <w:bookmarkStart w:id="48" w:name="_Toc225654644"/>
      <w:bookmarkEnd w:id="48"/>
      <w:bookmarkStart w:id="49" w:name="_Toc286993786"/>
      <w:bookmarkEnd w:id="49"/>
      <w:bookmarkStart w:id="50" w:name="_Toc238984975"/>
      <w:bookmarkEnd w:id="50"/>
      <w:bookmarkStart w:id="51" w:name="_Toc225244852"/>
      <w:bookmarkEnd w:id="51"/>
      <w:bookmarkStart w:id="52" w:name="_Toc239233914"/>
      <w:bookmarkEnd w:id="52"/>
      <w:bookmarkStart w:id="53" w:name="_Toc211854449"/>
      <w:bookmarkEnd w:id="53"/>
      <w:bookmarkStart w:id="54" w:name="_Toc241833903"/>
      <w:bookmarkEnd w:id="54"/>
      <w:bookmarkStart w:id="55" w:name="_Toc251768862"/>
      <w:bookmarkEnd w:id="55"/>
      <w:bookmarkStart w:id="56" w:name="_Toc239568418"/>
      <w:bookmarkEnd w:id="56"/>
      <w:bookmarkStart w:id="57" w:name="_Toc225670751"/>
      <w:bookmarkEnd w:id="57"/>
      <w:bookmarkStart w:id="58" w:name="_Toc9155"/>
      <w:bookmarkEnd w:id="58"/>
      <w:bookmarkStart w:id="59" w:name="_Toc232492928"/>
      <w:bookmarkEnd w:id="59"/>
      <w:bookmarkStart w:id="60" w:name="_Toc212019594"/>
      <w:bookmarkEnd w:id="60"/>
      <w:bookmarkStart w:id="61" w:name="_Toc211911348"/>
      <w:bookmarkEnd w:id="61"/>
      <w:bookmarkStart w:id="62" w:name="_Toc237145406"/>
      <w:r>
        <w:rPr>
          <w:rFonts w:hint="eastAsia" w:ascii="Times New Roman" w:hAnsi="Times New Roman" w:cs="宋体"/>
          <w:b/>
          <w:bCs/>
          <w:color w:val="auto"/>
          <w:kern w:val="2"/>
          <w:sz w:val="24"/>
          <w:szCs w:val="24"/>
          <w:highlight w:val="none"/>
          <w:lang w:val="en-US" w:eastAsia="zh-CN" w:bidi="ar"/>
        </w:rPr>
        <w:t xml:space="preserve">第三天 </w:t>
      </w:r>
      <w:r>
        <w:rPr>
          <w:rFonts w:hint="eastAsia" w:ascii="宋体" w:hAnsi="宋体" w:eastAsia="宋体" w:cs="宋体"/>
          <w:b/>
          <w:bCs/>
          <w:color w:val="auto"/>
          <w:kern w:val="2"/>
          <w:sz w:val="24"/>
          <w:szCs w:val="24"/>
          <w:highlight w:val="none"/>
          <w:lang w:val="en-US" w:eastAsia="zh-CN" w:bidi="ar"/>
        </w:rPr>
        <w:t>质量要求</w:t>
      </w:r>
      <w:bookmarkEnd w:id="62"/>
    </w:p>
    <w:p>
      <w:pPr>
        <w:keepNext w:val="0"/>
        <w:keepLines w:val="0"/>
        <w:pageBreakBefore w:val="0"/>
        <w:widowControl w:val="0"/>
        <w:suppressLineNumbers w:val="0"/>
        <w:kinsoku/>
        <w:overflowPunct/>
        <w:autoSpaceDE w:val="0"/>
        <w:autoSpaceDN/>
        <w:bidi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
        </w:rPr>
        <w:t>(一)</w:t>
      </w:r>
      <w:r>
        <w:rPr>
          <w:rFonts w:hint="eastAsia" w:ascii="宋体" w:hAnsi="宋体" w:eastAsia="宋体" w:cs="宋体"/>
          <w:color w:val="auto"/>
          <w:kern w:val="2"/>
          <w:sz w:val="24"/>
          <w:szCs w:val="24"/>
          <w:highlight w:val="none"/>
          <w:lang w:val="en-US" w:eastAsia="zh-CN" w:bidi="ar"/>
        </w:rPr>
        <w:t>乙方须提供全新的货物(含零部件、配件、使用说明书等)，表面无划伤、无碰撞痕迹，且权属清楚，不得侵害他人的知识产权，不得以次充好，产品来源渠道必须合法，同时应根据国家有关规定、厂家服务承诺及采购单位的要求做好售后服务工作。</w:t>
      </w:r>
    </w:p>
    <w:p>
      <w:pPr>
        <w:keepNext w:val="0"/>
        <w:keepLines w:val="0"/>
        <w:pageBreakBefore w:val="0"/>
        <w:widowControl w:val="0"/>
        <w:suppressLineNumbers w:val="0"/>
        <w:kinsoku/>
        <w:overflowPunct/>
        <w:autoSpaceDE w:val="0"/>
        <w:autoSpaceDN/>
        <w:bidi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
        </w:rPr>
        <w:t>(二)</w:t>
      </w:r>
      <w:r>
        <w:rPr>
          <w:rFonts w:hint="eastAsia" w:ascii="宋体" w:hAnsi="宋体" w:eastAsia="宋体" w:cs="宋体"/>
          <w:color w:val="auto"/>
          <w:kern w:val="2"/>
          <w:sz w:val="24"/>
          <w:szCs w:val="24"/>
          <w:highlight w:val="none"/>
          <w:lang w:val="en-US" w:eastAsia="zh-CN" w:bidi="ar"/>
        </w:rPr>
        <w:t>乙方提供的产品必须符合或优于国家标准、行业标准、地方标准等标准、规范，以及</w:t>
      </w:r>
      <w:r>
        <w:rPr>
          <w:rFonts w:hint="eastAsia" w:ascii="Times New Roman" w:hAnsi="Times New Roman" w:cs="宋体"/>
          <w:color w:val="auto"/>
          <w:kern w:val="2"/>
          <w:sz w:val="24"/>
          <w:szCs w:val="24"/>
          <w:highlight w:val="none"/>
          <w:lang w:val="en-US" w:eastAsia="zh-CN" w:bidi="ar"/>
        </w:rPr>
        <w:t>招标文件</w:t>
      </w:r>
      <w:r>
        <w:rPr>
          <w:rFonts w:hint="eastAsia" w:ascii="宋体" w:hAnsi="宋体" w:eastAsia="宋体" w:cs="宋体"/>
          <w:color w:val="auto"/>
          <w:kern w:val="2"/>
          <w:sz w:val="24"/>
          <w:szCs w:val="24"/>
          <w:highlight w:val="none"/>
          <w:lang w:val="en-US" w:eastAsia="zh-CN" w:bidi="ar"/>
        </w:rPr>
        <w:t>的质量要求和技术指标与出厂标准。</w:t>
      </w:r>
    </w:p>
    <w:p>
      <w:pPr>
        <w:keepNext w:val="0"/>
        <w:keepLines w:val="0"/>
        <w:pageBreakBefore w:val="0"/>
        <w:widowControl w:val="0"/>
        <w:suppressLineNumbers w:val="0"/>
        <w:kinsoku/>
        <w:overflowPunct/>
        <w:autoSpaceDE w:val="0"/>
        <w:autoSpaceDN/>
        <w:bidi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
        </w:rPr>
        <w:t>(三)</w:t>
      </w:r>
      <w:r>
        <w:rPr>
          <w:rFonts w:hint="eastAsia" w:ascii="宋体" w:hAnsi="宋体" w:eastAsia="宋体" w:cs="宋体"/>
          <w:color w:val="auto"/>
          <w:kern w:val="2"/>
          <w:sz w:val="24"/>
          <w:szCs w:val="24"/>
          <w:highlight w:val="none"/>
          <w:lang w:val="en-US" w:eastAsia="zh-CN" w:bidi="ar"/>
        </w:rPr>
        <w:t>货物制造质量出现问题，乙方应负责三包(包修、包换、包退)，费用由乙方负担，甲方有权到产品生产厂家生产场地检查货物质量和生产进度。</w:t>
      </w:r>
    </w:p>
    <w:p>
      <w:pPr>
        <w:pStyle w:val="85"/>
        <w:keepNext w:val="0"/>
        <w:keepLines w:val="0"/>
        <w:pageBreakBefore w:val="0"/>
        <w:widowControl/>
        <w:kinsoku/>
        <w:overflowPunct/>
        <w:autoSpaceDE w:val="0"/>
        <w:autoSpaceDN/>
        <w:bidi w:val="0"/>
        <w:spacing w:before="0" w:beforeAutospacing="0" w:after="0" w:afterAutospacing="0" w:line="360" w:lineRule="auto"/>
        <w:ind w:left="0" w:firstLine="640"/>
        <w:textAlignment w:val="auto"/>
        <w:rPr>
          <w:rFonts w:hint="eastAsia" w:ascii="宋体" w:hAnsi="宋体" w:eastAsia="宋体" w:cs="宋体"/>
          <w:color w:val="auto"/>
          <w:sz w:val="24"/>
          <w:szCs w:val="24"/>
          <w:highlight w:val="none"/>
          <w:lang w:val="en-US"/>
        </w:rPr>
      </w:pPr>
      <w:r>
        <w:rPr>
          <w:rFonts w:hint="eastAsia" w:ascii="宋体" w:hAnsi="宋体" w:eastAsia="宋体" w:cs="宋体"/>
          <w:bCs/>
          <w:color w:val="auto"/>
          <w:sz w:val="24"/>
          <w:szCs w:val="24"/>
          <w:highlight w:val="none"/>
          <w:lang w:val="en-US"/>
        </w:rPr>
        <w:t>(</w:t>
      </w:r>
      <w:r>
        <w:rPr>
          <w:rFonts w:hint="eastAsia" w:ascii="宋体" w:hAnsi="宋体" w:eastAsia="宋体" w:cs="宋体"/>
          <w:bCs/>
          <w:color w:val="auto"/>
          <w:sz w:val="24"/>
          <w:szCs w:val="24"/>
          <w:highlight w:val="none"/>
          <w:lang w:eastAsia="zh-CN"/>
        </w:rPr>
        <w:t>四</w:t>
      </w:r>
      <w:r>
        <w:rPr>
          <w:rFonts w:hint="eastAsia" w:ascii="宋体" w:hAnsi="宋体" w:eastAsia="宋体" w:cs="宋体"/>
          <w:bCs/>
          <w:color w:val="auto"/>
          <w:sz w:val="24"/>
          <w:szCs w:val="24"/>
          <w:highlight w:val="none"/>
          <w:lang w:val="en-US"/>
        </w:rPr>
        <w:t>)</w:t>
      </w:r>
      <w:r>
        <w:rPr>
          <w:rFonts w:hint="eastAsia" w:ascii="宋体" w:hAnsi="宋体" w:eastAsia="宋体" w:cs="宋体"/>
          <w:color w:val="auto"/>
          <w:sz w:val="24"/>
          <w:szCs w:val="24"/>
          <w:highlight w:val="none"/>
          <w:lang w:eastAsia="zh-CN"/>
        </w:rPr>
        <w:t>货到现场交付完成后由于甲方保管不当造成的质量问题，乙方亦应负责修理，但费用由甲方负担。</w:t>
      </w:r>
    </w:p>
    <w:p>
      <w:pPr>
        <w:keepNext w:val="0"/>
        <w:keepLines w:val="0"/>
        <w:pageBreakBefore w:val="0"/>
        <w:widowControl w:val="0"/>
        <w:suppressLineNumbers w:val="0"/>
        <w:kinsoku/>
        <w:overflowPunct/>
        <w:autoSpaceDE w:val="0"/>
        <w:autoSpaceDN/>
        <w:bidi w:val="0"/>
        <w:spacing w:beforeAutospacing="0" w:afterAutospacing="0" w:line="360" w:lineRule="auto"/>
        <w:ind w:left="0" w:right="0" w:firstLine="482" w:firstLineChars="200"/>
        <w:jc w:val="both"/>
        <w:textAlignment w:val="auto"/>
        <w:rPr>
          <w:rFonts w:hint="eastAsia" w:ascii="宋体" w:hAnsi="宋体" w:eastAsia="宋体" w:cs="宋体"/>
          <w:b/>
          <w:bCs/>
          <w:color w:val="auto"/>
          <w:kern w:val="2"/>
          <w:sz w:val="24"/>
          <w:szCs w:val="24"/>
          <w:highlight w:val="none"/>
          <w:lang w:val="en-US" w:eastAsia="zh-CN" w:bidi="ar"/>
        </w:rPr>
      </w:pPr>
      <w:bookmarkStart w:id="63" w:name="_Toc21263"/>
      <w:bookmarkEnd w:id="63"/>
      <w:r>
        <w:rPr>
          <w:rFonts w:hint="eastAsia" w:ascii="宋体" w:hAnsi="宋体" w:eastAsia="宋体" w:cs="宋体"/>
          <w:b/>
          <w:bCs/>
          <w:color w:val="auto"/>
          <w:kern w:val="2"/>
          <w:sz w:val="24"/>
          <w:szCs w:val="24"/>
          <w:highlight w:val="none"/>
          <w:lang w:val="en-US" w:eastAsia="zh-CN" w:bidi="ar"/>
        </w:rPr>
        <w:t>第四条 履约时间、地点及交货要求</w:t>
      </w:r>
    </w:p>
    <w:p>
      <w:pPr>
        <w:keepNext w:val="0"/>
        <w:keepLines w:val="0"/>
        <w:pageBreakBefore w:val="0"/>
        <w:kinsoku/>
        <w:overflowPunct/>
        <w:autoSpaceDE/>
        <w:autoSpaceDN/>
        <w:bidi w:val="0"/>
        <w:spacing w:beforeAutospacing="0" w:afterAutospacing="0" w:line="360" w:lineRule="auto"/>
        <w:ind w:firstLine="480" w:firstLineChars="200"/>
        <w:jc w:val="both"/>
        <w:textAlignment w:val="auto"/>
        <w:rPr>
          <w:rFonts w:hint="default"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lang w:val="en-US"/>
        </w:rPr>
        <w:t>(</w:t>
      </w:r>
      <w:r>
        <w:rPr>
          <w:rFonts w:hint="eastAsia" w:ascii="宋体" w:hAnsi="宋体" w:eastAsia="宋体" w:cs="宋体"/>
          <w:color w:val="auto"/>
          <w:kern w:val="2"/>
          <w:sz w:val="24"/>
          <w:szCs w:val="24"/>
          <w:highlight w:val="none"/>
          <w:lang w:val="en-US" w:eastAsia="zh-CN"/>
        </w:rPr>
        <w:t>一</w:t>
      </w:r>
      <w:r>
        <w:rPr>
          <w:rFonts w:hint="eastAsia" w:ascii="宋体" w:hAnsi="宋体" w:eastAsia="宋体" w:cs="宋体"/>
          <w:color w:val="auto"/>
          <w:kern w:val="2"/>
          <w:sz w:val="24"/>
          <w:szCs w:val="24"/>
          <w:highlight w:val="none"/>
          <w:lang w:val="en-US"/>
        </w:rPr>
        <w:t>)</w:t>
      </w:r>
      <w:r>
        <w:rPr>
          <w:rFonts w:hint="eastAsia" w:ascii="宋体" w:hAnsi="宋体" w:eastAsia="宋体" w:cs="宋体"/>
          <w:color w:val="auto"/>
          <w:kern w:val="2"/>
          <w:sz w:val="24"/>
          <w:szCs w:val="24"/>
          <w:highlight w:val="none"/>
          <w:lang w:val="en-US" w:eastAsia="zh-CN"/>
        </w:rPr>
        <w:t>履约时间：</w:t>
      </w:r>
    </w:p>
    <w:p>
      <w:pPr>
        <w:pStyle w:val="86"/>
        <w:keepNext w:val="0"/>
        <w:keepLines w:val="0"/>
        <w:pageBreakBefore w:val="0"/>
        <w:widowControl/>
        <w:kinsoku/>
        <w:overflowPunct/>
        <w:autoSpaceDE w:val="0"/>
        <w:autoSpaceDN/>
        <w:bidi w:val="0"/>
        <w:spacing w:before="0" w:beforeAutospacing="0" w:after="0" w:afterAutospacing="0" w:line="360" w:lineRule="auto"/>
        <w:ind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eastAsia="zh-CN"/>
        </w:rPr>
        <w:t>履约地点：</w:t>
      </w:r>
    </w:p>
    <w:p>
      <w:pPr>
        <w:pStyle w:val="86"/>
        <w:keepNext w:val="0"/>
        <w:keepLines w:val="0"/>
        <w:pageBreakBefore w:val="0"/>
        <w:widowControl/>
        <w:kinsoku/>
        <w:overflowPunct/>
        <w:autoSpaceDE w:val="0"/>
        <w:autoSpaceDN/>
        <w:bidi w:val="0"/>
        <w:spacing w:before="0" w:beforeAutospacing="0" w:after="0" w:afterAutospacing="0" w:line="360" w:lineRule="auto"/>
        <w:ind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eastAsia="zh-CN"/>
        </w:rPr>
        <w:t>交货：</w:t>
      </w:r>
    </w:p>
    <w:p>
      <w:pPr>
        <w:pStyle w:val="86"/>
        <w:keepNext w:val="0"/>
        <w:keepLines w:val="0"/>
        <w:pageBreakBefore w:val="0"/>
        <w:widowControl/>
        <w:kinsoku/>
        <w:overflowPunct/>
        <w:autoSpaceDE w:val="0"/>
        <w:autoSpaceDN/>
        <w:bidi w:val="0"/>
        <w:spacing w:before="0" w:beforeAutospacing="0" w:after="0" w:afterAutospacing="0" w:line="360" w:lineRule="auto"/>
        <w:ind w:left="0"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w:t>
      </w:r>
      <w:r>
        <w:rPr>
          <w:rFonts w:hint="eastAsia" w:ascii="宋体" w:hAnsi="宋体" w:eastAsia="宋体" w:cs="宋体"/>
          <w:color w:val="auto"/>
          <w:sz w:val="24"/>
          <w:szCs w:val="24"/>
          <w:highlight w:val="none"/>
          <w:lang w:eastAsia="zh-CN"/>
        </w:rPr>
        <w:t>交货地点及联系人，乙方负责办理运输和保险，将货物运抵甲方指定地点，有关运输、保险和装卸等一切相关的费用由乙方承担。</w:t>
      </w:r>
    </w:p>
    <w:p>
      <w:pPr>
        <w:keepNext w:val="0"/>
        <w:keepLines w:val="0"/>
        <w:pageBreakBefore w:val="0"/>
        <w:widowControl w:val="0"/>
        <w:suppressLineNumbers w:val="0"/>
        <w:kinsoku/>
        <w:overflowPunct/>
        <w:autoSpaceDE w:val="0"/>
        <w:autoSpaceDN/>
        <w:bidi w:val="0"/>
        <w:spacing w:beforeAutospacing="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lang w:val="en-US" w:eastAsia="zh-CN" w:bidi="ar"/>
        </w:rPr>
        <w:t>2.乙方应在货物送达到甲方指定地点七日前，向甲方提供货物卸车、清点计划(内容包括：合同号、设备名称、数量、价格、箱数、型号规格、重量和体积、拟发运的时间及其他必要的说明)，并于发运的同时通知甲方。</w:t>
      </w:r>
    </w:p>
    <w:p>
      <w:pPr>
        <w:keepNext w:val="0"/>
        <w:keepLines w:val="0"/>
        <w:pageBreakBefore w:val="0"/>
        <w:widowControl w:val="0"/>
        <w:suppressLineNumbers w:val="0"/>
        <w:kinsoku/>
        <w:overflowPunct/>
        <w:autoSpaceDE w:val="0"/>
        <w:autoSpaceDN/>
        <w:bidi w:val="0"/>
        <w:spacing w:beforeAutospacing="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lang w:val="en-US" w:eastAsia="zh-CN" w:bidi="ar"/>
        </w:rPr>
        <w:t>3.开箱清点及初步检验时双方应派人员参加。凡由于乙方对合同货物包装不善、标记不明、防护措施不当或在合同货物装箱前保管不良，致使合同货物遭到损坏或丢失，乙方应负责免费更换或补足，并承担由此给甲方造成的一切损失。</w:t>
      </w:r>
    </w:p>
    <w:p>
      <w:pPr>
        <w:keepNext w:val="0"/>
        <w:keepLines w:val="0"/>
        <w:pageBreakBefore w:val="0"/>
        <w:widowControl w:val="0"/>
        <w:suppressLineNumbers w:val="0"/>
        <w:kinsoku/>
        <w:overflowPunct/>
        <w:autoSpaceDE w:val="0"/>
        <w:autoSpaceDN/>
        <w:bidi w:val="0"/>
        <w:spacing w:beforeAutospacing="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lang w:val="en-US" w:eastAsia="zh-CN" w:bidi="ar"/>
        </w:rPr>
        <w:t>4.货物涉及政府采购商品包装和快递包装的，货物送达至甲方指定地点后，甲方将对乙方是否按照</w:t>
      </w:r>
      <w:r>
        <w:rPr>
          <w:rFonts w:hint="eastAsia" w:ascii="Times New Roman" w:hAnsi="Times New Roman" w:cs="宋体"/>
          <w:color w:val="auto"/>
          <w:kern w:val="2"/>
          <w:sz w:val="24"/>
          <w:szCs w:val="24"/>
          <w:highlight w:val="none"/>
          <w:lang w:val="en-US" w:eastAsia="zh-CN" w:bidi="ar"/>
        </w:rPr>
        <w:t>招标文件</w:t>
      </w:r>
      <w:r>
        <w:rPr>
          <w:rFonts w:hint="eastAsia" w:ascii="宋体" w:hAnsi="宋体" w:eastAsia="宋体" w:cs="宋体"/>
          <w:color w:val="auto"/>
          <w:kern w:val="2"/>
          <w:sz w:val="24"/>
          <w:szCs w:val="24"/>
          <w:highlight w:val="none"/>
          <w:lang w:val="en-US" w:eastAsia="zh-CN" w:bidi="ar"/>
        </w:rPr>
        <w:t>规定的包装要求进行验收，不符合包装要求的，甲方有权拒收并要求乙方负责免费更换，并承担由此给甲方造成的一切损失。</w:t>
      </w:r>
    </w:p>
    <w:p>
      <w:pPr>
        <w:keepNext w:val="0"/>
        <w:keepLines w:val="0"/>
        <w:pageBreakBefore w:val="0"/>
        <w:widowControl w:val="0"/>
        <w:suppressLineNumbers w:val="0"/>
        <w:kinsoku/>
        <w:overflowPunct/>
        <w:autoSpaceDE w:val="0"/>
        <w:autoSpaceDN/>
        <w:bidi w:val="0"/>
        <w:spacing w:beforeAutospacing="0" w:afterAutospacing="0" w:line="360" w:lineRule="auto"/>
        <w:ind w:left="0" w:right="0" w:firstLine="482" w:firstLineChars="200"/>
        <w:jc w:val="both"/>
        <w:textAlignment w:val="auto"/>
        <w:rPr>
          <w:rFonts w:hint="eastAsia" w:ascii="宋体" w:hAnsi="宋体" w:eastAsia="宋体" w:cs="宋体"/>
          <w:b/>
          <w:bCs/>
          <w:color w:val="auto"/>
          <w:kern w:val="2"/>
          <w:sz w:val="24"/>
          <w:szCs w:val="24"/>
          <w:highlight w:val="none"/>
          <w:lang w:val="en-US"/>
        </w:rPr>
      </w:pPr>
      <w:bookmarkStart w:id="64" w:name="_Toc19032"/>
      <w:bookmarkEnd w:id="64"/>
      <w:r>
        <w:rPr>
          <w:rFonts w:hint="eastAsia" w:ascii="宋体" w:hAnsi="宋体" w:eastAsia="宋体" w:cs="宋体"/>
          <w:b/>
          <w:bCs/>
          <w:color w:val="auto"/>
          <w:kern w:val="2"/>
          <w:sz w:val="24"/>
          <w:szCs w:val="24"/>
          <w:highlight w:val="none"/>
          <w:lang w:val="en-US" w:eastAsia="zh-CN" w:bidi="ar"/>
        </w:rPr>
        <w:t>第五条 包装方式及运输要求</w:t>
      </w:r>
    </w:p>
    <w:p>
      <w:pPr>
        <w:keepNext w:val="0"/>
        <w:keepLines w:val="0"/>
        <w:pageBreakBefore w:val="0"/>
        <w:widowControl w:val="0"/>
        <w:suppressLineNumbers w:val="0"/>
        <w:kinsoku/>
        <w:wordWrap w:val="0"/>
        <w:overflowPunct/>
        <w:autoSpaceDE w:val="0"/>
        <w:autoSpaceDN/>
        <w:bidi w:val="0"/>
        <w:spacing w:beforeAutospacing="0" w:afterAutospacing="0" w:line="360" w:lineRule="auto"/>
        <w:ind w:left="0" w:right="0" w:firstLine="480" w:firstLineChars="200"/>
        <w:jc w:val="left"/>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lang w:val="en-US" w:eastAsia="zh-CN" w:bidi="ar"/>
        </w:rPr>
        <w:t>(一)乙方须严格按照《商品包装政府采购需求标准(试行)》、《快递包装政府采购需求标准(试行)》(财办库〔2020〕123号)的要求进行产品及相关快递服务的包装，具体要求查询链接：</w:t>
      </w:r>
      <w:r>
        <w:rPr>
          <w:rFonts w:hint="eastAsia" w:ascii="宋体" w:hAnsi="宋体" w:eastAsia="宋体" w:cs="宋体"/>
          <w:color w:val="auto"/>
          <w:kern w:val="2"/>
          <w:sz w:val="24"/>
          <w:szCs w:val="24"/>
          <w:highlight w:val="none"/>
          <w:lang w:val="en-US" w:eastAsia="zh-CN" w:bidi="ar"/>
        </w:rPr>
        <w:fldChar w:fldCharType="begin"/>
      </w:r>
      <w:r>
        <w:rPr>
          <w:rFonts w:hint="eastAsia" w:ascii="宋体" w:hAnsi="宋体" w:eastAsia="宋体" w:cs="宋体"/>
          <w:color w:val="auto"/>
          <w:kern w:val="2"/>
          <w:sz w:val="24"/>
          <w:szCs w:val="24"/>
          <w:highlight w:val="none"/>
          <w:lang w:val="en-US" w:eastAsia="zh-CN" w:bidi="ar"/>
        </w:rPr>
        <w:instrText xml:space="preserve"> HYPERLINK "http://www.ccgp.gov.cn/zcfg/mof/202007/t20200703_14587250.htm。" </w:instrText>
      </w:r>
      <w:r>
        <w:rPr>
          <w:rFonts w:hint="eastAsia" w:ascii="宋体" w:hAnsi="宋体" w:eastAsia="宋体" w:cs="宋体"/>
          <w:color w:val="auto"/>
          <w:kern w:val="2"/>
          <w:sz w:val="24"/>
          <w:szCs w:val="24"/>
          <w:highlight w:val="none"/>
          <w:lang w:val="en-US" w:eastAsia="zh-CN" w:bidi="ar"/>
        </w:rPr>
        <w:fldChar w:fldCharType="separate"/>
      </w:r>
      <w:r>
        <w:rPr>
          <w:rFonts w:hint="eastAsia" w:ascii="宋体" w:hAnsi="宋体" w:eastAsia="宋体" w:cs="宋体"/>
          <w:color w:val="auto"/>
          <w:kern w:val="2"/>
          <w:sz w:val="24"/>
          <w:szCs w:val="24"/>
          <w:highlight w:val="none"/>
          <w:u w:val="single"/>
          <w:lang w:val="en-US"/>
        </w:rPr>
        <w:t>http://www.ccgp.gov.cn/zcfg/mof/202007/t20200703_14587250.htm。</w:t>
      </w:r>
      <w:r>
        <w:rPr>
          <w:rFonts w:hint="eastAsia" w:ascii="宋体" w:hAnsi="宋体" w:eastAsia="宋体" w:cs="宋体"/>
          <w:color w:val="auto"/>
          <w:kern w:val="2"/>
          <w:sz w:val="24"/>
          <w:szCs w:val="24"/>
          <w:highlight w:val="none"/>
          <w:lang w:val="en-US" w:eastAsia="zh-CN" w:bidi="ar"/>
        </w:rPr>
        <w:fldChar w:fldCharType="end"/>
      </w:r>
    </w:p>
    <w:p>
      <w:pPr>
        <w:keepNext w:val="0"/>
        <w:keepLines w:val="0"/>
        <w:pageBreakBefore w:val="0"/>
        <w:widowControl w:val="0"/>
        <w:suppressLineNumbers w:val="0"/>
        <w:kinsoku/>
        <w:overflowPunct/>
        <w:autoSpaceDE w:val="0"/>
        <w:autoSpaceDN/>
        <w:bidi w:val="0"/>
        <w:spacing w:beforeAutospacing="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lang w:val="en-US" w:eastAsia="zh-CN" w:bidi="ar"/>
        </w:rPr>
        <w:t>(二)乙方应当按照约定的方式交付标的物。对于包装方式没有约定或者约定不明确的，应当按照通用的方式包装；没有通用方式的，应当采取足以保护标的物且有利于节约资源，保护生态环境的包装方式。</w:t>
      </w:r>
    </w:p>
    <w:p>
      <w:pPr>
        <w:pStyle w:val="87"/>
        <w:keepNext w:val="0"/>
        <w:keepLines w:val="0"/>
        <w:pageBreakBefore w:val="0"/>
        <w:widowControl/>
        <w:kinsoku/>
        <w:overflowPunct/>
        <w:autoSpaceDE w:val="0"/>
        <w:autoSpaceDN/>
        <w:bidi w:val="0"/>
        <w:spacing w:before="0" w:beforeAutospacing="0" w:after="0" w:afterAutospacing="0" w:line="360" w:lineRule="auto"/>
        <w:ind w:left="0" w:firstLine="640"/>
        <w:textAlignment w:val="auto"/>
        <w:rPr>
          <w:rFonts w:hint="eastAsia" w:ascii="宋体" w:hAnsi="宋体" w:eastAsia="宋体" w:cs="宋体"/>
          <w:color w:val="auto"/>
          <w:sz w:val="24"/>
          <w:szCs w:val="24"/>
          <w:highlight w:val="none"/>
          <w:lang w:val="en-US"/>
        </w:rPr>
      </w:pPr>
      <w:r>
        <w:rPr>
          <w:rFonts w:hint="eastAsia" w:ascii="宋体" w:hAnsi="宋体" w:eastAsia="宋体" w:cs="宋体"/>
          <w:bCs/>
          <w:color w:val="auto"/>
          <w:sz w:val="24"/>
          <w:szCs w:val="24"/>
          <w:highlight w:val="none"/>
          <w:lang w:val="en-US"/>
        </w:rPr>
        <w:t>(</w:t>
      </w:r>
      <w:r>
        <w:rPr>
          <w:rFonts w:hint="eastAsia" w:ascii="宋体" w:hAnsi="宋体" w:eastAsia="宋体" w:cs="宋体"/>
          <w:bCs/>
          <w:color w:val="auto"/>
          <w:sz w:val="24"/>
          <w:szCs w:val="24"/>
          <w:highlight w:val="none"/>
          <w:lang w:eastAsia="zh-CN"/>
        </w:rPr>
        <w:t>三</w:t>
      </w:r>
      <w:r>
        <w:rPr>
          <w:rFonts w:hint="eastAsia" w:ascii="宋体" w:hAnsi="宋体" w:eastAsia="宋体" w:cs="宋体"/>
          <w:bCs/>
          <w:color w:val="auto"/>
          <w:sz w:val="24"/>
          <w:szCs w:val="24"/>
          <w:highlight w:val="none"/>
          <w:lang w:val="en-US"/>
        </w:rPr>
        <w:t>)</w:t>
      </w:r>
      <w:r>
        <w:rPr>
          <w:rFonts w:hint="eastAsia" w:ascii="宋体" w:hAnsi="宋体" w:eastAsia="宋体" w:cs="宋体"/>
          <w:color w:val="auto"/>
          <w:sz w:val="24"/>
          <w:szCs w:val="24"/>
          <w:highlight w:val="none"/>
          <w:lang w:eastAsia="zh-CN"/>
        </w:rPr>
        <w:t>本次采购的标的物需要运输，乙方在合同约定的时间内将标的物运输至合同约定地点。</w:t>
      </w:r>
    </w:p>
    <w:p>
      <w:pPr>
        <w:pStyle w:val="87"/>
        <w:keepNext w:val="0"/>
        <w:keepLines w:val="0"/>
        <w:pageBreakBefore w:val="0"/>
        <w:widowControl/>
        <w:kinsoku/>
        <w:overflowPunct/>
        <w:autoSpaceDE w:val="0"/>
        <w:autoSpaceDN/>
        <w:bidi w:val="0"/>
        <w:spacing w:before="0" w:beforeAutospacing="0" w:after="0" w:afterAutospacing="0" w:line="360" w:lineRule="auto"/>
        <w:ind w:left="0" w:firstLine="640"/>
        <w:textAlignment w:val="auto"/>
        <w:rPr>
          <w:rFonts w:hint="eastAsia" w:ascii="宋体" w:hAnsi="宋体" w:eastAsia="宋体" w:cs="宋体"/>
          <w:color w:val="auto"/>
          <w:sz w:val="24"/>
          <w:szCs w:val="24"/>
          <w:highlight w:val="none"/>
          <w:lang w:val="en-US"/>
        </w:rPr>
      </w:pPr>
      <w:r>
        <w:rPr>
          <w:rFonts w:hint="eastAsia" w:ascii="宋体" w:hAnsi="宋体" w:eastAsia="宋体" w:cs="宋体"/>
          <w:bCs/>
          <w:color w:val="auto"/>
          <w:sz w:val="24"/>
          <w:szCs w:val="24"/>
          <w:highlight w:val="none"/>
          <w:lang w:val="en-US"/>
        </w:rPr>
        <w:t>(</w:t>
      </w:r>
      <w:r>
        <w:rPr>
          <w:rFonts w:hint="eastAsia" w:ascii="宋体" w:hAnsi="宋体" w:eastAsia="宋体" w:cs="宋体"/>
          <w:bCs/>
          <w:color w:val="auto"/>
          <w:sz w:val="24"/>
          <w:szCs w:val="24"/>
          <w:highlight w:val="none"/>
          <w:lang w:eastAsia="zh-CN"/>
        </w:rPr>
        <w:t>四</w:t>
      </w:r>
      <w:r>
        <w:rPr>
          <w:rFonts w:hint="eastAsia" w:ascii="宋体" w:hAnsi="宋体" w:eastAsia="宋体" w:cs="宋体"/>
          <w:bCs/>
          <w:color w:val="auto"/>
          <w:sz w:val="24"/>
          <w:szCs w:val="24"/>
          <w:highlight w:val="none"/>
          <w:lang w:val="en-US"/>
        </w:rPr>
        <w:t>)</w:t>
      </w:r>
      <w:r>
        <w:rPr>
          <w:rFonts w:hint="eastAsia" w:ascii="宋体" w:hAnsi="宋体" w:eastAsia="宋体" w:cs="宋体"/>
          <w:color w:val="auto"/>
          <w:sz w:val="24"/>
          <w:szCs w:val="24"/>
          <w:highlight w:val="none"/>
          <w:lang w:eastAsia="zh-CN"/>
        </w:rPr>
        <w:t>乙方按照约定将标的物运送至甲方指定地点并完成交付的或甲方违反约定不予收取的，标的物损毁、灭失的风险由甲方承担。</w:t>
      </w:r>
    </w:p>
    <w:p>
      <w:pPr>
        <w:keepNext w:val="0"/>
        <w:keepLines w:val="0"/>
        <w:pageBreakBefore w:val="0"/>
        <w:widowControl w:val="0"/>
        <w:suppressLineNumbers w:val="0"/>
        <w:kinsoku/>
        <w:overflowPunct/>
        <w:autoSpaceDE w:val="0"/>
        <w:autoSpaceDN/>
        <w:bidi w:val="0"/>
        <w:spacing w:beforeAutospacing="0" w:afterAutospacing="0" w:line="360" w:lineRule="auto"/>
        <w:ind w:left="0" w:right="0" w:firstLine="482" w:firstLineChars="200"/>
        <w:jc w:val="both"/>
        <w:textAlignment w:val="auto"/>
        <w:rPr>
          <w:rFonts w:hint="eastAsia" w:ascii="宋体" w:hAnsi="宋体" w:eastAsia="宋体" w:cs="宋体"/>
          <w:b/>
          <w:bCs/>
          <w:color w:val="auto"/>
          <w:kern w:val="2"/>
          <w:sz w:val="24"/>
          <w:szCs w:val="24"/>
          <w:highlight w:val="none"/>
          <w:lang w:val="en-US" w:eastAsia="zh-CN" w:bidi="ar"/>
        </w:rPr>
      </w:pPr>
      <w:bookmarkStart w:id="65" w:name="_Toc16676"/>
      <w:bookmarkEnd w:id="65"/>
      <w:bookmarkStart w:id="66" w:name="_Toc24419"/>
      <w:r>
        <w:rPr>
          <w:rFonts w:hint="eastAsia" w:ascii="宋体" w:hAnsi="宋体" w:eastAsia="宋体" w:cs="宋体"/>
          <w:b/>
          <w:bCs/>
          <w:color w:val="auto"/>
          <w:kern w:val="2"/>
          <w:sz w:val="24"/>
          <w:szCs w:val="24"/>
          <w:highlight w:val="none"/>
          <w:lang w:val="en-US" w:eastAsia="zh-CN" w:bidi="ar"/>
        </w:rPr>
        <w:t>第六条 验收要求</w:t>
      </w:r>
      <w:bookmarkEnd w:id="66"/>
    </w:p>
    <w:p>
      <w:pPr>
        <w:pStyle w:val="85"/>
        <w:keepNext w:val="0"/>
        <w:keepLines w:val="0"/>
        <w:pageBreakBefore w:val="0"/>
        <w:widowControl/>
        <w:kinsoku/>
        <w:overflowPunct/>
        <w:autoSpaceDE w:val="0"/>
        <w:autoSpaceDN/>
        <w:bidi w:val="0"/>
        <w:spacing w:before="0" w:beforeAutospacing="0" w:after="0" w:afterAutospacing="0" w:line="360" w:lineRule="auto"/>
        <w:ind w:left="0" w:firstLine="64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eastAsia="zh-CN"/>
        </w:rPr>
        <w:t>验收由甲方组织，乙方配合进行。</w:t>
      </w:r>
    </w:p>
    <w:p>
      <w:pPr>
        <w:pStyle w:val="85"/>
        <w:keepNext w:val="0"/>
        <w:keepLines w:val="0"/>
        <w:pageBreakBefore w:val="0"/>
        <w:widowControl/>
        <w:kinsoku/>
        <w:overflowPunct/>
        <w:autoSpaceDE w:val="0"/>
        <w:autoSpaceDN/>
        <w:bidi w:val="0"/>
        <w:spacing w:before="0" w:beforeAutospacing="0" w:after="0" w:afterAutospacing="0" w:line="360" w:lineRule="auto"/>
        <w:ind w:left="0" w:firstLine="64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eastAsia="zh-CN"/>
        </w:rPr>
        <w:t>货物在乙方通知安装调试完毕后</w:t>
      </w:r>
      <w:r>
        <w:rPr>
          <w:rFonts w:hint="eastAsia" w:ascii="宋体" w:hAnsi="宋体" w:eastAsia="宋体" w:cs="宋体"/>
          <w:color w:val="auto"/>
          <w:sz w:val="24"/>
          <w:szCs w:val="24"/>
          <w:highlight w:val="none"/>
          <w:lang w:val="en-US"/>
        </w:rPr>
        <w:t>3</w:t>
      </w:r>
      <w:r>
        <w:rPr>
          <w:rFonts w:hint="eastAsia" w:ascii="宋体" w:hAnsi="宋体" w:eastAsia="宋体" w:cs="宋体"/>
          <w:color w:val="auto"/>
          <w:sz w:val="24"/>
          <w:szCs w:val="24"/>
          <w:highlight w:val="none"/>
          <w:lang w:eastAsia="zh-CN"/>
        </w:rPr>
        <w:t>日内初步验收。初步验收合格后，进入</w:t>
      </w:r>
      <w:r>
        <w:rPr>
          <w:rFonts w:hint="eastAsia" w:ascii="宋体" w:hAnsi="宋体" w:eastAsia="宋体" w:cs="宋体"/>
          <w:color w:val="auto"/>
          <w:sz w:val="24"/>
          <w:szCs w:val="24"/>
          <w:highlight w:val="none"/>
          <w:lang w:val="en-US"/>
        </w:rPr>
        <w:t>15</w:t>
      </w:r>
      <w:r>
        <w:rPr>
          <w:rFonts w:hint="eastAsia" w:ascii="宋体" w:hAnsi="宋体" w:eastAsia="宋体" w:cs="宋体"/>
          <w:color w:val="auto"/>
          <w:sz w:val="24"/>
          <w:szCs w:val="24"/>
          <w:highlight w:val="none"/>
          <w:lang w:eastAsia="zh-CN"/>
        </w:rPr>
        <w:t>日试用期；试用期间发生重大质量问题，修复后试用相应顺延；试用期结束后</w:t>
      </w:r>
      <w:r>
        <w:rPr>
          <w:rFonts w:hint="eastAsia" w:ascii="宋体" w:hAnsi="宋体" w:eastAsia="宋体" w:cs="宋体"/>
          <w:color w:val="auto"/>
          <w:sz w:val="24"/>
          <w:szCs w:val="24"/>
          <w:highlight w:val="none"/>
          <w:lang w:val="en-US"/>
        </w:rPr>
        <w:t>3</w:t>
      </w:r>
      <w:r>
        <w:rPr>
          <w:rFonts w:hint="eastAsia" w:ascii="宋体" w:hAnsi="宋体" w:eastAsia="宋体" w:cs="宋体"/>
          <w:color w:val="auto"/>
          <w:sz w:val="24"/>
          <w:szCs w:val="24"/>
          <w:highlight w:val="none"/>
          <w:lang w:eastAsia="zh-CN"/>
        </w:rPr>
        <w:t>日内完成最终验收。</w:t>
      </w:r>
    </w:p>
    <w:p>
      <w:pPr>
        <w:pStyle w:val="85"/>
        <w:keepNext w:val="0"/>
        <w:keepLines w:val="0"/>
        <w:pageBreakBefore w:val="0"/>
        <w:widowControl/>
        <w:kinsoku/>
        <w:overflowPunct/>
        <w:autoSpaceDE w:val="0"/>
        <w:autoSpaceDN/>
        <w:bidi w:val="0"/>
        <w:spacing w:before="0" w:beforeAutospacing="0" w:after="0" w:afterAutospacing="0" w:line="360" w:lineRule="auto"/>
        <w:ind w:left="0" w:firstLine="64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eastAsia="zh-CN"/>
        </w:rPr>
        <w:t>验收标准：按国家有关规定以及甲方采购文件的质量要求和技术指标、乙方的</w:t>
      </w:r>
      <w:r>
        <w:rPr>
          <w:rFonts w:hint="eastAsia" w:cs="宋体"/>
          <w:color w:val="auto"/>
          <w:sz w:val="24"/>
          <w:szCs w:val="24"/>
          <w:highlight w:val="none"/>
          <w:lang w:eastAsia="zh-CN"/>
        </w:rPr>
        <w:t>投标文件</w:t>
      </w:r>
      <w:r>
        <w:rPr>
          <w:rFonts w:hint="eastAsia" w:ascii="宋体" w:hAnsi="宋体" w:eastAsia="宋体" w:cs="宋体"/>
          <w:color w:val="auto"/>
          <w:sz w:val="24"/>
          <w:szCs w:val="24"/>
          <w:highlight w:val="none"/>
          <w:lang w:eastAsia="zh-CN"/>
        </w:rPr>
        <w:t>及承诺与本合同约定标准进行验收；甲乙双方如对质量要求和技术指标的约定标准有相互抵触或异议的事项，由甲方在</w:t>
      </w:r>
      <w:r>
        <w:rPr>
          <w:rFonts w:hint="eastAsia" w:cs="宋体"/>
          <w:color w:val="auto"/>
          <w:sz w:val="24"/>
          <w:szCs w:val="24"/>
          <w:highlight w:val="none"/>
          <w:lang w:eastAsia="zh-CN"/>
        </w:rPr>
        <w:t>投标文件</w:t>
      </w:r>
      <w:r>
        <w:rPr>
          <w:rFonts w:hint="eastAsia" w:ascii="宋体" w:hAnsi="宋体" w:eastAsia="宋体" w:cs="宋体"/>
          <w:color w:val="auto"/>
          <w:sz w:val="24"/>
          <w:szCs w:val="24"/>
          <w:highlight w:val="none"/>
          <w:lang w:eastAsia="zh-CN"/>
        </w:rPr>
        <w:t>中按质量要求和技术指标比较优胜的原则确定该项的约定标准进行验收。</w:t>
      </w:r>
    </w:p>
    <w:p>
      <w:pPr>
        <w:pStyle w:val="85"/>
        <w:keepNext w:val="0"/>
        <w:keepLines w:val="0"/>
        <w:pageBreakBefore w:val="0"/>
        <w:widowControl/>
        <w:kinsoku/>
        <w:overflowPunct/>
        <w:autoSpaceDE w:val="0"/>
        <w:autoSpaceDN/>
        <w:bidi w:val="0"/>
        <w:spacing w:before="0" w:beforeAutospacing="0" w:after="0" w:afterAutospacing="0" w:line="360" w:lineRule="auto"/>
        <w:ind w:left="0" w:firstLine="64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eastAsia="zh-CN"/>
        </w:rPr>
        <w:t>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pStyle w:val="85"/>
        <w:keepNext w:val="0"/>
        <w:keepLines w:val="0"/>
        <w:pageBreakBefore w:val="0"/>
        <w:widowControl/>
        <w:kinsoku/>
        <w:overflowPunct/>
        <w:autoSpaceDE w:val="0"/>
        <w:autoSpaceDN/>
        <w:bidi w:val="0"/>
        <w:spacing w:before="0" w:beforeAutospacing="0" w:after="0" w:afterAutospacing="0" w:line="360" w:lineRule="auto"/>
        <w:ind w:left="0" w:firstLine="64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eastAsia="zh-CN"/>
        </w:rPr>
        <w:t>五</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eastAsia="zh-CN"/>
        </w:rPr>
        <w:t>如质量验收合格，双方签署质量验收报告。</w:t>
      </w:r>
    </w:p>
    <w:p>
      <w:pPr>
        <w:pStyle w:val="85"/>
        <w:keepNext w:val="0"/>
        <w:keepLines w:val="0"/>
        <w:pageBreakBefore w:val="0"/>
        <w:widowControl/>
        <w:kinsoku/>
        <w:overflowPunct/>
        <w:autoSpaceDE w:val="0"/>
        <w:autoSpaceDN/>
        <w:bidi w:val="0"/>
        <w:spacing w:before="0" w:beforeAutospacing="0" w:after="0" w:afterAutospacing="0" w:line="360" w:lineRule="auto"/>
        <w:ind w:left="0" w:firstLine="64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eastAsia="zh-CN"/>
        </w:rPr>
        <w:t>六</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eastAsia="zh-CN"/>
        </w:rPr>
        <w:t>货物安装完成后</w:t>
      </w:r>
      <w:r>
        <w:rPr>
          <w:rFonts w:hint="eastAsia" w:ascii="宋体" w:hAnsi="宋体" w:eastAsia="宋体" w:cs="宋体"/>
          <w:color w:val="auto"/>
          <w:sz w:val="24"/>
          <w:szCs w:val="24"/>
          <w:highlight w:val="none"/>
          <w:lang w:val="en-US"/>
        </w:rPr>
        <w:t>30</w:t>
      </w:r>
      <w:r>
        <w:rPr>
          <w:rFonts w:hint="eastAsia" w:ascii="宋体" w:hAnsi="宋体" w:eastAsia="宋体" w:cs="宋体"/>
          <w:color w:val="auto"/>
          <w:sz w:val="24"/>
          <w:szCs w:val="24"/>
          <w:highlight w:val="none"/>
          <w:lang w:eastAsia="zh-CN"/>
        </w:rPr>
        <w:t>日内，甲方无故不进行验收工作并已使用货物的，视同已安装调试完成并验收合格。</w:t>
      </w:r>
    </w:p>
    <w:p>
      <w:pPr>
        <w:pStyle w:val="85"/>
        <w:keepNext w:val="0"/>
        <w:keepLines w:val="0"/>
        <w:pageBreakBefore w:val="0"/>
        <w:widowControl/>
        <w:kinsoku/>
        <w:overflowPunct/>
        <w:autoSpaceDE w:val="0"/>
        <w:autoSpaceDN/>
        <w:bidi w:val="0"/>
        <w:spacing w:before="0" w:beforeAutospacing="0" w:after="0" w:afterAutospacing="0" w:line="360" w:lineRule="auto"/>
        <w:ind w:left="0" w:firstLine="64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eastAsia="zh-CN"/>
        </w:rPr>
        <w:t>七</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eastAsia="zh-CN"/>
        </w:rPr>
        <w:t>乙方应将所提供货物的装箱清单、配件、随机工具、用户使用手册、原厂保修卡等资料交付给甲方；乙方不能完整交付货物及本款规定的单证和工具的，必须负责补齐，否则视为未按合同约定交货。</w:t>
      </w:r>
    </w:p>
    <w:p>
      <w:pPr>
        <w:pStyle w:val="85"/>
        <w:keepNext w:val="0"/>
        <w:keepLines w:val="0"/>
        <w:pageBreakBefore w:val="0"/>
        <w:widowControl/>
        <w:kinsoku/>
        <w:overflowPunct/>
        <w:autoSpaceDE w:val="0"/>
        <w:autoSpaceDN/>
        <w:bidi w:val="0"/>
        <w:spacing w:before="0" w:beforeAutospacing="0" w:after="0" w:afterAutospacing="0" w:line="360" w:lineRule="auto"/>
        <w:ind w:left="0" w:firstLine="64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eastAsia="zh-CN"/>
        </w:rPr>
        <w:t>八</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eastAsia="zh-CN"/>
        </w:rPr>
        <w:t>如货物经乙方</w:t>
      </w:r>
      <w:r>
        <w:rPr>
          <w:rFonts w:hint="eastAsia" w:ascii="宋体" w:hAnsi="宋体" w:eastAsia="宋体" w:cs="宋体"/>
          <w:color w:val="auto"/>
          <w:sz w:val="24"/>
          <w:szCs w:val="24"/>
          <w:highlight w:val="none"/>
          <w:lang w:val="en-US"/>
        </w:rPr>
        <w:t>3</w:t>
      </w:r>
      <w:r>
        <w:rPr>
          <w:rFonts w:hint="eastAsia" w:ascii="宋体" w:hAnsi="宋体" w:eastAsia="宋体" w:cs="宋体"/>
          <w:color w:val="auto"/>
          <w:sz w:val="24"/>
          <w:szCs w:val="24"/>
          <w:highlight w:val="none"/>
          <w:lang w:eastAsia="zh-CN"/>
        </w:rPr>
        <w:t>次维修仍不能达到合同约定的质量标准，甲方有权退货，并视作乙方不能交付货物而违约，甲方可依法依约追究乙方的违约责任。</w:t>
      </w:r>
    </w:p>
    <w:p>
      <w:pPr>
        <w:pStyle w:val="85"/>
        <w:keepNext w:val="0"/>
        <w:keepLines w:val="0"/>
        <w:pageBreakBefore w:val="0"/>
        <w:widowControl/>
        <w:kinsoku/>
        <w:overflowPunct/>
        <w:autoSpaceDE w:val="0"/>
        <w:autoSpaceDN/>
        <w:bidi w:val="0"/>
        <w:spacing w:before="0" w:beforeAutospacing="0" w:after="0" w:afterAutospacing="0" w:line="360" w:lineRule="auto"/>
        <w:ind w:left="0" w:firstLine="64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eastAsia="zh-CN"/>
        </w:rPr>
        <w:t>九</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eastAsia="zh-CN"/>
        </w:rPr>
        <w:t>其他未尽事宜应严格按照《财政部关于进一步加强政府采购需求和履约验收管理的指导意见》</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eastAsia="zh-CN"/>
        </w:rPr>
        <w:t>财库〔</w:t>
      </w:r>
      <w:r>
        <w:rPr>
          <w:rFonts w:hint="eastAsia" w:ascii="宋体" w:hAnsi="宋体" w:eastAsia="宋体" w:cs="宋体"/>
          <w:color w:val="auto"/>
          <w:sz w:val="24"/>
          <w:szCs w:val="24"/>
          <w:highlight w:val="none"/>
          <w:lang w:val="en-US"/>
        </w:rPr>
        <w:t>2016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rPr>
        <w:t>205</w:t>
      </w:r>
      <w:r>
        <w:rPr>
          <w:rFonts w:hint="eastAsia" w:ascii="宋体" w:hAnsi="宋体" w:eastAsia="宋体" w:cs="宋体"/>
          <w:color w:val="auto"/>
          <w:sz w:val="24"/>
          <w:szCs w:val="24"/>
          <w:highlight w:val="none"/>
          <w:lang w:eastAsia="zh-CN"/>
        </w:rPr>
        <w:t>号</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eastAsia="zh-CN"/>
        </w:rPr>
        <w:t>和甲方相关要求进行验收。</w:t>
      </w:r>
    </w:p>
    <w:p>
      <w:pPr>
        <w:keepNext w:val="0"/>
        <w:keepLines w:val="0"/>
        <w:pageBreakBefore w:val="0"/>
        <w:widowControl w:val="0"/>
        <w:suppressLineNumbers w:val="0"/>
        <w:kinsoku/>
        <w:overflowPunct/>
        <w:autoSpaceDE w:val="0"/>
        <w:autoSpaceDN/>
        <w:bidi w:val="0"/>
        <w:spacing w:beforeAutospacing="0" w:afterAutospacing="0" w:line="360" w:lineRule="auto"/>
        <w:ind w:left="0" w:right="0" w:firstLine="482" w:firstLineChars="200"/>
        <w:jc w:val="both"/>
        <w:textAlignment w:val="auto"/>
        <w:rPr>
          <w:rFonts w:hint="eastAsia" w:ascii="宋体" w:hAnsi="宋体" w:eastAsia="宋体" w:cs="宋体"/>
          <w:b/>
          <w:bCs/>
          <w:color w:val="auto"/>
          <w:kern w:val="2"/>
          <w:sz w:val="24"/>
          <w:szCs w:val="24"/>
          <w:highlight w:val="none"/>
          <w:lang w:val="en-US" w:eastAsia="zh-CN" w:bidi="ar"/>
        </w:rPr>
      </w:pPr>
      <w:bookmarkStart w:id="67" w:name="_Toc16952"/>
      <w:bookmarkEnd w:id="67"/>
      <w:bookmarkStart w:id="68" w:name="_Toc27152"/>
      <w:bookmarkEnd w:id="68"/>
      <w:bookmarkStart w:id="69" w:name="_Toc30836"/>
      <w:bookmarkEnd w:id="69"/>
      <w:bookmarkStart w:id="70" w:name="_Toc24040"/>
      <w:bookmarkEnd w:id="70"/>
      <w:bookmarkStart w:id="71" w:name="_Toc217446111"/>
      <w:bookmarkEnd w:id="71"/>
      <w:bookmarkStart w:id="72" w:name="_Toc26797"/>
      <w:bookmarkEnd w:id="72"/>
      <w:bookmarkStart w:id="73" w:name="_Toc12397"/>
      <w:bookmarkEnd w:id="73"/>
      <w:bookmarkStart w:id="74" w:name="_Toc13487"/>
      <w:bookmarkEnd w:id="74"/>
      <w:bookmarkStart w:id="75" w:name="_Toc23384"/>
      <w:r>
        <w:rPr>
          <w:rFonts w:hint="eastAsia" w:ascii="宋体" w:hAnsi="宋体" w:eastAsia="宋体" w:cs="宋体"/>
          <w:b/>
          <w:bCs/>
          <w:color w:val="auto"/>
          <w:kern w:val="2"/>
          <w:sz w:val="24"/>
          <w:szCs w:val="24"/>
          <w:highlight w:val="none"/>
          <w:lang w:val="en-US" w:eastAsia="zh-CN" w:bidi="ar"/>
        </w:rPr>
        <w:t xml:space="preserve">第七条 </w:t>
      </w:r>
      <w:bookmarkEnd w:id="75"/>
      <w:r>
        <w:rPr>
          <w:rFonts w:hint="eastAsia" w:ascii="宋体" w:hAnsi="宋体" w:eastAsia="宋体" w:cs="宋体"/>
          <w:b/>
          <w:bCs/>
          <w:color w:val="auto"/>
          <w:kern w:val="2"/>
          <w:sz w:val="24"/>
          <w:szCs w:val="24"/>
          <w:highlight w:val="none"/>
          <w:lang w:val="en-US" w:eastAsia="zh-CN" w:bidi="ar"/>
        </w:rPr>
        <w:t>付款方式</w:t>
      </w:r>
    </w:p>
    <w:p>
      <w:pPr>
        <w:pStyle w:val="85"/>
        <w:keepNext w:val="0"/>
        <w:keepLines w:val="0"/>
        <w:pageBreakBefore w:val="0"/>
        <w:widowControl/>
        <w:kinsoku/>
        <w:overflowPunct/>
        <w:autoSpaceDE w:val="0"/>
        <w:autoSpaceDN/>
        <w:bidi w:val="0"/>
        <w:spacing w:before="0" w:beforeAutospacing="0" w:after="0" w:afterAutospacing="0" w:line="360" w:lineRule="auto"/>
        <w:ind w:left="0" w:firstLine="640"/>
        <w:textAlignment w:val="auto"/>
        <w:rPr>
          <w:rFonts w:hint="eastAsia" w:ascii="宋体" w:hAnsi="宋体" w:eastAsia="宋体" w:cs="宋体"/>
          <w:color w:val="auto"/>
          <w:sz w:val="24"/>
          <w:szCs w:val="24"/>
          <w:highlight w:val="none"/>
          <w:lang w:val="en-US" w:eastAsia="zh-CN"/>
        </w:rPr>
      </w:pPr>
      <w:bookmarkStart w:id="76" w:name="_Toc2843"/>
      <w:bookmarkEnd w:id="76"/>
      <w:bookmarkStart w:id="77" w:name="_Toc8259"/>
      <w:bookmarkEnd w:id="77"/>
      <w:bookmarkStart w:id="78" w:name="_Toc30733"/>
      <w:bookmarkEnd w:id="78"/>
      <w:bookmarkStart w:id="79" w:name="_Toc23620"/>
      <w:bookmarkEnd w:id="79"/>
      <w:bookmarkStart w:id="80" w:name="_Toc217446112"/>
      <w:bookmarkEnd w:id="80"/>
      <w:bookmarkStart w:id="81" w:name="_Toc9108"/>
      <w:bookmarkEnd w:id="81"/>
      <w:bookmarkStart w:id="82" w:name="_Toc18045"/>
      <w:bookmarkEnd w:id="82"/>
      <w:bookmarkStart w:id="83" w:name="_Toc29807"/>
      <w:bookmarkEnd w:id="83"/>
      <w:bookmarkStart w:id="84" w:name="_Toc4255"/>
      <w:r>
        <w:rPr>
          <w:rFonts w:hint="eastAsia" w:ascii="宋体" w:hAnsi="宋体" w:eastAsia="宋体" w:cs="宋体"/>
          <w:color w:val="auto"/>
          <w:kern w:val="0"/>
          <w:sz w:val="24"/>
          <w:szCs w:val="24"/>
          <w:highlight w:val="none"/>
          <w:lang w:val="zh-CN"/>
        </w:rPr>
        <w:t>合同签订后，货款结算方式：按月实际用量结算，次月收到发票及相关凭证后30日内，支付上月结算货款。</w:t>
      </w:r>
      <w:r>
        <w:rPr>
          <w:rFonts w:hint="eastAsia" w:ascii="宋体" w:hAnsi="宋体" w:eastAsia="宋体" w:cs="宋体"/>
          <w:color w:val="auto"/>
          <w:kern w:val="0"/>
          <w:sz w:val="24"/>
          <w:szCs w:val="24"/>
          <w:highlight w:val="none"/>
          <w:lang w:val="zh-CN" w:eastAsia="zh-CN"/>
        </w:rPr>
        <w:t>（</w:t>
      </w:r>
      <w:r>
        <w:rPr>
          <w:rFonts w:hint="eastAsia" w:ascii="宋体" w:hAnsi="宋体" w:eastAsia="宋体" w:cs="宋体"/>
          <w:color w:val="auto"/>
          <w:kern w:val="0"/>
          <w:sz w:val="24"/>
          <w:szCs w:val="24"/>
          <w:highlight w:val="none"/>
          <w:lang w:val="zh-CN"/>
        </w:rPr>
        <w:t>付款前，乙方须向甲方出具合法有效完整的发票及凭证资料后进行支付结算，付款方式均采用公对公的银行转账，甲方接受转账的开户信息以合同载明的为准。如因乙方未按照要求提供合法有效的发票导致逾期付款的，不视为甲方违约，甲方不承担任何责任。</w:t>
      </w:r>
      <w:r>
        <w:rPr>
          <w:rFonts w:hint="eastAsia" w:ascii="宋体" w:hAnsi="宋体" w:eastAsia="宋体" w:cs="宋体"/>
          <w:color w:val="auto"/>
          <w:kern w:val="0"/>
          <w:sz w:val="24"/>
          <w:szCs w:val="24"/>
          <w:highlight w:val="none"/>
          <w:lang w:val="zh-CN" w:eastAsia="zh-CN"/>
        </w:rPr>
        <w:t>）</w:t>
      </w:r>
    </w:p>
    <w:bookmarkEnd w:id="84"/>
    <w:p>
      <w:pPr>
        <w:keepNext w:val="0"/>
        <w:keepLines w:val="0"/>
        <w:pageBreakBefore w:val="0"/>
        <w:widowControl w:val="0"/>
        <w:suppressLineNumbers w:val="0"/>
        <w:kinsoku/>
        <w:overflowPunct/>
        <w:autoSpaceDE w:val="0"/>
        <w:autoSpaceDN/>
        <w:bidi w:val="0"/>
        <w:spacing w:beforeAutospacing="0" w:afterAutospacing="0" w:line="360" w:lineRule="auto"/>
        <w:ind w:left="0" w:right="0" w:firstLine="482" w:firstLineChars="200"/>
        <w:jc w:val="both"/>
        <w:textAlignment w:val="auto"/>
        <w:rPr>
          <w:rFonts w:hint="eastAsia" w:ascii="宋体" w:hAnsi="宋体" w:eastAsia="宋体" w:cs="宋体"/>
          <w:b/>
          <w:bCs/>
          <w:color w:val="auto"/>
          <w:kern w:val="2"/>
          <w:sz w:val="24"/>
          <w:szCs w:val="24"/>
          <w:highlight w:val="none"/>
          <w:lang w:val="en-US" w:eastAsia="zh-CN" w:bidi="ar"/>
        </w:rPr>
      </w:pPr>
      <w:bookmarkStart w:id="85" w:name="_Toc3092"/>
      <w:bookmarkEnd w:id="85"/>
      <w:bookmarkStart w:id="86" w:name="_Toc2971"/>
      <w:r>
        <w:rPr>
          <w:rFonts w:hint="eastAsia" w:ascii="宋体" w:hAnsi="宋体" w:eastAsia="宋体" w:cs="宋体"/>
          <w:b/>
          <w:bCs/>
          <w:color w:val="auto"/>
          <w:kern w:val="2"/>
          <w:sz w:val="24"/>
          <w:szCs w:val="24"/>
          <w:highlight w:val="none"/>
          <w:lang w:val="en-US" w:eastAsia="zh-CN" w:bidi="ar"/>
        </w:rPr>
        <w:t xml:space="preserve">第八条 </w:t>
      </w:r>
      <w:bookmarkEnd w:id="86"/>
      <w:r>
        <w:rPr>
          <w:rFonts w:hint="eastAsia" w:ascii="宋体" w:hAnsi="宋体" w:eastAsia="宋体" w:cs="宋体"/>
          <w:b/>
          <w:bCs/>
          <w:color w:val="auto"/>
          <w:kern w:val="2"/>
          <w:sz w:val="24"/>
          <w:szCs w:val="24"/>
          <w:highlight w:val="none"/>
          <w:lang w:val="en-US" w:eastAsia="zh-CN" w:bidi="ar"/>
        </w:rPr>
        <w:t>违约责任</w:t>
      </w:r>
    </w:p>
    <w:p>
      <w:pPr>
        <w:pStyle w:val="86"/>
        <w:keepNext w:val="0"/>
        <w:keepLines w:val="0"/>
        <w:pageBreakBefore w:val="0"/>
        <w:widowControl/>
        <w:kinsoku/>
        <w:overflowPunct/>
        <w:autoSpaceDE w:val="0"/>
        <w:autoSpaceDN/>
        <w:bidi w:val="0"/>
        <w:spacing w:before="0" w:beforeAutospacing="0" w:after="0" w:afterAutospacing="0" w:line="360" w:lineRule="auto"/>
        <w:ind w:left="0" w:firstLine="480" w:firstLineChars="200"/>
        <w:textAlignment w:val="auto"/>
        <w:rPr>
          <w:rFonts w:hint="eastAsia" w:ascii="宋体" w:hAnsi="宋体" w:eastAsia="宋体" w:cs="宋体"/>
          <w:color w:val="auto"/>
          <w:sz w:val="24"/>
          <w:szCs w:val="24"/>
          <w:highlight w:val="none"/>
          <w:lang w:val="en-US"/>
        </w:rPr>
      </w:pPr>
      <w:bookmarkStart w:id="87" w:name="_Toc7980"/>
      <w:bookmarkEnd w:id="87"/>
      <w:bookmarkStart w:id="88" w:name="_Toc217446114"/>
      <w:bookmarkEnd w:id="88"/>
      <w:bookmarkStart w:id="89" w:name="_Toc7150"/>
      <w:bookmarkEnd w:id="89"/>
      <w:bookmarkStart w:id="90" w:name="_Toc25607"/>
      <w:bookmarkEnd w:id="90"/>
      <w:bookmarkStart w:id="91" w:name="_Toc22826"/>
      <w:bookmarkEnd w:id="91"/>
      <w:bookmarkStart w:id="92" w:name="_Toc29862"/>
      <w:bookmarkEnd w:id="92"/>
      <w:bookmarkStart w:id="93" w:name="_Toc30469"/>
      <w:bookmarkEnd w:id="93"/>
      <w:bookmarkStart w:id="94" w:name="_Toc2489"/>
      <w:r>
        <w:rPr>
          <w:rFonts w:hint="eastAsia" w:ascii="宋体" w:hAnsi="宋体" w:eastAsia="宋体" w:cs="宋体"/>
          <w:color w:val="auto"/>
          <w:sz w:val="24"/>
          <w:szCs w:val="24"/>
          <w:highlight w:val="none"/>
          <w:lang w:val="en-US"/>
        </w:rPr>
        <w:t>(</w:t>
      </w:r>
      <w:bookmarkEnd w:id="94"/>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eastAsia="zh-CN"/>
        </w:rPr>
        <w:t>甲方违约责任</w:t>
      </w:r>
    </w:p>
    <w:p>
      <w:pPr>
        <w:pStyle w:val="86"/>
        <w:keepNext w:val="0"/>
        <w:keepLines w:val="0"/>
        <w:pageBreakBefore w:val="0"/>
        <w:widowControl/>
        <w:kinsoku/>
        <w:overflowPunct/>
        <w:autoSpaceDE w:val="0"/>
        <w:autoSpaceDN/>
        <w:bidi w:val="0"/>
        <w:spacing w:before="0" w:beforeAutospacing="0" w:after="0" w:afterAutospacing="0" w:line="360" w:lineRule="auto"/>
        <w:ind w:left="0"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w:t>
      </w:r>
      <w:r>
        <w:rPr>
          <w:rFonts w:hint="eastAsia" w:ascii="宋体" w:hAnsi="宋体" w:eastAsia="宋体" w:cs="宋体"/>
          <w:color w:val="auto"/>
          <w:sz w:val="24"/>
          <w:szCs w:val="24"/>
          <w:highlight w:val="none"/>
          <w:lang w:eastAsia="zh-CN"/>
        </w:rPr>
        <w:t>甲方逾期支付货款的，除应及时付足货款外，应向乙方偿付欠款总额万分之一</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eastAsia="zh-CN"/>
        </w:rPr>
        <w:t>天的违约金；逾期付款超过</w:t>
      </w:r>
      <w:r>
        <w:rPr>
          <w:rFonts w:hint="eastAsia" w:ascii="宋体" w:hAnsi="宋体" w:eastAsia="宋体" w:cs="宋体"/>
          <w:color w:val="auto"/>
          <w:sz w:val="24"/>
          <w:szCs w:val="24"/>
          <w:highlight w:val="none"/>
          <w:lang w:val="en-US"/>
        </w:rPr>
        <w:t>30</w:t>
      </w:r>
      <w:r>
        <w:rPr>
          <w:rFonts w:hint="eastAsia" w:ascii="宋体" w:hAnsi="宋体" w:eastAsia="宋体" w:cs="宋体"/>
          <w:color w:val="auto"/>
          <w:sz w:val="24"/>
          <w:szCs w:val="24"/>
          <w:highlight w:val="none"/>
          <w:lang w:eastAsia="zh-CN"/>
        </w:rPr>
        <w:t>天的，乙方有权终止合同；</w:t>
      </w:r>
    </w:p>
    <w:p>
      <w:pPr>
        <w:pStyle w:val="86"/>
        <w:keepNext w:val="0"/>
        <w:keepLines w:val="0"/>
        <w:pageBreakBefore w:val="0"/>
        <w:widowControl/>
        <w:kinsoku/>
        <w:overflowPunct/>
        <w:autoSpaceDE w:val="0"/>
        <w:autoSpaceDN/>
        <w:bidi w:val="0"/>
        <w:spacing w:before="0" w:beforeAutospacing="0" w:after="0" w:afterAutospacing="0" w:line="360" w:lineRule="auto"/>
        <w:ind w:left="0"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2.</w:t>
      </w:r>
      <w:r>
        <w:rPr>
          <w:rFonts w:hint="eastAsia" w:ascii="宋体" w:hAnsi="宋体" w:eastAsia="宋体" w:cs="宋体"/>
          <w:color w:val="auto"/>
          <w:sz w:val="24"/>
          <w:szCs w:val="24"/>
          <w:highlight w:val="none"/>
          <w:lang w:eastAsia="zh-CN"/>
        </w:rPr>
        <w:t>甲方偿付的违约金不足以弥补乙方损失的，还应按乙方经济损失尚未弥补的部分，支付赔偿金给乙方。</w:t>
      </w:r>
    </w:p>
    <w:p>
      <w:pPr>
        <w:pStyle w:val="86"/>
        <w:keepNext w:val="0"/>
        <w:keepLines w:val="0"/>
        <w:pageBreakBefore w:val="0"/>
        <w:widowControl/>
        <w:kinsoku/>
        <w:overflowPunct/>
        <w:autoSpaceDE w:val="0"/>
        <w:autoSpaceDN/>
        <w:bidi w:val="0"/>
        <w:spacing w:before="0" w:beforeAutospacing="0" w:after="0" w:afterAutospacing="0" w:line="360" w:lineRule="auto"/>
        <w:ind w:left="0"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eastAsia="zh-CN"/>
        </w:rPr>
        <w:t>乙方违约责任</w:t>
      </w:r>
    </w:p>
    <w:p>
      <w:pPr>
        <w:pStyle w:val="86"/>
        <w:keepNext w:val="0"/>
        <w:keepLines w:val="0"/>
        <w:pageBreakBefore w:val="0"/>
        <w:widowControl/>
        <w:kinsoku/>
        <w:overflowPunct/>
        <w:autoSpaceDE w:val="0"/>
        <w:autoSpaceDN/>
        <w:bidi w:val="0"/>
        <w:spacing w:before="0" w:beforeAutospacing="0" w:after="0" w:afterAutospacing="0" w:line="360" w:lineRule="auto"/>
        <w:ind w:left="0"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w:t>
      </w:r>
      <w:r>
        <w:rPr>
          <w:rFonts w:hint="eastAsia" w:ascii="宋体" w:hAnsi="宋体" w:eastAsia="宋体" w:cs="宋体"/>
          <w:color w:val="auto"/>
          <w:sz w:val="24"/>
          <w:szCs w:val="24"/>
          <w:highlight w:val="none"/>
          <w:lang w:eastAsia="zh-CN"/>
        </w:rPr>
        <w:t>乙方交付的货物质量不符合合同规定的，乙方应向甲方支付合同总价的百分之一的违约金，并须在合同规定的交货时间内更换合格的货物给甲方，否则，视作乙方不能交付货物而违约，按本条本款下述第“</w:t>
      </w:r>
      <w:r>
        <w:rPr>
          <w:rFonts w:hint="eastAsia" w:ascii="宋体" w:hAnsi="宋体" w:eastAsia="宋体" w:cs="宋体"/>
          <w:color w:val="auto"/>
          <w:sz w:val="24"/>
          <w:szCs w:val="24"/>
          <w:highlight w:val="none"/>
          <w:lang w:val="en-US"/>
        </w:rPr>
        <w:t>2</w:t>
      </w:r>
      <w:r>
        <w:rPr>
          <w:rFonts w:hint="eastAsia" w:ascii="宋体" w:hAnsi="宋体" w:eastAsia="宋体" w:cs="宋体"/>
          <w:color w:val="auto"/>
          <w:sz w:val="24"/>
          <w:szCs w:val="24"/>
          <w:highlight w:val="none"/>
          <w:lang w:eastAsia="zh-CN"/>
        </w:rPr>
        <w:t>”项规定由乙方偿付违约金给甲方。</w:t>
      </w:r>
    </w:p>
    <w:p>
      <w:pPr>
        <w:pStyle w:val="86"/>
        <w:keepNext w:val="0"/>
        <w:keepLines w:val="0"/>
        <w:pageBreakBefore w:val="0"/>
        <w:widowControl/>
        <w:kinsoku/>
        <w:overflowPunct/>
        <w:autoSpaceDE w:val="0"/>
        <w:autoSpaceDN/>
        <w:bidi w:val="0"/>
        <w:spacing w:before="0" w:beforeAutospacing="0" w:after="0" w:afterAutospacing="0" w:line="360" w:lineRule="auto"/>
        <w:ind w:left="0"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2.</w:t>
      </w:r>
      <w:r>
        <w:rPr>
          <w:rFonts w:hint="eastAsia" w:ascii="宋体" w:hAnsi="宋体" w:eastAsia="宋体" w:cs="宋体"/>
          <w:color w:val="auto"/>
          <w:sz w:val="24"/>
          <w:szCs w:val="24"/>
          <w:highlight w:val="none"/>
          <w:lang w:eastAsia="zh-CN"/>
        </w:rPr>
        <w:t>乙方不能交付货物或逾期交付货物而违约的，除应及时交足货物外，应向甲方偿付逾期交货部分货款总额的万分之一</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eastAsia="zh-CN"/>
        </w:rPr>
        <w:t>天的违约金；逾期交货超过</w:t>
      </w:r>
      <w:r>
        <w:rPr>
          <w:rFonts w:hint="eastAsia" w:ascii="宋体" w:hAnsi="宋体" w:eastAsia="宋体" w:cs="宋体"/>
          <w:color w:val="auto"/>
          <w:sz w:val="24"/>
          <w:szCs w:val="24"/>
          <w:highlight w:val="none"/>
          <w:lang w:val="en-US"/>
        </w:rPr>
        <w:t>15</w:t>
      </w:r>
      <w:r>
        <w:rPr>
          <w:rFonts w:hint="eastAsia" w:ascii="宋体" w:hAnsi="宋体" w:eastAsia="宋体" w:cs="宋体"/>
          <w:color w:val="auto"/>
          <w:sz w:val="24"/>
          <w:szCs w:val="24"/>
          <w:highlight w:val="none"/>
          <w:lang w:eastAsia="zh-CN"/>
        </w:rPr>
        <w:t>天，甲方有权终止合同，乙方则应按合同总价的百分之一的款额向甲方偿付违约金，并须全额退还甲方已经付给乙方的货款及其利息。</w:t>
      </w:r>
    </w:p>
    <w:p>
      <w:pPr>
        <w:pStyle w:val="86"/>
        <w:keepNext w:val="0"/>
        <w:keepLines w:val="0"/>
        <w:pageBreakBefore w:val="0"/>
        <w:widowControl/>
        <w:kinsoku/>
        <w:overflowPunct/>
        <w:autoSpaceDE w:val="0"/>
        <w:autoSpaceDN/>
        <w:bidi w:val="0"/>
        <w:spacing w:before="0" w:beforeAutospacing="0" w:after="0" w:afterAutospacing="0" w:line="360" w:lineRule="auto"/>
        <w:ind w:left="0"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3.</w:t>
      </w:r>
      <w:r>
        <w:rPr>
          <w:rFonts w:hint="eastAsia" w:ascii="宋体" w:hAnsi="宋体" w:eastAsia="宋体" w:cs="宋体"/>
          <w:color w:val="auto"/>
          <w:sz w:val="24"/>
          <w:szCs w:val="24"/>
          <w:highlight w:val="none"/>
          <w:lang w:eastAsia="zh-CN"/>
        </w:rPr>
        <w:t>乙方货物经甲方送交具有法定资格条件的质量技术监督机构检测后，如检测结果认定货物质量不符合本合同规定标准的，则视为乙方没有按时交货而违约，乙方须在</w:t>
      </w:r>
      <w:r>
        <w:rPr>
          <w:rFonts w:hint="eastAsia" w:ascii="宋体" w:hAnsi="宋体" w:eastAsia="宋体" w:cs="宋体"/>
          <w:color w:val="auto"/>
          <w:sz w:val="24"/>
          <w:szCs w:val="24"/>
          <w:highlight w:val="none"/>
          <w:lang w:val="en-US"/>
        </w:rPr>
        <w:t>15</w:t>
      </w:r>
      <w:r>
        <w:rPr>
          <w:rFonts w:hint="eastAsia" w:ascii="宋体" w:hAnsi="宋体" w:eastAsia="宋体" w:cs="宋体"/>
          <w:color w:val="auto"/>
          <w:sz w:val="24"/>
          <w:szCs w:val="24"/>
          <w:highlight w:val="none"/>
          <w:lang w:eastAsia="zh-CN"/>
        </w:rPr>
        <w:t>天内无条件更换合格的货物，如逾期不能更换合格的货物，甲方有权终止本合同，乙方应另付合同总价的百分之一的违约金给甲方。</w:t>
      </w:r>
    </w:p>
    <w:p>
      <w:pPr>
        <w:pStyle w:val="86"/>
        <w:keepNext w:val="0"/>
        <w:keepLines w:val="0"/>
        <w:pageBreakBefore w:val="0"/>
        <w:widowControl/>
        <w:kinsoku/>
        <w:overflowPunct/>
        <w:autoSpaceDE w:val="0"/>
        <w:autoSpaceDN/>
        <w:bidi w:val="0"/>
        <w:spacing w:before="0" w:beforeAutospacing="0" w:after="0" w:afterAutospacing="0" w:line="360" w:lineRule="auto"/>
        <w:ind w:left="0"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4.</w:t>
      </w:r>
      <w:r>
        <w:rPr>
          <w:rFonts w:hint="eastAsia" w:ascii="宋体" w:hAnsi="宋体" w:eastAsia="宋体" w:cs="宋体"/>
          <w:color w:val="auto"/>
          <w:sz w:val="24"/>
          <w:szCs w:val="24"/>
          <w:highlight w:val="none"/>
          <w:lang w:eastAsia="zh-CN"/>
        </w:rPr>
        <w:t>乙方保证本合同货物的权利无瑕疵，包括货物所有权及知识产权等权利无瑕疵。如任何第三方经法院</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eastAsia="zh-CN"/>
        </w:rPr>
        <w:t>或仲裁机构</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eastAsia="zh-CN"/>
        </w:rPr>
        <w:t>裁决有权对上述货物主张权利或国家机关依法对货物进行没收查封的，乙方除应向甲方返还已收款项外，还应另按合同总价的百分之一向甲方支付违约金并赔偿因此给甲方造成的一切损失。</w:t>
      </w:r>
    </w:p>
    <w:p>
      <w:pPr>
        <w:keepNext w:val="0"/>
        <w:keepLines w:val="0"/>
        <w:pageBreakBefore w:val="0"/>
        <w:widowControl w:val="0"/>
        <w:suppressLineNumbers w:val="0"/>
        <w:kinsoku/>
        <w:overflowPunct/>
        <w:autoSpaceDE w:val="0"/>
        <w:autoSpaceDN/>
        <w:bidi w:val="0"/>
        <w:spacing w:beforeAutospacing="0" w:afterAutospacing="0" w:line="360" w:lineRule="auto"/>
        <w:ind w:left="0" w:right="0" w:firstLine="482" w:firstLineChars="200"/>
        <w:jc w:val="both"/>
        <w:textAlignment w:val="auto"/>
        <w:rPr>
          <w:rFonts w:hint="eastAsia" w:ascii="宋体" w:hAnsi="宋体" w:eastAsia="宋体" w:cs="宋体"/>
          <w:b/>
          <w:bCs/>
          <w:color w:val="auto"/>
          <w:kern w:val="2"/>
          <w:sz w:val="24"/>
          <w:szCs w:val="24"/>
          <w:highlight w:val="none"/>
          <w:lang w:val="en-US" w:eastAsia="zh-CN" w:bidi="ar"/>
        </w:rPr>
      </w:pPr>
      <w:bookmarkStart w:id="95" w:name="_Toc10389"/>
      <w:bookmarkEnd w:id="95"/>
      <w:r>
        <w:rPr>
          <w:rFonts w:hint="eastAsia" w:ascii="宋体" w:hAnsi="宋体" w:eastAsia="宋体" w:cs="宋体"/>
          <w:b/>
          <w:bCs/>
          <w:color w:val="auto"/>
          <w:kern w:val="2"/>
          <w:sz w:val="24"/>
          <w:szCs w:val="24"/>
          <w:highlight w:val="none"/>
          <w:lang w:val="en-US" w:eastAsia="zh-CN" w:bidi="ar"/>
        </w:rPr>
        <w:t>第九条 争议解决的方法</w:t>
      </w:r>
    </w:p>
    <w:p>
      <w:pPr>
        <w:keepNext w:val="0"/>
        <w:keepLines w:val="0"/>
        <w:pageBreakBefore w:val="0"/>
        <w:widowControl/>
        <w:suppressLineNumbers w:val="0"/>
        <w:kinsoku/>
        <w:wordWrap w:val="0"/>
        <w:overflowPunct/>
        <w:topLinePunct/>
        <w:autoSpaceDE w:val="0"/>
        <w:autoSpaceDN/>
        <w:bidi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(一)</w:t>
      </w:r>
      <w:r>
        <w:rPr>
          <w:rFonts w:hint="eastAsia" w:ascii="宋体" w:hAnsi="宋体" w:eastAsia="宋体" w:cs="宋体"/>
          <w:color w:val="auto"/>
          <w:kern w:val="2"/>
          <w:sz w:val="24"/>
          <w:szCs w:val="24"/>
          <w:highlight w:val="none"/>
          <w:lang w:val="en-US" w:eastAsia="zh-CN" w:bidi="ar"/>
        </w:rPr>
        <w:t>因货物的质量问题发生争议，由甲方或其指定的第三方机构进行质量鉴定。货物符合标准的，鉴定费由甲方承担；货物不符合质量标准的，鉴定费由乙方承担。</w:t>
      </w:r>
    </w:p>
    <w:p>
      <w:pPr>
        <w:keepNext w:val="0"/>
        <w:keepLines w:val="0"/>
        <w:pageBreakBefore w:val="0"/>
        <w:widowControl w:val="0"/>
        <w:suppressLineNumbers w:val="0"/>
        <w:kinsoku/>
        <w:overflowPunct/>
        <w:autoSpaceDE w:val="0"/>
        <w:autoSpaceDN/>
        <w:bidi w:val="0"/>
        <w:spacing w:beforeAutospacing="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bCs/>
          <w:color w:val="auto"/>
          <w:kern w:val="2"/>
          <w:sz w:val="24"/>
          <w:szCs w:val="24"/>
          <w:highlight w:val="none"/>
          <w:lang w:val="en-US" w:eastAsia="zh-CN" w:bidi="ar"/>
        </w:rPr>
        <w:t>(二)</w:t>
      </w:r>
      <w:r>
        <w:rPr>
          <w:rFonts w:hint="eastAsia" w:ascii="宋体" w:hAnsi="宋体" w:eastAsia="宋体" w:cs="宋体"/>
          <w:color w:val="auto"/>
          <w:kern w:val="2"/>
          <w:sz w:val="24"/>
          <w:szCs w:val="24"/>
          <w:highlight w:val="none"/>
          <w:lang w:val="en-US" w:eastAsia="zh-CN" w:bidi="ar"/>
        </w:rPr>
        <w:t>合同履行期间，若双方发生争议，可协商或由有关部门调解解决，协商或调解不成的，向自贡市仲裁委员会申请仲裁。</w:t>
      </w:r>
    </w:p>
    <w:p>
      <w:pPr>
        <w:keepNext w:val="0"/>
        <w:keepLines w:val="0"/>
        <w:pageBreakBefore w:val="0"/>
        <w:widowControl w:val="0"/>
        <w:suppressLineNumbers w:val="0"/>
        <w:kinsoku/>
        <w:overflowPunct/>
        <w:autoSpaceDE w:val="0"/>
        <w:autoSpaceDN/>
        <w:bidi w:val="0"/>
        <w:spacing w:beforeAutospacing="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bCs/>
          <w:color w:val="auto"/>
          <w:kern w:val="2"/>
          <w:sz w:val="24"/>
          <w:szCs w:val="24"/>
          <w:highlight w:val="none"/>
          <w:lang w:val="en-US" w:eastAsia="zh-CN" w:bidi="ar"/>
        </w:rPr>
        <w:t>(三)</w:t>
      </w:r>
      <w:r>
        <w:rPr>
          <w:rFonts w:hint="eastAsia" w:ascii="宋体" w:hAnsi="宋体" w:eastAsia="宋体" w:cs="宋体"/>
          <w:color w:val="auto"/>
          <w:kern w:val="2"/>
          <w:sz w:val="24"/>
          <w:szCs w:val="24"/>
          <w:highlight w:val="none"/>
          <w:lang w:val="en-US" w:eastAsia="zh-CN" w:bidi="ar"/>
        </w:rPr>
        <w:t>仲裁裁决应为最终决定，并对双方具有约束力。</w:t>
      </w:r>
    </w:p>
    <w:p>
      <w:pPr>
        <w:keepNext w:val="0"/>
        <w:keepLines w:val="0"/>
        <w:pageBreakBefore w:val="0"/>
        <w:widowControl w:val="0"/>
        <w:suppressLineNumbers w:val="0"/>
        <w:kinsoku/>
        <w:overflowPunct/>
        <w:autoSpaceDE w:val="0"/>
        <w:autoSpaceDN/>
        <w:bidi w:val="0"/>
        <w:spacing w:beforeAutospacing="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bCs/>
          <w:color w:val="auto"/>
          <w:kern w:val="2"/>
          <w:sz w:val="24"/>
          <w:szCs w:val="24"/>
          <w:highlight w:val="none"/>
          <w:lang w:val="en-US" w:eastAsia="zh-CN" w:bidi="ar"/>
        </w:rPr>
        <w:t>(四)</w:t>
      </w:r>
      <w:r>
        <w:rPr>
          <w:rFonts w:hint="eastAsia" w:ascii="宋体" w:hAnsi="宋体" w:eastAsia="宋体" w:cs="宋体"/>
          <w:color w:val="auto"/>
          <w:kern w:val="2"/>
          <w:sz w:val="24"/>
          <w:szCs w:val="24"/>
          <w:highlight w:val="none"/>
          <w:lang w:val="en-US" w:eastAsia="zh-CN" w:bidi="ar"/>
        </w:rPr>
        <w:t>除另有裁决外，仲裁费应由败诉方负担。</w:t>
      </w:r>
    </w:p>
    <w:p>
      <w:pPr>
        <w:keepNext w:val="0"/>
        <w:keepLines w:val="0"/>
        <w:pageBreakBefore w:val="0"/>
        <w:widowControl w:val="0"/>
        <w:suppressLineNumbers w:val="0"/>
        <w:kinsoku/>
        <w:overflowPunct/>
        <w:autoSpaceDE w:val="0"/>
        <w:autoSpaceDN/>
        <w:bidi w:val="0"/>
        <w:spacing w:beforeAutospacing="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bCs/>
          <w:color w:val="auto"/>
          <w:kern w:val="2"/>
          <w:sz w:val="24"/>
          <w:szCs w:val="24"/>
          <w:highlight w:val="none"/>
          <w:lang w:val="en-US" w:eastAsia="zh-CN" w:bidi="ar"/>
        </w:rPr>
        <w:t>(五)</w:t>
      </w:r>
      <w:r>
        <w:rPr>
          <w:rFonts w:hint="eastAsia" w:ascii="宋体" w:hAnsi="宋体" w:eastAsia="宋体" w:cs="宋体"/>
          <w:color w:val="auto"/>
          <w:kern w:val="2"/>
          <w:sz w:val="24"/>
          <w:szCs w:val="24"/>
          <w:highlight w:val="none"/>
          <w:lang w:val="en-US" w:eastAsia="zh-CN" w:bidi="ar"/>
        </w:rPr>
        <w:t>在仲裁期间，除正在进行仲裁部分外，合同其他部分继续执行。</w:t>
      </w:r>
    </w:p>
    <w:p>
      <w:pPr>
        <w:keepNext w:val="0"/>
        <w:keepLines w:val="0"/>
        <w:pageBreakBefore w:val="0"/>
        <w:widowControl w:val="0"/>
        <w:suppressLineNumbers w:val="0"/>
        <w:kinsoku/>
        <w:overflowPunct/>
        <w:autoSpaceDE w:val="0"/>
        <w:autoSpaceDN/>
        <w:bidi w:val="0"/>
        <w:spacing w:beforeAutospacing="0" w:afterAutospacing="0" w:line="360" w:lineRule="auto"/>
        <w:ind w:left="0" w:right="0" w:firstLine="482" w:firstLineChars="200"/>
        <w:jc w:val="both"/>
        <w:textAlignment w:val="auto"/>
        <w:rPr>
          <w:rFonts w:hint="default" w:ascii="宋体" w:hAnsi="宋体" w:eastAsia="宋体" w:cs="宋体"/>
          <w:b/>
          <w:bCs/>
          <w:color w:val="auto"/>
          <w:kern w:val="2"/>
          <w:sz w:val="24"/>
          <w:szCs w:val="24"/>
          <w:highlight w:val="none"/>
          <w:lang w:val="en-US" w:eastAsia="zh-CN" w:bidi="ar"/>
        </w:rPr>
      </w:pPr>
      <w:bookmarkStart w:id="96" w:name="_Toc16638"/>
      <w:bookmarkEnd w:id="96"/>
      <w:bookmarkStart w:id="97" w:name="_Toc19230"/>
      <w:bookmarkEnd w:id="97"/>
      <w:bookmarkStart w:id="98" w:name="_Toc3857"/>
      <w:r>
        <w:rPr>
          <w:rFonts w:hint="eastAsia" w:ascii="宋体" w:hAnsi="宋体" w:eastAsia="宋体" w:cs="宋体"/>
          <w:b/>
          <w:bCs/>
          <w:color w:val="auto"/>
          <w:kern w:val="2"/>
          <w:sz w:val="24"/>
          <w:szCs w:val="24"/>
          <w:highlight w:val="none"/>
          <w:lang w:val="en-US" w:eastAsia="zh-CN" w:bidi="ar"/>
        </w:rPr>
        <w:t>第十条</w:t>
      </w:r>
      <w:bookmarkEnd w:id="98"/>
      <w:r>
        <w:rPr>
          <w:rFonts w:hint="eastAsia" w:ascii="Times New Roman" w:hAnsi="Times New Roman" w:cs="宋体"/>
          <w:b/>
          <w:bCs/>
          <w:color w:val="auto"/>
          <w:kern w:val="2"/>
          <w:sz w:val="24"/>
          <w:szCs w:val="24"/>
          <w:highlight w:val="none"/>
          <w:lang w:val="en-US" w:eastAsia="zh-CN" w:bidi="ar"/>
        </w:rPr>
        <w:t xml:space="preserve"> 其他要求</w:t>
      </w:r>
    </w:p>
    <w:p>
      <w:pPr>
        <w:keepNext w:val="0"/>
        <w:keepLines w:val="0"/>
        <w:pageBreakBefore w:val="0"/>
        <w:kinsoku/>
        <w:overflowPunct/>
        <w:autoSpaceDE/>
        <w:autoSpaceDN/>
        <w:bidi w:val="0"/>
        <w:spacing w:beforeAutospacing="0" w:afterAutospacing="0" w:line="360" w:lineRule="auto"/>
        <w:ind w:firstLine="480" w:firstLineChars="200"/>
        <w:jc w:val="both"/>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lang w:val="en-US"/>
        </w:rPr>
        <w:t>(</w:t>
      </w:r>
      <w:r>
        <w:rPr>
          <w:rFonts w:hint="eastAsia" w:ascii="宋体" w:hAnsi="宋体" w:eastAsia="宋体" w:cs="宋体"/>
          <w:color w:val="auto"/>
          <w:kern w:val="2"/>
          <w:sz w:val="24"/>
          <w:szCs w:val="24"/>
          <w:highlight w:val="none"/>
          <w:lang w:val="en-US" w:eastAsia="zh-CN"/>
        </w:rPr>
        <w:t>一</w:t>
      </w:r>
      <w:r>
        <w:rPr>
          <w:rFonts w:hint="eastAsia" w:ascii="宋体" w:hAnsi="宋体" w:eastAsia="宋体" w:cs="宋体"/>
          <w:color w:val="auto"/>
          <w:kern w:val="2"/>
          <w:sz w:val="24"/>
          <w:szCs w:val="24"/>
          <w:highlight w:val="none"/>
          <w:lang w:val="en-US"/>
        </w:rPr>
        <w:t>)</w:t>
      </w:r>
      <w:r>
        <w:rPr>
          <w:rFonts w:hint="eastAsia" w:ascii="宋体" w:hAnsi="宋体" w:eastAsia="宋体" w:cs="宋体"/>
          <w:color w:val="auto"/>
          <w:kern w:val="2"/>
          <w:sz w:val="24"/>
          <w:szCs w:val="24"/>
          <w:highlight w:val="none"/>
          <w:lang w:val="en-US" w:eastAsia="zh-CN"/>
        </w:rPr>
        <w:t>其他如有未尽事宜，由双方依法订立补充合同。</w:t>
      </w:r>
    </w:p>
    <w:p>
      <w:pPr>
        <w:pStyle w:val="85"/>
        <w:keepNext w:val="0"/>
        <w:keepLines w:val="0"/>
        <w:pageBreakBefore w:val="0"/>
        <w:widowControl/>
        <w:kinsoku/>
        <w:overflowPunct/>
        <w:autoSpaceDE w:val="0"/>
        <w:autoSpaceDN/>
        <w:bidi w:val="0"/>
        <w:spacing w:before="0" w:beforeAutospacing="0" w:after="0" w:afterAutospacing="0" w:line="360" w:lineRule="auto"/>
        <w:ind w:left="0" w:firstLine="640"/>
        <w:textAlignment w:val="auto"/>
        <w:rPr>
          <w:rFonts w:hint="eastAsia" w:ascii="宋体" w:hAnsi="宋体" w:eastAsia="宋体" w:cs="宋体"/>
          <w:color w:val="auto"/>
          <w:sz w:val="24"/>
          <w:szCs w:val="24"/>
          <w:highlight w:val="none"/>
          <w:lang w:val="en-US"/>
        </w:rPr>
      </w:pPr>
      <w:r>
        <w:rPr>
          <w:rFonts w:hint="eastAsia" w:ascii="宋体" w:hAnsi="宋体" w:eastAsia="宋体" w:cs="宋体"/>
          <w:bCs/>
          <w:color w:val="auto"/>
          <w:sz w:val="24"/>
          <w:szCs w:val="24"/>
          <w:highlight w:val="none"/>
          <w:lang w:val="en-US"/>
        </w:rPr>
        <w:t>(</w:t>
      </w:r>
      <w:r>
        <w:rPr>
          <w:rFonts w:hint="eastAsia" w:ascii="宋体" w:hAnsi="宋体" w:eastAsia="宋体" w:cs="宋体"/>
          <w:bCs/>
          <w:color w:val="auto"/>
          <w:sz w:val="24"/>
          <w:szCs w:val="24"/>
          <w:highlight w:val="none"/>
          <w:lang w:eastAsia="zh-CN"/>
        </w:rPr>
        <w:t>二</w:t>
      </w:r>
      <w:r>
        <w:rPr>
          <w:rFonts w:hint="eastAsia" w:ascii="宋体" w:hAnsi="宋体" w:eastAsia="宋体" w:cs="宋体"/>
          <w:bCs/>
          <w:color w:val="auto"/>
          <w:sz w:val="24"/>
          <w:szCs w:val="24"/>
          <w:highlight w:val="none"/>
          <w:lang w:val="en-US"/>
        </w:rPr>
        <w:t>)</w:t>
      </w:r>
      <w:r>
        <w:rPr>
          <w:rFonts w:hint="eastAsia" w:ascii="宋体" w:hAnsi="宋体" w:eastAsia="宋体" w:cs="宋体"/>
          <w:color w:val="auto"/>
          <w:sz w:val="24"/>
          <w:szCs w:val="24"/>
          <w:highlight w:val="none"/>
          <w:lang w:eastAsia="zh-CN"/>
        </w:rPr>
        <w:t>本合同一式</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份，自双方签章之日起生效。甲</w:t>
      </w:r>
      <w:r>
        <w:rPr>
          <w:rFonts w:hint="eastAsia" w:cs="宋体"/>
          <w:color w:val="auto"/>
          <w:sz w:val="24"/>
          <w:szCs w:val="24"/>
          <w:highlight w:val="none"/>
          <w:lang w:eastAsia="zh-CN"/>
        </w:rPr>
        <w:t>、</w:t>
      </w:r>
      <w:r>
        <w:rPr>
          <w:rFonts w:hint="eastAsia" w:cs="宋体"/>
          <w:color w:val="auto"/>
          <w:sz w:val="24"/>
          <w:szCs w:val="24"/>
          <w:highlight w:val="none"/>
          <w:lang w:val="en-US" w:eastAsia="zh-CN"/>
        </w:rPr>
        <w:t>乙</w:t>
      </w:r>
      <w:r>
        <w:rPr>
          <w:rFonts w:hint="eastAsia" w:ascii="宋体" w:hAnsi="宋体" w:eastAsia="宋体" w:cs="宋体"/>
          <w:color w:val="auto"/>
          <w:sz w:val="24"/>
          <w:szCs w:val="24"/>
          <w:highlight w:val="none"/>
          <w:lang w:eastAsia="zh-CN"/>
        </w:rPr>
        <w:t>双方</w:t>
      </w:r>
      <w:r>
        <w:rPr>
          <w:rFonts w:hint="eastAsia" w:cs="宋体"/>
          <w:color w:val="auto"/>
          <w:sz w:val="24"/>
          <w:szCs w:val="24"/>
          <w:highlight w:val="none"/>
          <w:lang w:val="en-US" w:eastAsia="zh-CN"/>
        </w:rPr>
        <w:t>各2</w:t>
      </w:r>
      <w:r>
        <w:rPr>
          <w:rFonts w:hint="eastAsia" w:ascii="宋体" w:hAnsi="宋体" w:eastAsia="宋体" w:cs="宋体"/>
          <w:color w:val="auto"/>
          <w:sz w:val="24"/>
          <w:szCs w:val="24"/>
          <w:highlight w:val="none"/>
          <w:lang w:eastAsia="zh-CN"/>
        </w:rPr>
        <w:t>份，采购代理机构</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份。</w:t>
      </w:r>
    </w:p>
    <w:tbl>
      <w:tblPr>
        <w:tblStyle w:val="26"/>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81"/>
        <w:gridCol w:w="49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jc w:val="center"/>
        </w:trPr>
        <w:tc>
          <w:tcPr>
            <w:tcW w:w="2500" w:type="pct"/>
            <w:noWrap w:val="0"/>
            <w:vAlign w:val="center"/>
          </w:tcPr>
          <w:p>
            <w:pPr>
              <w:pStyle w:val="88"/>
              <w:keepNext w:val="0"/>
              <w:keepLines w:val="0"/>
              <w:pageBreakBefore w:val="0"/>
              <w:widowControl/>
              <w:kinsoku/>
              <w:overflowPunct/>
              <w:autoSpaceDE w:val="0"/>
              <w:autoSpaceDN/>
              <w:bidi w:val="0"/>
              <w:spacing w:before="0" w:beforeAutospacing="0" w:after="0" w:afterAutospacing="0" w:line="360" w:lineRule="auto"/>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甲方：</w:t>
            </w:r>
            <w:r>
              <w:rPr>
                <w:rFonts w:hint="eastAsia"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lang w:val="en-US"/>
              </w:rPr>
              <w:t>(</w:t>
            </w:r>
            <w:r>
              <w:rPr>
                <w:rFonts w:hint="eastAsia" w:ascii="宋体" w:hAnsi="宋体" w:eastAsia="宋体" w:cs="宋体"/>
                <w:color w:val="auto"/>
                <w:kern w:val="0"/>
                <w:sz w:val="24"/>
                <w:szCs w:val="24"/>
                <w:highlight w:val="none"/>
              </w:rPr>
              <w:t>盖章</w:t>
            </w:r>
            <w:r>
              <w:rPr>
                <w:rFonts w:hint="eastAsia" w:ascii="宋体" w:hAnsi="宋体" w:eastAsia="宋体" w:cs="宋体"/>
                <w:color w:val="auto"/>
                <w:kern w:val="0"/>
                <w:sz w:val="24"/>
                <w:szCs w:val="24"/>
                <w:highlight w:val="none"/>
                <w:lang w:val="en-US"/>
              </w:rPr>
              <w:t>)</w:t>
            </w:r>
          </w:p>
        </w:tc>
        <w:tc>
          <w:tcPr>
            <w:tcW w:w="2500" w:type="pct"/>
            <w:noWrap w:val="0"/>
            <w:vAlign w:val="center"/>
          </w:tcPr>
          <w:p>
            <w:pPr>
              <w:pStyle w:val="88"/>
              <w:keepNext w:val="0"/>
              <w:keepLines w:val="0"/>
              <w:pageBreakBefore w:val="0"/>
              <w:widowControl/>
              <w:kinsoku/>
              <w:overflowPunct/>
              <w:autoSpaceDE w:val="0"/>
              <w:autoSpaceDN/>
              <w:bidi w:val="0"/>
              <w:spacing w:before="0" w:beforeAutospacing="0" w:after="0" w:afterAutospacing="0" w:line="360" w:lineRule="auto"/>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乙方：</w:t>
            </w:r>
            <w:r>
              <w:rPr>
                <w:rFonts w:hint="eastAsia" w:ascii="宋体" w:hAnsi="宋体" w:eastAsia="宋体" w:cs="宋体"/>
                <w:color w:val="auto"/>
                <w:kern w:val="0"/>
                <w:sz w:val="24"/>
                <w:szCs w:val="24"/>
                <w:highlight w:val="none"/>
                <w:lang w:val="en-US"/>
              </w:rPr>
              <w:t xml:space="preserve">   (</w:t>
            </w:r>
            <w:r>
              <w:rPr>
                <w:rFonts w:hint="eastAsia" w:ascii="宋体" w:hAnsi="宋体" w:eastAsia="宋体" w:cs="宋体"/>
                <w:color w:val="auto"/>
                <w:kern w:val="0"/>
                <w:sz w:val="24"/>
                <w:szCs w:val="24"/>
                <w:highlight w:val="none"/>
              </w:rPr>
              <w:t>盖章</w:t>
            </w:r>
            <w:r>
              <w:rPr>
                <w:rFonts w:hint="eastAsia" w:ascii="宋体" w:hAnsi="宋体" w:eastAsia="宋体" w:cs="宋体"/>
                <w:color w:val="auto"/>
                <w:kern w:val="0"/>
                <w:sz w:val="24"/>
                <w:szCs w:val="24"/>
                <w:highlight w:val="none"/>
                <w:lang w:val="en-U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jc w:val="center"/>
        </w:trPr>
        <w:tc>
          <w:tcPr>
            <w:tcW w:w="2500" w:type="pct"/>
            <w:noWrap w:val="0"/>
            <w:vAlign w:val="center"/>
          </w:tcPr>
          <w:p>
            <w:pPr>
              <w:pStyle w:val="88"/>
              <w:keepNext w:val="0"/>
              <w:keepLines w:val="0"/>
              <w:pageBreakBefore w:val="0"/>
              <w:widowControl/>
              <w:kinsoku/>
              <w:overflowPunct/>
              <w:autoSpaceDE w:val="0"/>
              <w:autoSpaceDN/>
              <w:bidi w:val="0"/>
              <w:spacing w:before="0" w:beforeAutospacing="0" w:after="0" w:afterAutospacing="0" w:line="360" w:lineRule="auto"/>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val="en-US"/>
              </w:rPr>
              <w:t>(</w:t>
            </w:r>
            <w:r>
              <w:rPr>
                <w:rFonts w:hint="eastAsia" w:ascii="宋体" w:hAnsi="宋体" w:eastAsia="宋体" w:cs="宋体"/>
                <w:color w:val="auto"/>
                <w:kern w:val="0"/>
                <w:sz w:val="24"/>
                <w:szCs w:val="24"/>
                <w:highlight w:val="none"/>
              </w:rPr>
              <w:t>被授权人</w:t>
            </w:r>
            <w:r>
              <w:rPr>
                <w:rFonts w:hint="eastAsia" w:ascii="宋体" w:hAnsi="宋体" w:eastAsia="宋体" w:cs="宋体"/>
                <w:color w:val="auto"/>
                <w:kern w:val="0"/>
                <w:sz w:val="24"/>
                <w:szCs w:val="24"/>
                <w:highlight w:val="none"/>
                <w:lang w:val="en-US"/>
              </w:rPr>
              <w:t>)</w:t>
            </w:r>
            <w:r>
              <w:rPr>
                <w:rFonts w:hint="eastAsia" w:ascii="宋体" w:hAnsi="宋体" w:eastAsia="宋体" w:cs="宋体"/>
                <w:color w:val="auto"/>
                <w:kern w:val="0"/>
                <w:sz w:val="24"/>
                <w:szCs w:val="24"/>
                <w:highlight w:val="none"/>
              </w:rPr>
              <w:t>：</w:t>
            </w:r>
          </w:p>
        </w:tc>
        <w:tc>
          <w:tcPr>
            <w:tcW w:w="2500" w:type="pct"/>
            <w:noWrap w:val="0"/>
            <w:vAlign w:val="center"/>
          </w:tcPr>
          <w:p>
            <w:pPr>
              <w:pStyle w:val="88"/>
              <w:keepNext w:val="0"/>
              <w:keepLines w:val="0"/>
              <w:pageBreakBefore w:val="0"/>
              <w:widowControl/>
              <w:kinsoku/>
              <w:overflowPunct/>
              <w:autoSpaceDE w:val="0"/>
              <w:autoSpaceDN/>
              <w:bidi w:val="0"/>
              <w:spacing w:before="0" w:beforeAutospacing="0" w:after="0" w:afterAutospacing="0" w:line="360" w:lineRule="auto"/>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val="en-US"/>
              </w:rPr>
              <w:t>(</w:t>
            </w:r>
            <w:r>
              <w:rPr>
                <w:rFonts w:hint="eastAsia" w:ascii="宋体" w:hAnsi="宋体" w:eastAsia="宋体" w:cs="宋体"/>
                <w:color w:val="auto"/>
                <w:kern w:val="0"/>
                <w:sz w:val="24"/>
                <w:szCs w:val="24"/>
                <w:highlight w:val="none"/>
              </w:rPr>
              <w:t>被授权人</w:t>
            </w:r>
            <w:r>
              <w:rPr>
                <w:rFonts w:hint="eastAsia" w:ascii="宋体" w:hAnsi="宋体" w:eastAsia="宋体" w:cs="宋体"/>
                <w:color w:val="auto"/>
                <w:kern w:val="0"/>
                <w:sz w:val="24"/>
                <w:szCs w:val="24"/>
                <w:highlight w:val="none"/>
                <w:lang w:val="en-US"/>
              </w:rPr>
              <w:t>)</w:t>
            </w:r>
            <w:r>
              <w:rPr>
                <w:rFonts w:hint="eastAsia" w:ascii="宋体" w:hAnsi="宋体" w:eastAsia="宋体" w:cs="宋体"/>
                <w:color w:val="auto"/>
                <w:kern w:val="0"/>
                <w:sz w:val="24"/>
                <w:szCs w:val="24"/>
                <w:highlight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jc w:val="center"/>
        </w:trPr>
        <w:tc>
          <w:tcPr>
            <w:tcW w:w="2500" w:type="pct"/>
            <w:noWrap w:val="0"/>
            <w:vAlign w:val="center"/>
          </w:tcPr>
          <w:p>
            <w:pPr>
              <w:pStyle w:val="88"/>
              <w:keepNext w:val="0"/>
              <w:keepLines w:val="0"/>
              <w:pageBreakBefore w:val="0"/>
              <w:widowControl/>
              <w:kinsoku/>
              <w:overflowPunct/>
              <w:autoSpaceDE w:val="0"/>
              <w:autoSpaceDN/>
              <w:bidi w:val="0"/>
              <w:spacing w:before="0" w:beforeAutospacing="0" w:after="0" w:afterAutospacing="0" w:line="360"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地址</w:t>
            </w:r>
            <w:r>
              <w:rPr>
                <w:rFonts w:hint="eastAsia" w:ascii="宋体" w:hAnsi="宋体" w:eastAsia="宋体" w:cs="宋体"/>
                <w:color w:val="auto"/>
                <w:kern w:val="0"/>
                <w:sz w:val="24"/>
                <w:szCs w:val="24"/>
                <w:highlight w:val="none"/>
                <w:lang w:val="en-US"/>
              </w:rPr>
              <w:t>(</w:t>
            </w:r>
            <w:r>
              <w:rPr>
                <w:rFonts w:hint="eastAsia" w:ascii="宋体" w:hAnsi="宋体" w:eastAsia="宋体" w:cs="宋体"/>
                <w:color w:val="auto"/>
                <w:kern w:val="0"/>
                <w:sz w:val="24"/>
                <w:szCs w:val="24"/>
                <w:highlight w:val="none"/>
              </w:rPr>
              <w:t>住所</w:t>
            </w:r>
            <w:r>
              <w:rPr>
                <w:rFonts w:hint="eastAsia" w:ascii="宋体" w:hAnsi="宋体" w:eastAsia="宋体" w:cs="宋体"/>
                <w:color w:val="auto"/>
                <w:kern w:val="0"/>
                <w:sz w:val="24"/>
                <w:szCs w:val="24"/>
                <w:highlight w:val="none"/>
                <w:lang w:val="en-US"/>
              </w:rPr>
              <w:t>)</w:t>
            </w:r>
            <w:r>
              <w:rPr>
                <w:rFonts w:hint="eastAsia" w:ascii="宋体" w:hAnsi="宋体" w:eastAsia="宋体" w:cs="宋体"/>
                <w:color w:val="auto"/>
                <w:kern w:val="0"/>
                <w:sz w:val="24"/>
                <w:szCs w:val="24"/>
                <w:highlight w:val="none"/>
              </w:rPr>
              <w:t>：</w:t>
            </w:r>
          </w:p>
        </w:tc>
        <w:tc>
          <w:tcPr>
            <w:tcW w:w="2500" w:type="pct"/>
            <w:noWrap w:val="0"/>
            <w:vAlign w:val="center"/>
          </w:tcPr>
          <w:p>
            <w:pPr>
              <w:pStyle w:val="88"/>
              <w:keepNext w:val="0"/>
              <w:keepLines w:val="0"/>
              <w:pageBreakBefore w:val="0"/>
              <w:widowControl/>
              <w:kinsoku/>
              <w:overflowPunct/>
              <w:autoSpaceDE w:val="0"/>
              <w:autoSpaceDN/>
              <w:bidi w:val="0"/>
              <w:spacing w:before="0" w:beforeAutospacing="0" w:after="0" w:afterAutospacing="0" w:line="360" w:lineRule="auto"/>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地址</w:t>
            </w:r>
            <w:r>
              <w:rPr>
                <w:rFonts w:hint="eastAsia" w:ascii="宋体" w:hAnsi="宋体" w:eastAsia="宋体" w:cs="宋体"/>
                <w:color w:val="auto"/>
                <w:kern w:val="0"/>
                <w:sz w:val="24"/>
                <w:szCs w:val="24"/>
                <w:highlight w:val="none"/>
                <w:lang w:val="en-US"/>
              </w:rPr>
              <w:t>(</w:t>
            </w:r>
            <w:r>
              <w:rPr>
                <w:rFonts w:hint="eastAsia" w:ascii="宋体" w:hAnsi="宋体" w:eastAsia="宋体" w:cs="宋体"/>
                <w:color w:val="auto"/>
                <w:kern w:val="0"/>
                <w:sz w:val="24"/>
                <w:szCs w:val="24"/>
                <w:highlight w:val="none"/>
              </w:rPr>
              <w:t>住所</w:t>
            </w:r>
            <w:r>
              <w:rPr>
                <w:rFonts w:hint="eastAsia" w:ascii="宋体" w:hAnsi="宋体" w:eastAsia="宋体" w:cs="宋体"/>
                <w:color w:val="auto"/>
                <w:kern w:val="0"/>
                <w:sz w:val="24"/>
                <w:szCs w:val="24"/>
                <w:highlight w:val="none"/>
                <w:lang w:val="en-US"/>
              </w:rPr>
              <w:t>)</w:t>
            </w:r>
            <w:r>
              <w:rPr>
                <w:rFonts w:hint="eastAsia" w:ascii="宋体" w:hAnsi="宋体" w:eastAsia="宋体" w:cs="宋体"/>
                <w:color w:val="auto"/>
                <w:kern w:val="0"/>
                <w:sz w:val="24"/>
                <w:szCs w:val="24"/>
                <w:highlight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2500" w:type="pct"/>
            <w:noWrap w:val="0"/>
            <w:vAlign w:val="center"/>
          </w:tcPr>
          <w:p>
            <w:pPr>
              <w:pStyle w:val="88"/>
              <w:keepNext w:val="0"/>
              <w:keepLines w:val="0"/>
              <w:pageBreakBefore w:val="0"/>
              <w:widowControl/>
              <w:kinsoku/>
              <w:overflowPunct/>
              <w:autoSpaceDE w:val="0"/>
              <w:autoSpaceDN/>
              <w:bidi w:val="0"/>
              <w:spacing w:before="0" w:beforeAutospacing="0" w:after="0" w:afterAutospacing="0" w:line="360" w:lineRule="auto"/>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开户银行：</w:t>
            </w:r>
          </w:p>
        </w:tc>
        <w:tc>
          <w:tcPr>
            <w:tcW w:w="2500" w:type="pct"/>
            <w:noWrap w:val="0"/>
            <w:vAlign w:val="center"/>
          </w:tcPr>
          <w:p>
            <w:pPr>
              <w:pStyle w:val="88"/>
              <w:keepNext w:val="0"/>
              <w:keepLines w:val="0"/>
              <w:pageBreakBefore w:val="0"/>
              <w:widowControl/>
              <w:kinsoku/>
              <w:overflowPunct/>
              <w:autoSpaceDE w:val="0"/>
              <w:autoSpaceDN/>
              <w:bidi w:val="0"/>
              <w:spacing w:before="0" w:beforeAutospacing="0" w:after="0" w:afterAutospacing="0" w:line="360" w:lineRule="auto"/>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开户银行：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2500" w:type="pct"/>
            <w:noWrap w:val="0"/>
            <w:vAlign w:val="center"/>
          </w:tcPr>
          <w:p>
            <w:pPr>
              <w:pStyle w:val="88"/>
              <w:keepNext w:val="0"/>
              <w:keepLines w:val="0"/>
              <w:pageBreakBefore w:val="0"/>
              <w:widowControl/>
              <w:kinsoku/>
              <w:overflowPunct/>
              <w:autoSpaceDE w:val="0"/>
              <w:autoSpaceDN/>
              <w:bidi w:val="0"/>
              <w:spacing w:before="0" w:beforeAutospacing="0" w:after="0" w:afterAutospacing="0" w:line="360" w:lineRule="auto"/>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账号：</w:t>
            </w:r>
          </w:p>
        </w:tc>
        <w:tc>
          <w:tcPr>
            <w:tcW w:w="2500" w:type="pct"/>
            <w:noWrap w:val="0"/>
            <w:vAlign w:val="center"/>
          </w:tcPr>
          <w:p>
            <w:pPr>
              <w:pStyle w:val="88"/>
              <w:keepNext w:val="0"/>
              <w:keepLines w:val="0"/>
              <w:pageBreakBefore w:val="0"/>
              <w:widowControl/>
              <w:kinsoku/>
              <w:overflowPunct/>
              <w:autoSpaceDE w:val="0"/>
              <w:autoSpaceDN/>
              <w:bidi w:val="0"/>
              <w:spacing w:before="0" w:beforeAutospacing="0" w:after="0" w:afterAutospacing="0" w:line="360" w:lineRule="auto"/>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jc w:val="center"/>
        </w:trPr>
        <w:tc>
          <w:tcPr>
            <w:tcW w:w="2500" w:type="pct"/>
            <w:noWrap w:val="0"/>
            <w:vAlign w:val="center"/>
          </w:tcPr>
          <w:p>
            <w:pPr>
              <w:pStyle w:val="88"/>
              <w:keepNext w:val="0"/>
              <w:keepLines w:val="0"/>
              <w:pageBreakBefore w:val="0"/>
              <w:widowControl/>
              <w:kinsoku/>
              <w:overflowPunct/>
              <w:autoSpaceDE w:val="0"/>
              <w:autoSpaceDN/>
              <w:bidi w:val="0"/>
              <w:spacing w:before="0" w:beforeAutospacing="0" w:after="0" w:afterAutospacing="0" w:line="360" w:lineRule="auto"/>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电话：</w:t>
            </w:r>
          </w:p>
        </w:tc>
        <w:tc>
          <w:tcPr>
            <w:tcW w:w="2500" w:type="pct"/>
            <w:noWrap w:val="0"/>
            <w:vAlign w:val="center"/>
          </w:tcPr>
          <w:p>
            <w:pPr>
              <w:pStyle w:val="88"/>
              <w:keepNext w:val="0"/>
              <w:keepLines w:val="0"/>
              <w:pageBreakBefore w:val="0"/>
              <w:widowControl/>
              <w:kinsoku/>
              <w:overflowPunct/>
              <w:autoSpaceDE w:val="0"/>
              <w:autoSpaceDN/>
              <w:bidi w:val="0"/>
              <w:spacing w:before="0" w:beforeAutospacing="0" w:after="0" w:afterAutospacing="0" w:line="360" w:lineRule="auto"/>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 xml:space="preserve">电话：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jc w:val="center"/>
        </w:trPr>
        <w:tc>
          <w:tcPr>
            <w:tcW w:w="2500" w:type="pct"/>
            <w:noWrap w:val="0"/>
            <w:vAlign w:val="center"/>
          </w:tcPr>
          <w:p>
            <w:pPr>
              <w:pStyle w:val="88"/>
              <w:keepNext w:val="0"/>
              <w:keepLines w:val="0"/>
              <w:pageBreakBefore w:val="0"/>
              <w:widowControl/>
              <w:kinsoku/>
              <w:overflowPunct/>
              <w:autoSpaceDE w:val="0"/>
              <w:autoSpaceDN/>
              <w:bidi w:val="0"/>
              <w:spacing w:before="0" w:beforeAutospacing="0" w:after="0" w:afterAutospacing="0" w:line="360" w:lineRule="auto"/>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传真：</w:t>
            </w:r>
          </w:p>
        </w:tc>
        <w:tc>
          <w:tcPr>
            <w:tcW w:w="2500" w:type="pct"/>
            <w:noWrap w:val="0"/>
            <w:vAlign w:val="center"/>
          </w:tcPr>
          <w:p>
            <w:pPr>
              <w:pStyle w:val="88"/>
              <w:keepNext w:val="0"/>
              <w:keepLines w:val="0"/>
              <w:pageBreakBefore w:val="0"/>
              <w:widowControl/>
              <w:kinsoku/>
              <w:overflowPunct/>
              <w:autoSpaceDE w:val="0"/>
              <w:autoSpaceDN/>
              <w:bidi w:val="0"/>
              <w:spacing w:before="0" w:beforeAutospacing="0" w:after="0" w:afterAutospacing="0" w:line="360" w:lineRule="auto"/>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传真：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2500" w:type="pct"/>
            <w:noWrap w:val="0"/>
            <w:vAlign w:val="center"/>
          </w:tcPr>
          <w:p>
            <w:pPr>
              <w:pStyle w:val="88"/>
              <w:keepNext w:val="0"/>
              <w:keepLines w:val="0"/>
              <w:pageBreakBefore w:val="0"/>
              <w:widowControl/>
              <w:kinsoku/>
              <w:overflowPunct/>
              <w:autoSpaceDE w:val="0"/>
              <w:autoSpaceDN/>
              <w:bidi w:val="0"/>
              <w:spacing w:before="0" w:beforeAutospacing="0" w:after="0" w:afterAutospacing="0" w:line="360" w:lineRule="auto"/>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签约日期：</w:t>
            </w:r>
            <w:r>
              <w:rPr>
                <w:rFonts w:hint="eastAsia" w:ascii="宋体" w:hAnsi="宋体" w:eastAsia="宋体" w:cs="宋体"/>
                <w:color w:val="auto"/>
                <w:kern w:val="0"/>
                <w:sz w:val="24"/>
                <w:szCs w:val="24"/>
                <w:highlight w:val="none"/>
                <w:lang w:val="en-US"/>
              </w:rPr>
              <w:t>XX</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val="en-US"/>
              </w:rPr>
              <w:t>XX</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lang w:val="en-US"/>
              </w:rPr>
              <w:t>XX</w:t>
            </w:r>
            <w:r>
              <w:rPr>
                <w:rFonts w:hint="eastAsia" w:ascii="宋体" w:hAnsi="宋体" w:eastAsia="宋体" w:cs="宋体"/>
                <w:color w:val="auto"/>
                <w:kern w:val="0"/>
                <w:sz w:val="24"/>
                <w:szCs w:val="24"/>
                <w:highlight w:val="none"/>
              </w:rPr>
              <w:t>日</w:t>
            </w:r>
          </w:p>
        </w:tc>
        <w:tc>
          <w:tcPr>
            <w:tcW w:w="2500" w:type="pct"/>
            <w:noWrap w:val="0"/>
            <w:vAlign w:val="center"/>
          </w:tcPr>
          <w:p>
            <w:pPr>
              <w:pStyle w:val="88"/>
              <w:keepNext w:val="0"/>
              <w:keepLines w:val="0"/>
              <w:pageBreakBefore w:val="0"/>
              <w:widowControl/>
              <w:kinsoku/>
              <w:overflowPunct/>
              <w:autoSpaceDE w:val="0"/>
              <w:autoSpaceDN/>
              <w:bidi w:val="0"/>
              <w:spacing w:before="0" w:beforeAutospacing="0" w:after="0" w:afterAutospacing="0" w:line="360" w:lineRule="auto"/>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签约日期：</w:t>
            </w:r>
            <w:r>
              <w:rPr>
                <w:rFonts w:hint="eastAsia" w:ascii="宋体" w:hAnsi="宋体" w:eastAsia="宋体" w:cs="宋体"/>
                <w:color w:val="auto"/>
                <w:kern w:val="0"/>
                <w:sz w:val="24"/>
                <w:szCs w:val="24"/>
                <w:highlight w:val="none"/>
                <w:lang w:val="en-US"/>
              </w:rPr>
              <w:t>XX</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val="en-US"/>
              </w:rPr>
              <w:t>XX</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lang w:val="en-US"/>
              </w:rPr>
              <w:t>XX</w:t>
            </w:r>
            <w:r>
              <w:rPr>
                <w:rFonts w:hint="eastAsia" w:ascii="宋体" w:hAnsi="宋体" w:eastAsia="宋体" w:cs="宋体"/>
                <w:color w:val="auto"/>
                <w:kern w:val="0"/>
                <w:sz w:val="24"/>
                <w:szCs w:val="24"/>
                <w:highlight w:val="none"/>
              </w:rPr>
              <w:t>日</w:t>
            </w:r>
          </w:p>
        </w:tc>
      </w:tr>
    </w:tbl>
    <w:p>
      <w:pPr>
        <w:autoSpaceDE/>
        <w:autoSpaceDN/>
        <w:spacing w:line="240" w:lineRule="auto"/>
        <w:jc w:val="both"/>
        <w:rPr>
          <w:rFonts w:hint="eastAsia" w:ascii="新宋体" w:hAnsi="新宋体" w:eastAsia="新宋体" w:cs="新宋体"/>
          <w:color w:val="auto"/>
          <w:kern w:val="2"/>
          <w:sz w:val="21"/>
          <w:szCs w:val="24"/>
          <w:highlight w:val="none"/>
          <w:lang w:val="en-US" w:eastAsia="zh-CN"/>
        </w:rPr>
      </w:pPr>
    </w:p>
    <w:p>
      <w:pPr>
        <w:widowControl w:val="0"/>
        <w:spacing w:after="120"/>
        <w:jc w:val="both"/>
        <w:rPr>
          <w:rFonts w:hint="eastAsia" w:ascii="新宋体" w:hAnsi="新宋体" w:eastAsia="新宋体" w:cs="新宋体"/>
          <w:color w:val="auto"/>
          <w:kern w:val="2"/>
          <w:sz w:val="21"/>
          <w:szCs w:val="24"/>
          <w:highlight w:val="none"/>
          <w:lang w:val="en-US" w:eastAsia="zh-CN" w:bidi="ar-SA"/>
        </w:rPr>
      </w:pPr>
    </w:p>
    <w:p>
      <w:pPr>
        <w:keepNext w:val="0"/>
        <w:keepLines w:val="0"/>
        <w:pageBreakBefore w:val="0"/>
        <w:widowControl w:val="0"/>
        <w:kinsoku/>
        <w:overflowPunct/>
        <w:topLinePunct w:val="0"/>
        <w:autoSpaceDE w:val="0"/>
        <w:autoSpaceDN w:val="0"/>
        <w:bidi w:val="0"/>
        <w:adjustRightInd w:val="0"/>
        <w:snapToGrid/>
        <w:spacing w:line="360" w:lineRule="auto"/>
        <w:ind w:firstLine="840" w:firstLineChars="400"/>
        <w:jc w:val="left"/>
        <w:textAlignment w:val="auto"/>
        <w:rPr>
          <w:b/>
          <w:bCs/>
          <w:color w:val="auto"/>
          <w:sz w:val="24"/>
          <w:szCs w:val="24"/>
          <w:highlight w:val="none"/>
        </w:rPr>
      </w:pPr>
      <w:r>
        <w:rPr>
          <w:rFonts w:hint="eastAsia" w:ascii="Times New Roman" w:hAnsi="Times New Roman" w:cs="Times New Roman"/>
          <w:color w:val="auto"/>
          <w:kern w:val="2"/>
          <w:sz w:val="21"/>
          <w:szCs w:val="24"/>
          <w:highlight w:val="none"/>
          <w:lang w:val="en-US"/>
        </w:rPr>
        <w:t>注:本合同为草案版本，具体内容甲、乙双方签订时约定。</w:t>
      </w:r>
    </w:p>
    <w:sectPr>
      <w:footerReference r:id="rId8" w:type="default"/>
      <w:pgSz w:w="11906" w:h="16838"/>
      <w:pgMar w:top="1440" w:right="1080" w:bottom="1440" w:left="1080" w:header="709" w:footer="709" w:gutter="0"/>
      <w:pgBorders>
        <w:top w:val="none" w:sz="0" w:space="0"/>
        <w:left w:val="none" w:sz="0" w:space="0"/>
        <w:bottom w:val="none" w:sz="0" w:space="0"/>
        <w:right w:val="none" w:sz="0" w:space="0"/>
      </w:pgBorders>
      <w:pgNumType w:fmt="decimal"/>
      <w:cols w:space="425" w:num="1"/>
      <w:docGrid w:linePitch="312"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433">
      <wne:acd wne:acdName="acd1"/>
    </wne:keymap>
    <wne:keymap wne:kcmPrimary="0434">
      <wne:acd wne:acdName="acd2"/>
    </wne:keymap>
    <wne:keymap wne:kcmPrimary="0431">
      <wne:acd wne:acdName="acd3"/>
    </wne:keymap>
  </wne:keymaps>
  <wne:acds>
    <wne:acd wne:argValue="AQAAAAEA" wne:acdName="acd0" wne:fciIndexBasedOn="0065"/>
    <wne:acd wne:argValue="AQAAAAIA" wne:acdName="acd1" wne:fciIndexBasedOn="0065"/>
    <wne:acd wne:argValue="AQAAAAMA" wne:acdName="acd2" wne:fciIndexBasedOn="0065"/>
    <wne:acd wne:argValue="AQAAAAAA" wne:acdName="acd3"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monospace">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à.ā">
    <w:altName w:val="宋体"/>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auto"/>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C9l5ELLAQAAnQMAAA4AAAAAAAAAAQAgAAAAHgEAAGRycy9lMm9E&#10;b2MueG1sUEsFBgAAAAAGAAYAWQEAAFsFAAAAAA==&#10;">
              <v:fill on="f" focussize="0,0"/>
              <v:stroke on="f"/>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t xml:space="preserve">第 </w:t>
                          </w:r>
                          <w:r>
                            <w:fldChar w:fldCharType="begin"/>
                          </w:r>
                          <w:r>
                            <w:instrText xml:space="preserve"> PAGE  \* MERGEFORMAT </w:instrText>
                          </w:r>
                          <w:r>
                            <w:fldChar w:fldCharType="separate"/>
                          </w:r>
                          <w:r>
                            <w:t>2</w:t>
                          </w:r>
                          <w:r>
                            <w:fldChar w:fldCharType="end"/>
                          </w:r>
                          <w:r>
                            <w:t xml:space="preserve"> 页</w:t>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Ofi2cLLAQAAnQMAAA4AAAAAAAAAAQAgAAAAHgEAAGRycy9lMm9E&#10;b2MueG1sUEsFBgAAAAAGAAYAWQEAAFsFAAAAAA==&#10;">
              <v:fill on="f" focussize="0,0"/>
              <v:stroke on="f"/>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EE96C0"/>
    <w:multiLevelType w:val="singleLevel"/>
    <w:tmpl w:val="65EE96C0"/>
    <w:lvl w:ilvl="0" w:tentative="0">
      <w:start w:val="5"/>
      <w:numFmt w:val="chineseCounting"/>
      <w:suff w:val="nothing"/>
      <w:lvlText w:val="%1、"/>
      <w:lvlJc w:val="left"/>
      <w:rPr>
        <w:rFonts w:hint="eastAsia"/>
      </w:rPr>
    </w:lvl>
  </w:abstractNum>
  <w:abstractNum w:abstractNumId="1">
    <w:nsid w:val="6ACAB870"/>
    <w:multiLevelType w:val="singleLevel"/>
    <w:tmpl w:val="6ACAB870"/>
    <w:lvl w:ilvl="0" w:tentative="0">
      <w:start w:val="1"/>
      <w:numFmt w:val="decimal"/>
      <w:suff w:val="nothing"/>
      <w:lvlText w:val="%1"/>
      <w:lvlJc w:val="left"/>
      <w:pPr>
        <w:tabs>
          <w:tab w:val="left" w:pos="0"/>
        </w:tabs>
        <w:ind w:left="0" w:firstLine="0"/>
      </w:pPr>
      <w:rPr>
        <w:rFonts w:hint="default" w:ascii="宋体" w:hAnsi="宋体" w:eastAsia="宋体" w:cs="宋体"/>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noLineBreaksAfter w:lang="zh-CN" w:val="$([{£¥·‘“〈《「『【〔〖〝﹙﹛﹝＄（．［｛￡￥"/>
  <w:noLineBreaksBefore w:lang="zh-CN" w:val="!%),.:;&gt;?]}¢¨°·ˇˉ―‖’”…‰′″›℃∶、。〃〉》」』】〕〗〞︶︺︾﹀﹄﹚﹜﹞！＂％＇），．：；？］｀｜｝～￠"/>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iMmJjMGUyMDNhMGI0MjllZTc4OTE3ODRjOTBjMWQifQ=="/>
  </w:docVars>
  <w:rsids>
    <w:rsidRoot w:val="006E1BEA"/>
    <w:rsid w:val="000021EF"/>
    <w:rsid w:val="000318B7"/>
    <w:rsid w:val="00044D09"/>
    <w:rsid w:val="00090E7C"/>
    <w:rsid w:val="000D25EF"/>
    <w:rsid w:val="000D64D1"/>
    <w:rsid w:val="000E55F9"/>
    <w:rsid w:val="000F6021"/>
    <w:rsid w:val="00102524"/>
    <w:rsid w:val="00107483"/>
    <w:rsid w:val="001120AB"/>
    <w:rsid w:val="00112D84"/>
    <w:rsid w:val="00125F9C"/>
    <w:rsid w:val="001306C4"/>
    <w:rsid w:val="001477F0"/>
    <w:rsid w:val="001628D4"/>
    <w:rsid w:val="001639FA"/>
    <w:rsid w:val="001730DA"/>
    <w:rsid w:val="00197A06"/>
    <w:rsid w:val="00197AA7"/>
    <w:rsid w:val="001F2562"/>
    <w:rsid w:val="00204D36"/>
    <w:rsid w:val="002050EF"/>
    <w:rsid w:val="002156CF"/>
    <w:rsid w:val="0022099E"/>
    <w:rsid w:val="00242CB4"/>
    <w:rsid w:val="00247747"/>
    <w:rsid w:val="00247C60"/>
    <w:rsid w:val="00277AE0"/>
    <w:rsid w:val="002A69BD"/>
    <w:rsid w:val="002B3F04"/>
    <w:rsid w:val="002C0AC7"/>
    <w:rsid w:val="002D05DA"/>
    <w:rsid w:val="002E0EF8"/>
    <w:rsid w:val="0030517D"/>
    <w:rsid w:val="0030581D"/>
    <w:rsid w:val="00312426"/>
    <w:rsid w:val="00320EAF"/>
    <w:rsid w:val="00330C8C"/>
    <w:rsid w:val="00340641"/>
    <w:rsid w:val="003449B8"/>
    <w:rsid w:val="00373A8E"/>
    <w:rsid w:val="003856BD"/>
    <w:rsid w:val="003943ED"/>
    <w:rsid w:val="003A2BB4"/>
    <w:rsid w:val="003C143D"/>
    <w:rsid w:val="003C6CFC"/>
    <w:rsid w:val="003C6E78"/>
    <w:rsid w:val="003D40A4"/>
    <w:rsid w:val="003D5A9B"/>
    <w:rsid w:val="003D6532"/>
    <w:rsid w:val="003E1626"/>
    <w:rsid w:val="003E429D"/>
    <w:rsid w:val="003F0363"/>
    <w:rsid w:val="0041577D"/>
    <w:rsid w:val="00423FA1"/>
    <w:rsid w:val="00426AC2"/>
    <w:rsid w:val="00432115"/>
    <w:rsid w:val="00452198"/>
    <w:rsid w:val="00461175"/>
    <w:rsid w:val="004644AA"/>
    <w:rsid w:val="00471E41"/>
    <w:rsid w:val="004B574B"/>
    <w:rsid w:val="004B592A"/>
    <w:rsid w:val="004B5DB6"/>
    <w:rsid w:val="004B7115"/>
    <w:rsid w:val="004E018E"/>
    <w:rsid w:val="004F7374"/>
    <w:rsid w:val="00515C5E"/>
    <w:rsid w:val="00525667"/>
    <w:rsid w:val="005307CE"/>
    <w:rsid w:val="0053670F"/>
    <w:rsid w:val="00561277"/>
    <w:rsid w:val="005870FB"/>
    <w:rsid w:val="005940EA"/>
    <w:rsid w:val="005B2854"/>
    <w:rsid w:val="005C13E8"/>
    <w:rsid w:val="005C6E77"/>
    <w:rsid w:val="005D316B"/>
    <w:rsid w:val="005D5272"/>
    <w:rsid w:val="005D5A51"/>
    <w:rsid w:val="005F735F"/>
    <w:rsid w:val="00622C06"/>
    <w:rsid w:val="00623461"/>
    <w:rsid w:val="00651836"/>
    <w:rsid w:val="00666607"/>
    <w:rsid w:val="006819CC"/>
    <w:rsid w:val="00685567"/>
    <w:rsid w:val="00690D08"/>
    <w:rsid w:val="00695957"/>
    <w:rsid w:val="006B06DF"/>
    <w:rsid w:val="006D7F6B"/>
    <w:rsid w:val="006E0DB2"/>
    <w:rsid w:val="006E1BEA"/>
    <w:rsid w:val="006E1EEA"/>
    <w:rsid w:val="006F1ADD"/>
    <w:rsid w:val="006F446B"/>
    <w:rsid w:val="00702E55"/>
    <w:rsid w:val="0074565F"/>
    <w:rsid w:val="00746B4B"/>
    <w:rsid w:val="007617FE"/>
    <w:rsid w:val="007649B1"/>
    <w:rsid w:val="00767605"/>
    <w:rsid w:val="00771A93"/>
    <w:rsid w:val="00772E21"/>
    <w:rsid w:val="00781224"/>
    <w:rsid w:val="00787BD3"/>
    <w:rsid w:val="00794075"/>
    <w:rsid w:val="00817CA9"/>
    <w:rsid w:val="00825DE4"/>
    <w:rsid w:val="008275B4"/>
    <w:rsid w:val="00836671"/>
    <w:rsid w:val="008568CD"/>
    <w:rsid w:val="008634E0"/>
    <w:rsid w:val="00875FD3"/>
    <w:rsid w:val="00877138"/>
    <w:rsid w:val="00892B7A"/>
    <w:rsid w:val="008A352A"/>
    <w:rsid w:val="008B0F55"/>
    <w:rsid w:val="008C4592"/>
    <w:rsid w:val="008D5EF4"/>
    <w:rsid w:val="008F7352"/>
    <w:rsid w:val="00917BFB"/>
    <w:rsid w:val="00932A03"/>
    <w:rsid w:val="00935F9F"/>
    <w:rsid w:val="00942C60"/>
    <w:rsid w:val="0095298A"/>
    <w:rsid w:val="00955D99"/>
    <w:rsid w:val="009639B1"/>
    <w:rsid w:val="009643CC"/>
    <w:rsid w:val="00995207"/>
    <w:rsid w:val="009A380A"/>
    <w:rsid w:val="009B420A"/>
    <w:rsid w:val="009C7A0B"/>
    <w:rsid w:val="009D013C"/>
    <w:rsid w:val="009D5896"/>
    <w:rsid w:val="00A171B5"/>
    <w:rsid w:val="00A24BDC"/>
    <w:rsid w:val="00A274CA"/>
    <w:rsid w:val="00A42C99"/>
    <w:rsid w:val="00A47364"/>
    <w:rsid w:val="00A5483F"/>
    <w:rsid w:val="00A55D2D"/>
    <w:rsid w:val="00A60115"/>
    <w:rsid w:val="00A628C1"/>
    <w:rsid w:val="00A73BEB"/>
    <w:rsid w:val="00AB2461"/>
    <w:rsid w:val="00AD1ACD"/>
    <w:rsid w:val="00AF1F11"/>
    <w:rsid w:val="00B16F69"/>
    <w:rsid w:val="00B3472A"/>
    <w:rsid w:val="00B351D8"/>
    <w:rsid w:val="00B40113"/>
    <w:rsid w:val="00B56626"/>
    <w:rsid w:val="00B628BC"/>
    <w:rsid w:val="00B75B76"/>
    <w:rsid w:val="00B764DE"/>
    <w:rsid w:val="00B93FA3"/>
    <w:rsid w:val="00BC162A"/>
    <w:rsid w:val="00BC68EA"/>
    <w:rsid w:val="00BD1C7E"/>
    <w:rsid w:val="00BD48A6"/>
    <w:rsid w:val="00BF0021"/>
    <w:rsid w:val="00BF2C0C"/>
    <w:rsid w:val="00BF2F24"/>
    <w:rsid w:val="00C139B9"/>
    <w:rsid w:val="00C1421F"/>
    <w:rsid w:val="00C32661"/>
    <w:rsid w:val="00C660EE"/>
    <w:rsid w:val="00C70704"/>
    <w:rsid w:val="00C7374A"/>
    <w:rsid w:val="00CA1083"/>
    <w:rsid w:val="00CA16D5"/>
    <w:rsid w:val="00CA6D04"/>
    <w:rsid w:val="00CB0B28"/>
    <w:rsid w:val="00CB2D53"/>
    <w:rsid w:val="00CC69E5"/>
    <w:rsid w:val="00CE39A2"/>
    <w:rsid w:val="00D35EF3"/>
    <w:rsid w:val="00D37D08"/>
    <w:rsid w:val="00D51843"/>
    <w:rsid w:val="00D711E9"/>
    <w:rsid w:val="00D96F3F"/>
    <w:rsid w:val="00DA360F"/>
    <w:rsid w:val="00DA664B"/>
    <w:rsid w:val="00DB6450"/>
    <w:rsid w:val="00DF0AD2"/>
    <w:rsid w:val="00E02178"/>
    <w:rsid w:val="00E03E5A"/>
    <w:rsid w:val="00E059DC"/>
    <w:rsid w:val="00E10304"/>
    <w:rsid w:val="00E465B0"/>
    <w:rsid w:val="00E51241"/>
    <w:rsid w:val="00E53D76"/>
    <w:rsid w:val="00E61FD7"/>
    <w:rsid w:val="00E72AEB"/>
    <w:rsid w:val="00E766C4"/>
    <w:rsid w:val="00EB194E"/>
    <w:rsid w:val="00EB316C"/>
    <w:rsid w:val="00EB73F3"/>
    <w:rsid w:val="00ED228F"/>
    <w:rsid w:val="00EE3095"/>
    <w:rsid w:val="00EE3256"/>
    <w:rsid w:val="00EE648F"/>
    <w:rsid w:val="00F06565"/>
    <w:rsid w:val="00F208EB"/>
    <w:rsid w:val="00F44416"/>
    <w:rsid w:val="00F54782"/>
    <w:rsid w:val="00F57ABE"/>
    <w:rsid w:val="00F85CA7"/>
    <w:rsid w:val="00FA33BB"/>
    <w:rsid w:val="00FB429D"/>
    <w:rsid w:val="00FC0448"/>
    <w:rsid w:val="00FC089A"/>
    <w:rsid w:val="00FC55AE"/>
    <w:rsid w:val="00FE69B7"/>
    <w:rsid w:val="01842FCD"/>
    <w:rsid w:val="01C67125"/>
    <w:rsid w:val="01FB0EA2"/>
    <w:rsid w:val="02D36DFE"/>
    <w:rsid w:val="02EB09AE"/>
    <w:rsid w:val="03382389"/>
    <w:rsid w:val="03905FD3"/>
    <w:rsid w:val="03EF1E8D"/>
    <w:rsid w:val="04626273"/>
    <w:rsid w:val="047C7A43"/>
    <w:rsid w:val="04A85F74"/>
    <w:rsid w:val="04F1318B"/>
    <w:rsid w:val="0548479A"/>
    <w:rsid w:val="05597642"/>
    <w:rsid w:val="05844557"/>
    <w:rsid w:val="05A625A8"/>
    <w:rsid w:val="05DB43DE"/>
    <w:rsid w:val="05F8673E"/>
    <w:rsid w:val="05FC55FB"/>
    <w:rsid w:val="064B67FA"/>
    <w:rsid w:val="072A52D1"/>
    <w:rsid w:val="07415E72"/>
    <w:rsid w:val="074D6F51"/>
    <w:rsid w:val="0751657C"/>
    <w:rsid w:val="092B4153"/>
    <w:rsid w:val="09607F39"/>
    <w:rsid w:val="09922651"/>
    <w:rsid w:val="099E5EF8"/>
    <w:rsid w:val="09D2798C"/>
    <w:rsid w:val="0A51342A"/>
    <w:rsid w:val="0A6A7177"/>
    <w:rsid w:val="0A6C5DBD"/>
    <w:rsid w:val="0AC00DDB"/>
    <w:rsid w:val="0B5717F7"/>
    <w:rsid w:val="0BC03BBD"/>
    <w:rsid w:val="0BEE61DA"/>
    <w:rsid w:val="0C3A0870"/>
    <w:rsid w:val="0D3037CB"/>
    <w:rsid w:val="0DBD17E6"/>
    <w:rsid w:val="0F4E7F38"/>
    <w:rsid w:val="0FA22437"/>
    <w:rsid w:val="0FD24959"/>
    <w:rsid w:val="102E4265"/>
    <w:rsid w:val="108F7C00"/>
    <w:rsid w:val="11B774C7"/>
    <w:rsid w:val="11EA4112"/>
    <w:rsid w:val="11EC5315"/>
    <w:rsid w:val="121216B1"/>
    <w:rsid w:val="12802A16"/>
    <w:rsid w:val="1281366A"/>
    <w:rsid w:val="1308156D"/>
    <w:rsid w:val="13304EBF"/>
    <w:rsid w:val="135500F1"/>
    <w:rsid w:val="13B32072"/>
    <w:rsid w:val="13CE1F6A"/>
    <w:rsid w:val="144128A0"/>
    <w:rsid w:val="14575901"/>
    <w:rsid w:val="14737581"/>
    <w:rsid w:val="14BC3D13"/>
    <w:rsid w:val="16043915"/>
    <w:rsid w:val="16255756"/>
    <w:rsid w:val="165C3C37"/>
    <w:rsid w:val="1660269F"/>
    <w:rsid w:val="169811CB"/>
    <w:rsid w:val="16AB458B"/>
    <w:rsid w:val="16D06D4A"/>
    <w:rsid w:val="16DE0992"/>
    <w:rsid w:val="16F34B0C"/>
    <w:rsid w:val="174E5B9C"/>
    <w:rsid w:val="17621DE4"/>
    <w:rsid w:val="17996E9C"/>
    <w:rsid w:val="179F7D2C"/>
    <w:rsid w:val="17A418F0"/>
    <w:rsid w:val="17AB5E9C"/>
    <w:rsid w:val="17CD442F"/>
    <w:rsid w:val="17E26223"/>
    <w:rsid w:val="18623CD0"/>
    <w:rsid w:val="186539ED"/>
    <w:rsid w:val="1869199C"/>
    <w:rsid w:val="189219F1"/>
    <w:rsid w:val="18FE29CF"/>
    <w:rsid w:val="19130643"/>
    <w:rsid w:val="193B7249"/>
    <w:rsid w:val="19853300"/>
    <w:rsid w:val="19AC381D"/>
    <w:rsid w:val="1A210611"/>
    <w:rsid w:val="1A2E339E"/>
    <w:rsid w:val="1AA647C5"/>
    <w:rsid w:val="1AB06B20"/>
    <w:rsid w:val="1AD7369B"/>
    <w:rsid w:val="1AE21D25"/>
    <w:rsid w:val="1AEB03EA"/>
    <w:rsid w:val="1B061F39"/>
    <w:rsid w:val="1B2A093D"/>
    <w:rsid w:val="1BB17A0E"/>
    <w:rsid w:val="1BEF575D"/>
    <w:rsid w:val="1C0E6153"/>
    <w:rsid w:val="1C1E6D86"/>
    <w:rsid w:val="1CAC364B"/>
    <w:rsid w:val="1D826D37"/>
    <w:rsid w:val="1DC16A34"/>
    <w:rsid w:val="1E021CD3"/>
    <w:rsid w:val="1E0D0FBE"/>
    <w:rsid w:val="1E217E63"/>
    <w:rsid w:val="1E44131A"/>
    <w:rsid w:val="1E8D6410"/>
    <w:rsid w:val="1ED51975"/>
    <w:rsid w:val="1F6B5F3C"/>
    <w:rsid w:val="1FD945EA"/>
    <w:rsid w:val="2077002E"/>
    <w:rsid w:val="208C733E"/>
    <w:rsid w:val="2113004F"/>
    <w:rsid w:val="211B62C7"/>
    <w:rsid w:val="2136235A"/>
    <w:rsid w:val="2140639A"/>
    <w:rsid w:val="21635E34"/>
    <w:rsid w:val="21B211F9"/>
    <w:rsid w:val="21F27C30"/>
    <w:rsid w:val="22283AD0"/>
    <w:rsid w:val="222A0391"/>
    <w:rsid w:val="22327ECE"/>
    <w:rsid w:val="22395FEC"/>
    <w:rsid w:val="227B5090"/>
    <w:rsid w:val="228A535C"/>
    <w:rsid w:val="22A00653"/>
    <w:rsid w:val="22BD4BAC"/>
    <w:rsid w:val="23D36806"/>
    <w:rsid w:val="23EE63EE"/>
    <w:rsid w:val="248671D2"/>
    <w:rsid w:val="261C0484"/>
    <w:rsid w:val="26667E05"/>
    <w:rsid w:val="26A850DC"/>
    <w:rsid w:val="26CA5394"/>
    <w:rsid w:val="26EE6EE4"/>
    <w:rsid w:val="2709205F"/>
    <w:rsid w:val="270A3FC9"/>
    <w:rsid w:val="273269B6"/>
    <w:rsid w:val="27677E98"/>
    <w:rsid w:val="27A72B52"/>
    <w:rsid w:val="27DA2A9C"/>
    <w:rsid w:val="28365B1B"/>
    <w:rsid w:val="2852419D"/>
    <w:rsid w:val="28762A36"/>
    <w:rsid w:val="28A00B53"/>
    <w:rsid w:val="29556528"/>
    <w:rsid w:val="296A592D"/>
    <w:rsid w:val="297B6C15"/>
    <w:rsid w:val="29871201"/>
    <w:rsid w:val="29A53C61"/>
    <w:rsid w:val="29CA3612"/>
    <w:rsid w:val="2A3D1F47"/>
    <w:rsid w:val="2AA175C3"/>
    <w:rsid w:val="2ACC5017"/>
    <w:rsid w:val="2AE16DF9"/>
    <w:rsid w:val="2B6453D5"/>
    <w:rsid w:val="2B86408A"/>
    <w:rsid w:val="2B98364F"/>
    <w:rsid w:val="2BA047BF"/>
    <w:rsid w:val="2BCF4284"/>
    <w:rsid w:val="2C1C3067"/>
    <w:rsid w:val="2CA44D3B"/>
    <w:rsid w:val="2D1F697B"/>
    <w:rsid w:val="2D701511"/>
    <w:rsid w:val="2DE60868"/>
    <w:rsid w:val="2DF07A37"/>
    <w:rsid w:val="2EA211E7"/>
    <w:rsid w:val="2EC07DF8"/>
    <w:rsid w:val="2FB10A87"/>
    <w:rsid w:val="2FDD604B"/>
    <w:rsid w:val="303A1302"/>
    <w:rsid w:val="307A71D3"/>
    <w:rsid w:val="309447C7"/>
    <w:rsid w:val="30A45CDC"/>
    <w:rsid w:val="310752F5"/>
    <w:rsid w:val="31A145C8"/>
    <w:rsid w:val="31A926C2"/>
    <w:rsid w:val="31CC0064"/>
    <w:rsid w:val="31EE072D"/>
    <w:rsid w:val="32340BEE"/>
    <w:rsid w:val="32370A0C"/>
    <w:rsid w:val="32CD341C"/>
    <w:rsid w:val="32E23E93"/>
    <w:rsid w:val="33080CF1"/>
    <w:rsid w:val="34597965"/>
    <w:rsid w:val="347F7FD1"/>
    <w:rsid w:val="34961032"/>
    <w:rsid w:val="35191835"/>
    <w:rsid w:val="35C224C4"/>
    <w:rsid w:val="35DB21BC"/>
    <w:rsid w:val="365C309F"/>
    <w:rsid w:val="367347B0"/>
    <w:rsid w:val="36853B27"/>
    <w:rsid w:val="36CE3410"/>
    <w:rsid w:val="37B76927"/>
    <w:rsid w:val="38F85C1B"/>
    <w:rsid w:val="39D06532"/>
    <w:rsid w:val="3A7367B3"/>
    <w:rsid w:val="3B0E1DA4"/>
    <w:rsid w:val="3B492C6C"/>
    <w:rsid w:val="3B571DE3"/>
    <w:rsid w:val="3B916E97"/>
    <w:rsid w:val="3BB01A99"/>
    <w:rsid w:val="3BB7677E"/>
    <w:rsid w:val="3C2A6E6E"/>
    <w:rsid w:val="3C66198A"/>
    <w:rsid w:val="3CAA7377"/>
    <w:rsid w:val="3D3B138A"/>
    <w:rsid w:val="3D467F24"/>
    <w:rsid w:val="3DA86B6C"/>
    <w:rsid w:val="3DE844EE"/>
    <w:rsid w:val="3E470C97"/>
    <w:rsid w:val="3F3B7709"/>
    <w:rsid w:val="3F423A2F"/>
    <w:rsid w:val="3F512691"/>
    <w:rsid w:val="3F517C08"/>
    <w:rsid w:val="3FD66C67"/>
    <w:rsid w:val="401560D2"/>
    <w:rsid w:val="401A50BE"/>
    <w:rsid w:val="404F14C7"/>
    <w:rsid w:val="40A522C4"/>
    <w:rsid w:val="40E611D1"/>
    <w:rsid w:val="419B7E66"/>
    <w:rsid w:val="41C56984"/>
    <w:rsid w:val="41C906B2"/>
    <w:rsid w:val="41EE5127"/>
    <w:rsid w:val="42545206"/>
    <w:rsid w:val="43C216EC"/>
    <w:rsid w:val="43DD42EE"/>
    <w:rsid w:val="44886550"/>
    <w:rsid w:val="44AF4CCF"/>
    <w:rsid w:val="44F74FE7"/>
    <w:rsid w:val="45C0462F"/>
    <w:rsid w:val="45EC758B"/>
    <w:rsid w:val="463351B6"/>
    <w:rsid w:val="464933A4"/>
    <w:rsid w:val="46E80FBC"/>
    <w:rsid w:val="474B5FA7"/>
    <w:rsid w:val="47E362CD"/>
    <w:rsid w:val="481C57BF"/>
    <w:rsid w:val="48985EAD"/>
    <w:rsid w:val="489C749B"/>
    <w:rsid w:val="48EC2C43"/>
    <w:rsid w:val="49CD5922"/>
    <w:rsid w:val="49CF722B"/>
    <w:rsid w:val="49EF68F8"/>
    <w:rsid w:val="4A1E67C3"/>
    <w:rsid w:val="4A6B24B1"/>
    <w:rsid w:val="4A775C71"/>
    <w:rsid w:val="4ACC0736"/>
    <w:rsid w:val="4AE57700"/>
    <w:rsid w:val="4B08426A"/>
    <w:rsid w:val="4B304714"/>
    <w:rsid w:val="4B59258A"/>
    <w:rsid w:val="4B9A1FA3"/>
    <w:rsid w:val="4BA2413B"/>
    <w:rsid w:val="4BB32C0F"/>
    <w:rsid w:val="4BBD2DBF"/>
    <w:rsid w:val="4BD25CD0"/>
    <w:rsid w:val="4C04698B"/>
    <w:rsid w:val="4CDF054A"/>
    <w:rsid w:val="4CE63F07"/>
    <w:rsid w:val="4D016A87"/>
    <w:rsid w:val="4D137B72"/>
    <w:rsid w:val="4D370AF1"/>
    <w:rsid w:val="4D3F1B7A"/>
    <w:rsid w:val="4D834C75"/>
    <w:rsid w:val="4DE46727"/>
    <w:rsid w:val="4E012495"/>
    <w:rsid w:val="4E8011B5"/>
    <w:rsid w:val="4F95163C"/>
    <w:rsid w:val="504906DE"/>
    <w:rsid w:val="50AD2009"/>
    <w:rsid w:val="50D47596"/>
    <w:rsid w:val="50EE3F45"/>
    <w:rsid w:val="510F33B7"/>
    <w:rsid w:val="51534A55"/>
    <w:rsid w:val="51773717"/>
    <w:rsid w:val="52703A48"/>
    <w:rsid w:val="52847FDC"/>
    <w:rsid w:val="52F37A72"/>
    <w:rsid w:val="530A5A5B"/>
    <w:rsid w:val="531D48F1"/>
    <w:rsid w:val="543A7BF5"/>
    <w:rsid w:val="55572254"/>
    <w:rsid w:val="55DB594E"/>
    <w:rsid w:val="56036258"/>
    <w:rsid w:val="56BF48A0"/>
    <w:rsid w:val="56D35C37"/>
    <w:rsid w:val="57170572"/>
    <w:rsid w:val="580F7106"/>
    <w:rsid w:val="5853176A"/>
    <w:rsid w:val="586E45B5"/>
    <w:rsid w:val="58AB7C31"/>
    <w:rsid w:val="591B6215"/>
    <w:rsid w:val="594164E2"/>
    <w:rsid w:val="598F77DF"/>
    <w:rsid w:val="59D363CD"/>
    <w:rsid w:val="59FC6FC3"/>
    <w:rsid w:val="5A2415ED"/>
    <w:rsid w:val="5A3C5B75"/>
    <w:rsid w:val="5AB86CE6"/>
    <w:rsid w:val="5B0D3003"/>
    <w:rsid w:val="5B412E39"/>
    <w:rsid w:val="5BB73D3C"/>
    <w:rsid w:val="5CA02C36"/>
    <w:rsid w:val="5CAC61B1"/>
    <w:rsid w:val="5CD568AB"/>
    <w:rsid w:val="5D500AC1"/>
    <w:rsid w:val="5D8A720A"/>
    <w:rsid w:val="5DE8462B"/>
    <w:rsid w:val="5F32363F"/>
    <w:rsid w:val="5F4A155B"/>
    <w:rsid w:val="5F6127FC"/>
    <w:rsid w:val="5F9B7DB7"/>
    <w:rsid w:val="5FA6479E"/>
    <w:rsid w:val="608B1CFB"/>
    <w:rsid w:val="619E7478"/>
    <w:rsid w:val="631E2835"/>
    <w:rsid w:val="637D257D"/>
    <w:rsid w:val="639425D2"/>
    <w:rsid w:val="63A0309A"/>
    <w:rsid w:val="63AF2178"/>
    <w:rsid w:val="63E02C9B"/>
    <w:rsid w:val="63E20BEE"/>
    <w:rsid w:val="63E475CE"/>
    <w:rsid w:val="64204739"/>
    <w:rsid w:val="646E757E"/>
    <w:rsid w:val="64BA5B59"/>
    <w:rsid w:val="64FD0B9B"/>
    <w:rsid w:val="65A33991"/>
    <w:rsid w:val="666A67C5"/>
    <w:rsid w:val="666F03DB"/>
    <w:rsid w:val="66895A52"/>
    <w:rsid w:val="66C87533"/>
    <w:rsid w:val="674A2C46"/>
    <w:rsid w:val="67690B1C"/>
    <w:rsid w:val="676E7FA1"/>
    <w:rsid w:val="67A228AB"/>
    <w:rsid w:val="67B04C4A"/>
    <w:rsid w:val="67FA2588"/>
    <w:rsid w:val="681C2277"/>
    <w:rsid w:val="683C6350"/>
    <w:rsid w:val="68863D04"/>
    <w:rsid w:val="689C08FD"/>
    <w:rsid w:val="68B2635B"/>
    <w:rsid w:val="691A769B"/>
    <w:rsid w:val="69544384"/>
    <w:rsid w:val="696C011D"/>
    <w:rsid w:val="698341A7"/>
    <w:rsid w:val="69D44BA8"/>
    <w:rsid w:val="6A3C689B"/>
    <w:rsid w:val="6ABA2666"/>
    <w:rsid w:val="6AFE0FF5"/>
    <w:rsid w:val="6B041441"/>
    <w:rsid w:val="6B1F1F1F"/>
    <w:rsid w:val="6B6F55CA"/>
    <w:rsid w:val="6BCA230B"/>
    <w:rsid w:val="6C0C2F29"/>
    <w:rsid w:val="6D1E51D8"/>
    <w:rsid w:val="6D2B3237"/>
    <w:rsid w:val="6D453DAF"/>
    <w:rsid w:val="6DB52D29"/>
    <w:rsid w:val="6DC64136"/>
    <w:rsid w:val="6DC67844"/>
    <w:rsid w:val="6E847E3C"/>
    <w:rsid w:val="6EDF4E4F"/>
    <w:rsid w:val="6EFA7BDF"/>
    <w:rsid w:val="6F483797"/>
    <w:rsid w:val="6F535B32"/>
    <w:rsid w:val="6FAF6A80"/>
    <w:rsid w:val="6FB12AC1"/>
    <w:rsid w:val="6FBC0FBC"/>
    <w:rsid w:val="6FF849CC"/>
    <w:rsid w:val="702E20D4"/>
    <w:rsid w:val="706466D9"/>
    <w:rsid w:val="716E2F6D"/>
    <w:rsid w:val="71A91D95"/>
    <w:rsid w:val="71E41578"/>
    <w:rsid w:val="72057764"/>
    <w:rsid w:val="72657901"/>
    <w:rsid w:val="72B138CE"/>
    <w:rsid w:val="72CF11F9"/>
    <w:rsid w:val="733046A8"/>
    <w:rsid w:val="73316424"/>
    <w:rsid w:val="73543E10"/>
    <w:rsid w:val="737075CB"/>
    <w:rsid w:val="7388448B"/>
    <w:rsid w:val="741434B5"/>
    <w:rsid w:val="74375828"/>
    <w:rsid w:val="745514AD"/>
    <w:rsid w:val="7524507C"/>
    <w:rsid w:val="75295853"/>
    <w:rsid w:val="76195FD9"/>
    <w:rsid w:val="76531291"/>
    <w:rsid w:val="766111E8"/>
    <w:rsid w:val="773417C9"/>
    <w:rsid w:val="77531CEF"/>
    <w:rsid w:val="77755CF9"/>
    <w:rsid w:val="77F14C14"/>
    <w:rsid w:val="780A3937"/>
    <w:rsid w:val="781C087D"/>
    <w:rsid w:val="7841539E"/>
    <w:rsid w:val="786F3C1F"/>
    <w:rsid w:val="78C42189"/>
    <w:rsid w:val="79357246"/>
    <w:rsid w:val="79941B77"/>
    <w:rsid w:val="7A0027B8"/>
    <w:rsid w:val="7A156064"/>
    <w:rsid w:val="7A330376"/>
    <w:rsid w:val="7AFB5CC1"/>
    <w:rsid w:val="7B1B4547"/>
    <w:rsid w:val="7B30793B"/>
    <w:rsid w:val="7B7D06A6"/>
    <w:rsid w:val="7B7F7F7B"/>
    <w:rsid w:val="7B8C2F4D"/>
    <w:rsid w:val="7C3436FA"/>
    <w:rsid w:val="7C832D5D"/>
    <w:rsid w:val="7CAC6A2E"/>
    <w:rsid w:val="7CB70298"/>
    <w:rsid w:val="7D121883"/>
    <w:rsid w:val="7D2B40C0"/>
    <w:rsid w:val="7D7830D2"/>
    <w:rsid w:val="7E74077A"/>
    <w:rsid w:val="7EB87298"/>
    <w:rsid w:val="7EE1789F"/>
    <w:rsid w:val="7F1D68E0"/>
    <w:rsid w:val="7F256DDD"/>
    <w:rsid w:val="7F2A18ED"/>
    <w:rsid w:val="7F5A6CCC"/>
  </w:rsids>
  <m:mathPr>
    <m:mathFont m:val="Cambria Math"/>
    <m:brkBin m:val="before"/>
    <m:brkBinSub m:val="--"/>
    <m:smallFrac m:val="1"/>
    <m:dispDef/>
    <m:lMargin m:val="0"/>
    <m:rMargin m:val="0"/>
    <m:defJc m:val="centerGroup"/>
    <m:wrapIndent m:val="1440"/>
    <m:intLim m:val="subSup"/>
    <m:naryLim m:val="undOvr"/>
  </m:mathPr>
  <w:attachedSchema w:val="urn:schemas-microsoft-com:office:smarttag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ocked="1"/>
    <w:lsdException w:qFormat="1" w:unhideWhenUsed="0" w:uiPriority="0" w:semiHidden="0" w:name="Emphasis" w:locked="1"/>
    <w:lsdException w:qFormat="1" w:uiPriority="99"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spacing w:line="360" w:lineRule="auto"/>
    </w:pPr>
    <w:rPr>
      <w:rFonts w:ascii="宋体" w:hAnsi="宋体" w:eastAsia="宋体" w:cs="宋体"/>
      <w:sz w:val="24"/>
      <w:szCs w:val="22"/>
      <w:lang w:val="zh-CN" w:eastAsia="zh-CN" w:bidi="ar-SA"/>
    </w:rPr>
  </w:style>
  <w:style w:type="paragraph" w:styleId="4">
    <w:name w:val="heading 1"/>
    <w:basedOn w:val="1"/>
    <w:next w:val="1"/>
    <w:link w:val="42"/>
    <w:qFormat/>
    <w:uiPriority w:val="99"/>
    <w:pPr>
      <w:spacing w:line="360" w:lineRule="auto"/>
      <w:ind w:left="0" w:right="0"/>
      <w:jc w:val="center"/>
      <w:outlineLvl w:val="0"/>
    </w:pPr>
    <w:rPr>
      <w:b/>
      <w:sz w:val="32"/>
      <w:szCs w:val="36"/>
    </w:rPr>
  </w:style>
  <w:style w:type="paragraph" w:styleId="5">
    <w:name w:val="heading 2"/>
    <w:basedOn w:val="1"/>
    <w:next w:val="1"/>
    <w:link w:val="43"/>
    <w:qFormat/>
    <w:uiPriority w:val="9"/>
    <w:pPr>
      <w:spacing w:line="360" w:lineRule="auto"/>
      <w:jc w:val="center"/>
      <w:outlineLvl w:val="1"/>
    </w:pPr>
    <w:rPr>
      <w:rFonts w:eastAsia="黑体"/>
      <w:b/>
      <w:bCs/>
      <w:sz w:val="28"/>
      <w:szCs w:val="31"/>
    </w:rPr>
  </w:style>
  <w:style w:type="paragraph" w:styleId="6">
    <w:name w:val="heading 3"/>
    <w:basedOn w:val="1"/>
    <w:next w:val="1"/>
    <w:link w:val="40"/>
    <w:qFormat/>
    <w:uiPriority w:val="99"/>
    <w:pPr>
      <w:spacing w:line="360" w:lineRule="auto"/>
      <w:ind w:left="0"/>
      <w:outlineLvl w:val="2"/>
    </w:pPr>
    <w:rPr>
      <w:rFonts w:ascii="宋体" w:hAnsi="宋体" w:eastAsia="宋体"/>
      <w:b/>
      <w:sz w:val="24"/>
      <w:szCs w:val="31"/>
    </w:rPr>
  </w:style>
  <w:style w:type="paragraph" w:styleId="7">
    <w:name w:val="heading 4"/>
    <w:basedOn w:val="1"/>
    <w:next w:val="1"/>
    <w:link w:val="44"/>
    <w:qFormat/>
    <w:uiPriority w:val="99"/>
    <w:pPr>
      <w:ind w:left="821" w:right="1062"/>
      <w:jc w:val="center"/>
      <w:outlineLvl w:val="3"/>
    </w:pPr>
    <w:rPr>
      <w:b/>
      <w:bCs/>
      <w:sz w:val="28"/>
      <w:szCs w:val="28"/>
    </w:rPr>
  </w:style>
  <w:style w:type="paragraph" w:styleId="8">
    <w:name w:val="heading 5"/>
    <w:basedOn w:val="1"/>
    <w:next w:val="1"/>
    <w:link w:val="45"/>
    <w:qFormat/>
    <w:uiPriority w:val="99"/>
    <w:pPr>
      <w:ind w:left="1463" w:hanging="481"/>
      <w:outlineLvl w:val="4"/>
    </w:pPr>
    <w:rPr>
      <w:b/>
      <w:bCs/>
      <w:sz w:val="24"/>
      <w:szCs w:val="24"/>
    </w:rPr>
  </w:style>
  <w:style w:type="paragraph" w:styleId="9">
    <w:name w:val="heading 6"/>
    <w:basedOn w:val="1"/>
    <w:next w:val="1"/>
    <w:link w:val="46"/>
    <w:qFormat/>
    <w:uiPriority w:val="99"/>
    <w:pPr>
      <w:keepNext/>
      <w:keepLines/>
      <w:spacing w:line="317" w:lineRule="auto"/>
      <w:outlineLvl w:val="5"/>
    </w:pPr>
    <w:rPr>
      <w:rFonts w:ascii="Arial" w:hAnsi="Arial" w:eastAsia="黑体" w:cs="Times New Roman"/>
      <w:b/>
      <w:sz w:val="24"/>
      <w:szCs w:val="20"/>
      <w:lang w:val="en-US"/>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47"/>
    <w:qFormat/>
    <w:uiPriority w:val="99"/>
    <w:rPr>
      <w:sz w:val="24"/>
      <w:szCs w:val="24"/>
    </w:rPr>
  </w:style>
  <w:style w:type="paragraph" w:styleId="3">
    <w:name w:val="Quote"/>
    <w:basedOn w:val="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10">
    <w:name w:val="Normal Indent"/>
    <w:basedOn w:val="1"/>
    <w:qFormat/>
    <w:uiPriority w:val="0"/>
    <w:pPr>
      <w:ind w:firstLine="420" w:firstLineChars="200"/>
    </w:pPr>
  </w:style>
  <w:style w:type="paragraph" w:styleId="11">
    <w:name w:val="Document Map"/>
    <w:basedOn w:val="1"/>
    <w:link w:val="59"/>
    <w:semiHidden/>
    <w:unhideWhenUsed/>
    <w:qFormat/>
    <w:uiPriority w:val="99"/>
    <w:rPr>
      <w:sz w:val="18"/>
      <w:szCs w:val="18"/>
    </w:rPr>
  </w:style>
  <w:style w:type="paragraph" w:styleId="12">
    <w:name w:val="annotation text"/>
    <w:basedOn w:val="1"/>
    <w:semiHidden/>
    <w:unhideWhenUsed/>
    <w:qFormat/>
    <w:uiPriority w:val="99"/>
    <w:pPr>
      <w:jc w:val="left"/>
    </w:pPr>
  </w:style>
  <w:style w:type="paragraph" w:styleId="13">
    <w:name w:val="Body Text Indent"/>
    <w:basedOn w:val="1"/>
    <w:next w:val="14"/>
    <w:qFormat/>
    <w:uiPriority w:val="0"/>
    <w:pPr>
      <w:ind w:firstLine="630"/>
    </w:pPr>
    <w:rPr>
      <w:rFonts w:ascii="Times New Roman" w:hAnsi="Times New Roman"/>
      <w:color w:val="auto"/>
      <w:sz w:val="20"/>
      <w:szCs w:val="24"/>
    </w:rPr>
  </w:style>
  <w:style w:type="paragraph" w:styleId="14">
    <w:name w:val="envelope return"/>
    <w:basedOn w:val="1"/>
    <w:qFormat/>
    <w:uiPriority w:val="0"/>
    <w:pPr>
      <w:snapToGrid w:val="0"/>
    </w:pPr>
    <w:rPr>
      <w:rFonts w:ascii="Arial" w:hAnsi="Arial"/>
    </w:rPr>
  </w:style>
  <w:style w:type="paragraph" w:styleId="15">
    <w:name w:val="Plain Text"/>
    <w:basedOn w:val="1"/>
    <w:qFormat/>
    <w:uiPriority w:val="0"/>
    <w:pPr>
      <w:autoSpaceDE w:val="0"/>
      <w:autoSpaceDN w:val="0"/>
      <w:adjustRightInd w:val="0"/>
    </w:pPr>
    <w:rPr>
      <w:rFonts w:ascii="宋体" w:hAnsi="Tms Rmn"/>
      <w:kern w:val="0"/>
      <w:szCs w:val="20"/>
    </w:rPr>
  </w:style>
  <w:style w:type="paragraph" w:styleId="16">
    <w:name w:val="Date"/>
    <w:basedOn w:val="1"/>
    <w:next w:val="1"/>
    <w:link w:val="60"/>
    <w:semiHidden/>
    <w:unhideWhenUsed/>
    <w:qFormat/>
    <w:uiPriority w:val="99"/>
    <w:pPr>
      <w:ind w:left="100" w:leftChars="2500"/>
    </w:pPr>
  </w:style>
  <w:style w:type="paragraph" w:styleId="17">
    <w:name w:val="Body Text Indent 2"/>
    <w:basedOn w:val="1"/>
    <w:link w:val="66"/>
    <w:semiHidden/>
    <w:unhideWhenUsed/>
    <w:qFormat/>
    <w:uiPriority w:val="99"/>
    <w:pPr>
      <w:spacing w:after="120" w:line="480" w:lineRule="auto"/>
      <w:ind w:left="420" w:leftChars="200"/>
    </w:pPr>
  </w:style>
  <w:style w:type="paragraph" w:styleId="18">
    <w:name w:val="Balloon Text"/>
    <w:basedOn w:val="1"/>
    <w:link w:val="58"/>
    <w:semiHidden/>
    <w:unhideWhenUsed/>
    <w:qFormat/>
    <w:uiPriority w:val="99"/>
    <w:rPr>
      <w:sz w:val="18"/>
      <w:szCs w:val="18"/>
    </w:rPr>
  </w:style>
  <w:style w:type="paragraph" w:styleId="19">
    <w:name w:val="footer"/>
    <w:basedOn w:val="1"/>
    <w:link w:val="55"/>
    <w:qFormat/>
    <w:uiPriority w:val="99"/>
    <w:pPr>
      <w:tabs>
        <w:tab w:val="center" w:pos="4153"/>
        <w:tab w:val="right" w:pos="8306"/>
      </w:tabs>
      <w:snapToGrid w:val="0"/>
    </w:pPr>
    <w:rPr>
      <w:sz w:val="18"/>
      <w:szCs w:val="18"/>
    </w:rPr>
  </w:style>
  <w:style w:type="paragraph" w:styleId="20">
    <w:name w:val="header"/>
    <w:basedOn w:val="1"/>
    <w:link w:val="54"/>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spacing w:line="360" w:lineRule="auto"/>
      <w:jc w:val="both"/>
    </w:pPr>
    <w:rPr>
      <w:sz w:val="24"/>
      <w:szCs w:val="28"/>
    </w:rPr>
  </w:style>
  <w:style w:type="paragraph" w:styleId="22">
    <w:name w:val="toc 6"/>
    <w:basedOn w:val="1"/>
    <w:next w:val="1"/>
    <w:qFormat/>
    <w:uiPriority w:val="0"/>
    <w:pPr>
      <w:ind w:left="1050"/>
      <w:jc w:val="left"/>
    </w:pPr>
    <w:rPr>
      <w:sz w:val="18"/>
      <w:szCs w:val="18"/>
    </w:rPr>
  </w:style>
  <w:style w:type="paragraph" w:styleId="23">
    <w:name w:val="Normal (Web)"/>
    <w:basedOn w:val="1"/>
    <w:unhideWhenUsed/>
    <w:qFormat/>
    <w:uiPriority w:val="99"/>
    <w:pPr>
      <w:widowControl/>
      <w:spacing w:before="100" w:beforeAutospacing="1" w:after="100" w:afterAutospacing="1"/>
      <w:jc w:val="left"/>
    </w:pPr>
    <w:rPr>
      <w:rFonts w:hAnsi="宋体" w:cs="宋体"/>
      <w:sz w:val="18"/>
      <w:szCs w:val="18"/>
    </w:rPr>
  </w:style>
  <w:style w:type="paragraph" w:styleId="24">
    <w:name w:val="Body Text First Indent"/>
    <w:basedOn w:val="2"/>
    <w:next w:val="1"/>
    <w:qFormat/>
    <w:uiPriority w:val="0"/>
    <w:pPr>
      <w:spacing w:line="360" w:lineRule="auto"/>
      <w:ind w:firstLine="200" w:firstLineChars="200"/>
      <w:jc w:val="left"/>
    </w:pPr>
    <w:rPr>
      <w:bCs/>
      <w:sz w:val="24"/>
    </w:rPr>
  </w:style>
  <w:style w:type="table" w:styleId="26">
    <w:name w:val="Table Grid"/>
    <w:basedOn w:val="25"/>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qFormat/>
    <w:locked/>
    <w:uiPriority w:val="0"/>
    <w:rPr>
      <w:b/>
      <w:bdr w:val="single" w:color="BDBEC1" w:sz="6" w:space="0"/>
      <w:shd w:val="clear" w:fill="FFFFFF"/>
    </w:rPr>
  </w:style>
  <w:style w:type="character" w:styleId="29">
    <w:name w:val="FollowedHyperlink"/>
    <w:basedOn w:val="27"/>
    <w:semiHidden/>
    <w:unhideWhenUsed/>
    <w:qFormat/>
    <w:uiPriority w:val="99"/>
    <w:rPr>
      <w:color w:val="000000"/>
      <w:u w:val="single"/>
    </w:rPr>
  </w:style>
  <w:style w:type="character" w:styleId="30">
    <w:name w:val="Emphasis"/>
    <w:basedOn w:val="27"/>
    <w:qFormat/>
    <w:locked/>
    <w:uiPriority w:val="0"/>
    <w:rPr>
      <w:b/>
    </w:rPr>
  </w:style>
  <w:style w:type="character" w:styleId="31">
    <w:name w:val="HTML Definition"/>
    <w:basedOn w:val="27"/>
    <w:semiHidden/>
    <w:unhideWhenUsed/>
    <w:qFormat/>
    <w:uiPriority w:val="99"/>
  </w:style>
  <w:style w:type="character" w:styleId="32">
    <w:name w:val="HTML Typewriter"/>
    <w:basedOn w:val="27"/>
    <w:semiHidden/>
    <w:unhideWhenUsed/>
    <w:qFormat/>
    <w:uiPriority w:val="99"/>
    <w:rPr>
      <w:rFonts w:hint="default" w:ascii="monospace" w:hAnsi="monospace" w:eastAsia="monospace" w:cs="monospace"/>
      <w:sz w:val="20"/>
      <w:bdr w:val="single" w:color="DBDEC1" w:sz="6" w:space="0"/>
      <w:shd w:val="clear" w:fill="FFFFFF"/>
    </w:rPr>
  </w:style>
  <w:style w:type="character" w:styleId="33">
    <w:name w:val="HTML Acronym"/>
    <w:basedOn w:val="27"/>
    <w:semiHidden/>
    <w:unhideWhenUsed/>
    <w:qFormat/>
    <w:uiPriority w:val="99"/>
  </w:style>
  <w:style w:type="character" w:styleId="34">
    <w:name w:val="HTML Variable"/>
    <w:basedOn w:val="27"/>
    <w:semiHidden/>
    <w:unhideWhenUsed/>
    <w:qFormat/>
    <w:uiPriority w:val="99"/>
  </w:style>
  <w:style w:type="character" w:styleId="35">
    <w:name w:val="Hyperlink"/>
    <w:basedOn w:val="27"/>
    <w:unhideWhenUsed/>
    <w:qFormat/>
    <w:uiPriority w:val="99"/>
    <w:rPr>
      <w:color w:val="000000"/>
      <w:u w:val="single"/>
    </w:rPr>
  </w:style>
  <w:style w:type="character" w:styleId="36">
    <w:name w:val="HTML Code"/>
    <w:basedOn w:val="27"/>
    <w:semiHidden/>
    <w:unhideWhenUsed/>
    <w:qFormat/>
    <w:uiPriority w:val="99"/>
    <w:rPr>
      <w:rFonts w:ascii="monospace" w:hAnsi="monospace" w:eastAsia="monospace" w:cs="monospace"/>
      <w:sz w:val="20"/>
    </w:rPr>
  </w:style>
  <w:style w:type="character" w:styleId="37">
    <w:name w:val="HTML Cite"/>
    <w:basedOn w:val="27"/>
    <w:semiHidden/>
    <w:unhideWhenUsed/>
    <w:qFormat/>
    <w:uiPriority w:val="99"/>
  </w:style>
  <w:style w:type="character" w:styleId="38">
    <w:name w:val="HTML Keyboard"/>
    <w:basedOn w:val="27"/>
    <w:semiHidden/>
    <w:unhideWhenUsed/>
    <w:qFormat/>
    <w:uiPriority w:val="99"/>
    <w:rPr>
      <w:rFonts w:hint="default" w:ascii="monospace" w:hAnsi="monospace" w:eastAsia="monospace" w:cs="monospace"/>
      <w:sz w:val="20"/>
    </w:rPr>
  </w:style>
  <w:style w:type="character" w:styleId="39">
    <w:name w:val="HTML Sample"/>
    <w:basedOn w:val="27"/>
    <w:semiHidden/>
    <w:unhideWhenUsed/>
    <w:qFormat/>
    <w:uiPriority w:val="99"/>
    <w:rPr>
      <w:rFonts w:hint="default" w:ascii="monospace" w:hAnsi="monospace" w:eastAsia="monospace" w:cs="monospace"/>
    </w:rPr>
  </w:style>
  <w:style w:type="character" w:customStyle="1" w:styleId="40">
    <w:name w:val="标题 3 Char"/>
    <w:basedOn w:val="27"/>
    <w:link w:val="6"/>
    <w:semiHidden/>
    <w:qFormat/>
    <w:uiPriority w:val="9"/>
    <w:rPr>
      <w:rFonts w:ascii="宋体" w:hAnsi="宋体" w:eastAsia="宋体" w:cs="宋体"/>
      <w:b/>
      <w:bCs/>
      <w:kern w:val="0"/>
      <w:sz w:val="24"/>
      <w:szCs w:val="32"/>
      <w:lang w:val="zh-CN"/>
    </w:rPr>
  </w:style>
  <w:style w:type="paragraph" w:customStyle="1" w:styleId="41">
    <w:name w:val="_Style 2"/>
    <w:next w:val="1"/>
    <w:qFormat/>
    <w:uiPriority w:val="0"/>
    <w:pPr>
      <w:ind w:left="420" w:firstLine="3748"/>
      <w:jc w:val="both"/>
    </w:pPr>
    <w:rPr>
      <w:rFonts w:ascii="Calibri" w:hAnsi="Calibri" w:eastAsia="宋体" w:cs="Times New Roman"/>
      <w:lang w:val="en-US" w:eastAsia="zh-CN" w:bidi="ar-SA"/>
    </w:rPr>
  </w:style>
  <w:style w:type="character" w:customStyle="1" w:styleId="42">
    <w:name w:val="标题 1 Char"/>
    <w:basedOn w:val="27"/>
    <w:link w:val="4"/>
    <w:qFormat/>
    <w:uiPriority w:val="9"/>
    <w:rPr>
      <w:rFonts w:ascii="宋体" w:hAnsi="宋体" w:eastAsia="宋体" w:cs="宋体"/>
      <w:b/>
      <w:bCs/>
      <w:kern w:val="44"/>
      <w:sz w:val="32"/>
      <w:szCs w:val="44"/>
      <w:lang w:val="zh-CN"/>
    </w:rPr>
  </w:style>
  <w:style w:type="character" w:customStyle="1" w:styleId="43">
    <w:name w:val="标题 2 Char"/>
    <w:basedOn w:val="27"/>
    <w:link w:val="5"/>
    <w:semiHidden/>
    <w:qFormat/>
    <w:uiPriority w:val="9"/>
    <w:rPr>
      <w:rFonts w:ascii="宋体" w:hAnsi="宋体" w:eastAsia="黑体" w:cstheme="majorBidi"/>
      <w:b/>
      <w:bCs/>
      <w:kern w:val="0"/>
      <w:sz w:val="28"/>
      <w:szCs w:val="32"/>
      <w:lang w:val="zh-CN"/>
    </w:rPr>
  </w:style>
  <w:style w:type="character" w:customStyle="1" w:styleId="44">
    <w:name w:val="标题 4 Char"/>
    <w:basedOn w:val="27"/>
    <w:link w:val="7"/>
    <w:semiHidden/>
    <w:qFormat/>
    <w:uiPriority w:val="9"/>
    <w:rPr>
      <w:rFonts w:asciiTheme="majorHAnsi" w:hAnsiTheme="majorHAnsi" w:eastAsiaTheme="majorEastAsia" w:cstheme="majorBidi"/>
      <w:b/>
      <w:bCs/>
      <w:kern w:val="0"/>
      <w:sz w:val="28"/>
      <w:szCs w:val="28"/>
      <w:lang w:val="zh-CN"/>
    </w:rPr>
  </w:style>
  <w:style w:type="character" w:customStyle="1" w:styleId="45">
    <w:name w:val="标题 5 Char"/>
    <w:basedOn w:val="27"/>
    <w:link w:val="8"/>
    <w:qFormat/>
    <w:locked/>
    <w:uiPriority w:val="99"/>
    <w:rPr>
      <w:rFonts w:ascii="宋体" w:hAnsi="宋体" w:eastAsia="宋体"/>
      <w:b/>
      <w:sz w:val="24"/>
      <w:lang w:val="zh-CN" w:eastAsia="zh-CN"/>
    </w:rPr>
  </w:style>
  <w:style w:type="character" w:customStyle="1" w:styleId="46">
    <w:name w:val="标题 6 Char"/>
    <w:basedOn w:val="27"/>
    <w:link w:val="9"/>
    <w:qFormat/>
    <w:locked/>
    <w:uiPriority w:val="99"/>
    <w:rPr>
      <w:rFonts w:ascii="Arial" w:hAnsi="Arial" w:eastAsia="黑体"/>
      <w:b/>
      <w:sz w:val="24"/>
    </w:rPr>
  </w:style>
  <w:style w:type="character" w:customStyle="1" w:styleId="47">
    <w:name w:val="正文文本 Char"/>
    <w:basedOn w:val="27"/>
    <w:link w:val="2"/>
    <w:semiHidden/>
    <w:qFormat/>
    <w:uiPriority w:val="99"/>
    <w:rPr>
      <w:rFonts w:ascii="宋体" w:hAnsi="宋体" w:cs="宋体"/>
      <w:kern w:val="0"/>
      <w:sz w:val="22"/>
      <w:lang w:val="zh-CN"/>
    </w:rPr>
  </w:style>
  <w:style w:type="table" w:customStyle="1" w:styleId="48">
    <w:name w:val="Table Normal1"/>
    <w:semiHidden/>
    <w:qFormat/>
    <w:uiPriority w:val="99"/>
    <w:tblPr>
      <w:tblCellMar>
        <w:top w:w="0" w:type="dxa"/>
        <w:left w:w="0" w:type="dxa"/>
        <w:bottom w:w="0" w:type="dxa"/>
        <w:right w:w="0" w:type="dxa"/>
      </w:tblCellMar>
    </w:tblPr>
  </w:style>
  <w:style w:type="paragraph" w:styleId="49">
    <w:name w:val="List Paragraph"/>
    <w:basedOn w:val="1"/>
    <w:link w:val="51"/>
    <w:qFormat/>
    <w:uiPriority w:val="99"/>
    <w:pPr>
      <w:ind w:left="982" w:firstLine="481"/>
    </w:pPr>
    <w:rPr>
      <w:sz w:val="20"/>
      <w:szCs w:val="20"/>
    </w:rPr>
  </w:style>
  <w:style w:type="paragraph" w:customStyle="1" w:styleId="50">
    <w:name w:val="Table Paragraph"/>
    <w:basedOn w:val="1"/>
    <w:link w:val="52"/>
    <w:qFormat/>
    <w:uiPriority w:val="99"/>
    <w:rPr>
      <w:sz w:val="20"/>
      <w:szCs w:val="20"/>
    </w:rPr>
  </w:style>
  <w:style w:type="character" w:customStyle="1" w:styleId="51">
    <w:name w:val="列出段落 Char"/>
    <w:link w:val="49"/>
    <w:qFormat/>
    <w:locked/>
    <w:uiPriority w:val="99"/>
    <w:rPr>
      <w:rFonts w:ascii="宋体" w:hAnsi="宋体" w:eastAsia="宋体"/>
      <w:lang w:val="zh-CN" w:eastAsia="zh-CN"/>
    </w:rPr>
  </w:style>
  <w:style w:type="character" w:customStyle="1" w:styleId="52">
    <w:name w:val="Table Paragraph Char"/>
    <w:link w:val="50"/>
    <w:qFormat/>
    <w:locked/>
    <w:uiPriority w:val="99"/>
    <w:rPr>
      <w:rFonts w:ascii="宋体" w:hAnsi="宋体" w:eastAsia="宋体"/>
      <w:lang w:val="zh-CN" w:eastAsia="zh-CN"/>
    </w:rPr>
  </w:style>
  <w:style w:type="paragraph" w:customStyle="1" w:styleId="53">
    <w:name w:val="msolistparagraph"/>
    <w:basedOn w:val="1"/>
    <w:qFormat/>
    <w:uiPriority w:val="99"/>
    <w:pPr>
      <w:ind w:firstLine="420" w:firstLineChars="200"/>
    </w:pPr>
    <w:rPr>
      <w:rFonts w:ascii="Calibri" w:hAnsi="Calibri"/>
      <w:szCs w:val="21"/>
    </w:rPr>
  </w:style>
  <w:style w:type="character" w:customStyle="1" w:styleId="54">
    <w:name w:val="页眉 Char"/>
    <w:basedOn w:val="27"/>
    <w:link w:val="20"/>
    <w:semiHidden/>
    <w:qFormat/>
    <w:uiPriority w:val="99"/>
    <w:rPr>
      <w:rFonts w:ascii="宋体" w:hAnsi="宋体" w:cs="宋体"/>
      <w:kern w:val="0"/>
      <w:sz w:val="18"/>
      <w:szCs w:val="18"/>
      <w:lang w:val="zh-CN"/>
    </w:rPr>
  </w:style>
  <w:style w:type="character" w:customStyle="1" w:styleId="55">
    <w:name w:val="页脚 Char"/>
    <w:basedOn w:val="27"/>
    <w:link w:val="19"/>
    <w:qFormat/>
    <w:uiPriority w:val="99"/>
    <w:rPr>
      <w:rFonts w:ascii="宋体" w:hAnsi="宋体" w:cs="宋体"/>
      <w:kern w:val="0"/>
      <w:sz w:val="18"/>
      <w:szCs w:val="18"/>
      <w:lang w:val="zh-CN"/>
    </w:rPr>
  </w:style>
  <w:style w:type="character" w:customStyle="1" w:styleId="56">
    <w:name w:val="font11"/>
    <w:basedOn w:val="27"/>
    <w:qFormat/>
    <w:uiPriority w:val="0"/>
    <w:rPr>
      <w:rFonts w:hint="eastAsia" w:ascii="仿宋" w:hAnsi="仿宋" w:eastAsia="仿宋" w:cs="仿宋"/>
      <w:color w:val="000000"/>
      <w:sz w:val="24"/>
      <w:szCs w:val="24"/>
      <w:u w:val="none"/>
    </w:rPr>
  </w:style>
  <w:style w:type="character" w:customStyle="1" w:styleId="57">
    <w:name w:val="font01"/>
    <w:basedOn w:val="27"/>
    <w:qFormat/>
    <w:uiPriority w:val="0"/>
    <w:rPr>
      <w:rFonts w:hint="eastAsia" w:ascii="仿宋" w:hAnsi="仿宋" w:eastAsia="仿宋" w:cs="仿宋"/>
      <w:color w:val="FF0000"/>
      <w:sz w:val="24"/>
      <w:szCs w:val="24"/>
      <w:u w:val="none"/>
    </w:rPr>
  </w:style>
  <w:style w:type="character" w:customStyle="1" w:styleId="58">
    <w:name w:val="批注框文本 Char"/>
    <w:basedOn w:val="27"/>
    <w:link w:val="18"/>
    <w:semiHidden/>
    <w:qFormat/>
    <w:uiPriority w:val="99"/>
    <w:rPr>
      <w:rFonts w:ascii="宋体" w:hAnsi="宋体" w:cs="宋体"/>
      <w:sz w:val="18"/>
      <w:szCs w:val="18"/>
      <w:lang w:val="zh-CN"/>
    </w:rPr>
  </w:style>
  <w:style w:type="character" w:customStyle="1" w:styleId="59">
    <w:name w:val="文档结构图 Char"/>
    <w:basedOn w:val="27"/>
    <w:link w:val="11"/>
    <w:semiHidden/>
    <w:qFormat/>
    <w:uiPriority w:val="99"/>
    <w:rPr>
      <w:rFonts w:ascii="宋体" w:hAnsi="宋体" w:cs="宋体"/>
      <w:sz w:val="18"/>
      <w:szCs w:val="18"/>
      <w:lang w:val="zh-CN"/>
    </w:rPr>
  </w:style>
  <w:style w:type="character" w:customStyle="1" w:styleId="60">
    <w:name w:val="日期 Char"/>
    <w:basedOn w:val="27"/>
    <w:link w:val="16"/>
    <w:semiHidden/>
    <w:qFormat/>
    <w:uiPriority w:val="99"/>
    <w:rPr>
      <w:rFonts w:ascii="宋体" w:hAnsi="宋体" w:cs="宋体"/>
      <w:sz w:val="22"/>
      <w:szCs w:val="22"/>
      <w:lang w:val="zh-CN"/>
    </w:rPr>
  </w:style>
  <w:style w:type="paragraph" w:customStyle="1" w:styleId="61">
    <w:name w:val="样式"/>
    <w:qFormat/>
    <w:uiPriority w:val="0"/>
    <w:pPr>
      <w:widowControl w:val="0"/>
      <w:wordWrap w:val="0"/>
      <w:autoSpaceDE w:val="0"/>
      <w:autoSpaceDN w:val="0"/>
      <w:adjustRightInd w:val="0"/>
      <w:spacing w:line="360" w:lineRule="auto"/>
    </w:pPr>
    <w:rPr>
      <w:rFonts w:ascii="宋体" w:hAnsi="宋体" w:eastAsia="宋体" w:cs="宋体"/>
      <w:sz w:val="24"/>
      <w:szCs w:val="24"/>
      <w:lang w:val="en-US" w:eastAsia="zh-CN" w:bidi="ar-SA"/>
    </w:rPr>
  </w:style>
  <w:style w:type="paragraph" w:customStyle="1" w:styleId="62">
    <w:name w:val="正文1"/>
    <w:basedOn w:val="1"/>
    <w:qFormat/>
    <w:uiPriority w:val="0"/>
    <w:pPr>
      <w:autoSpaceDE/>
      <w:autoSpaceDN/>
      <w:spacing w:line="480" w:lineRule="auto"/>
      <w:ind w:firstLine="480" w:firstLineChars="200"/>
      <w:jc w:val="both"/>
    </w:pPr>
    <w:rPr>
      <w:rFonts w:eastAsiaTheme="minorEastAsia" w:cstheme="minorBidi"/>
      <w:kern w:val="2"/>
      <w:sz w:val="24"/>
      <w:szCs w:val="21"/>
      <w:lang w:val="en-US"/>
    </w:rPr>
  </w:style>
  <w:style w:type="paragraph" w:customStyle="1" w:styleId="63">
    <w:name w:val="_正文段落"/>
    <w:basedOn w:val="1"/>
    <w:qFormat/>
    <w:uiPriority w:val="0"/>
    <w:pPr>
      <w:autoSpaceDE/>
      <w:autoSpaceDN/>
      <w:spacing w:beforeLines="15" w:afterLines="15" w:line="360" w:lineRule="auto"/>
      <w:ind w:firstLine="200" w:firstLineChars="200"/>
      <w:jc w:val="both"/>
    </w:pPr>
    <w:rPr>
      <w:rFonts w:hAnsi="Times New Roman" w:eastAsia="Times New Roman" w:cs="Times New Roman"/>
      <w:sz w:val="28"/>
      <w:szCs w:val="24"/>
      <w:lang w:val="en-US"/>
    </w:rPr>
  </w:style>
  <w:style w:type="paragraph" w:customStyle="1" w:styleId="64">
    <w:name w:val="reader-word-layer reader-word-s5-1"/>
    <w:basedOn w:val="1"/>
    <w:qFormat/>
    <w:uiPriority w:val="0"/>
    <w:pPr>
      <w:widowControl/>
      <w:autoSpaceDE/>
      <w:autoSpaceDN/>
      <w:spacing w:before="100" w:beforeAutospacing="1" w:after="100" w:afterAutospacing="1"/>
    </w:pPr>
    <w:rPr>
      <w:rFonts w:hint="eastAsia"/>
      <w:sz w:val="24"/>
      <w:szCs w:val="24"/>
      <w:lang w:val="en-US"/>
    </w:rPr>
  </w:style>
  <w:style w:type="paragraph" w:customStyle="1" w:styleId="65">
    <w:name w:val="reader-word-layer reader-word-s4-1"/>
    <w:basedOn w:val="1"/>
    <w:qFormat/>
    <w:uiPriority w:val="0"/>
    <w:pPr>
      <w:widowControl/>
      <w:autoSpaceDE/>
      <w:autoSpaceDN/>
      <w:spacing w:before="100" w:beforeAutospacing="1" w:after="100" w:afterAutospacing="1"/>
    </w:pPr>
    <w:rPr>
      <w:rFonts w:hint="eastAsia"/>
      <w:sz w:val="24"/>
      <w:szCs w:val="24"/>
      <w:lang w:val="en-US"/>
    </w:rPr>
  </w:style>
  <w:style w:type="character" w:customStyle="1" w:styleId="66">
    <w:name w:val="正文文本缩进 2 Char"/>
    <w:basedOn w:val="27"/>
    <w:link w:val="17"/>
    <w:semiHidden/>
    <w:qFormat/>
    <w:uiPriority w:val="99"/>
    <w:rPr>
      <w:rFonts w:ascii="宋体" w:hAnsi="宋体" w:cs="宋体"/>
      <w:sz w:val="22"/>
      <w:szCs w:val="22"/>
      <w:lang w:val="zh-CN"/>
    </w:rPr>
  </w:style>
  <w:style w:type="character" w:customStyle="1" w:styleId="67">
    <w:name w:val="ca-11"/>
    <w:basedOn w:val="27"/>
    <w:qFormat/>
    <w:uiPriority w:val="0"/>
    <w:rPr>
      <w:rFonts w:hint="eastAsia" w:ascii="仿宋_GB2312" w:eastAsia="仿宋_GB2312"/>
      <w:sz w:val="28"/>
      <w:szCs w:val="28"/>
    </w:rPr>
  </w:style>
  <w:style w:type="paragraph" w:customStyle="1" w:styleId="68">
    <w:name w:val="pa-1"/>
    <w:basedOn w:val="1"/>
    <w:qFormat/>
    <w:uiPriority w:val="0"/>
    <w:pPr>
      <w:widowControl/>
      <w:spacing w:line="320" w:lineRule="atLeast"/>
      <w:ind w:firstLine="560"/>
    </w:pPr>
    <w:rPr>
      <w:rFonts w:ascii="宋体" w:hAnsi="宋体" w:cs="宋体"/>
      <w:kern w:val="0"/>
      <w:sz w:val="24"/>
    </w:rPr>
  </w:style>
  <w:style w:type="character" w:customStyle="1" w:styleId="69">
    <w:name w:val="ca-21"/>
    <w:basedOn w:val="27"/>
    <w:qFormat/>
    <w:uiPriority w:val="0"/>
    <w:rPr>
      <w:rFonts w:hint="default" w:ascii="Times New Roman" w:hAnsi="Times New Roman" w:cs="Times New Roman"/>
      <w:sz w:val="28"/>
      <w:szCs w:val="28"/>
    </w:rPr>
  </w:style>
  <w:style w:type="character" w:customStyle="1" w:styleId="70">
    <w:name w:val="ca-01"/>
    <w:basedOn w:val="27"/>
    <w:qFormat/>
    <w:uiPriority w:val="0"/>
    <w:rPr>
      <w:rFonts w:hint="eastAsia" w:ascii="黑体" w:eastAsia="黑体"/>
      <w:sz w:val="28"/>
      <w:szCs w:val="28"/>
    </w:rPr>
  </w:style>
  <w:style w:type="paragraph" w:customStyle="1" w:styleId="71">
    <w:name w:val="正文首行缩进两字符"/>
    <w:basedOn w:val="1"/>
    <w:qFormat/>
    <w:uiPriority w:val="0"/>
    <w:pPr>
      <w:spacing w:line="360" w:lineRule="auto"/>
      <w:ind w:firstLine="200" w:firstLineChars="200"/>
    </w:pPr>
  </w:style>
  <w:style w:type="paragraph" w:customStyle="1" w:styleId="72">
    <w:name w:val="Default"/>
    <w:qFormat/>
    <w:uiPriority w:val="0"/>
    <w:pPr>
      <w:widowControl w:val="0"/>
      <w:autoSpaceDE w:val="0"/>
      <w:autoSpaceDN w:val="0"/>
      <w:adjustRightInd w:val="0"/>
    </w:pPr>
    <w:rPr>
      <w:rFonts w:ascii="楷体à.ā" w:hAnsi="Times New Roman" w:eastAsia="楷体à.ā" w:cs="Times New Roman"/>
      <w:color w:val="000000"/>
      <w:sz w:val="24"/>
      <w:lang w:val="en-US" w:eastAsia="zh-CN" w:bidi="ar-SA"/>
    </w:rPr>
  </w:style>
  <w:style w:type="character" w:customStyle="1" w:styleId="73">
    <w:name w:val="img"/>
    <w:basedOn w:val="27"/>
    <w:qFormat/>
    <w:uiPriority w:val="0"/>
  </w:style>
  <w:style w:type="character" w:customStyle="1" w:styleId="74">
    <w:name w:val="img1"/>
    <w:basedOn w:val="27"/>
    <w:qFormat/>
    <w:uiPriority w:val="0"/>
  </w:style>
  <w:style w:type="table" w:customStyle="1" w:styleId="75">
    <w:name w:val="Table Normal"/>
    <w:semiHidden/>
    <w:unhideWhenUsed/>
    <w:qFormat/>
    <w:uiPriority w:val="2"/>
    <w:tblPr>
      <w:tblCellMar>
        <w:top w:w="0" w:type="dxa"/>
        <w:left w:w="0" w:type="dxa"/>
        <w:bottom w:w="0" w:type="dxa"/>
        <w:right w:w="0" w:type="dxa"/>
      </w:tblCellMar>
    </w:tblPr>
  </w:style>
  <w:style w:type="character" w:customStyle="1" w:styleId="76">
    <w:name w:val="font21"/>
    <w:basedOn w:val="27"/>
    <w:qFormat/>
    <w:uiPriority w:val="0"/>
    <w:rPr>
      <w:rFonts w:hint="eastAsia" w:ascii="宋体" w:hAnsi="宋体" w:eastAsia="宋体" w:cs="宋体"/>
      <w:color w:val="000000"/>
      <w:sz w:val="21"/>
      <w:szCs w:val="21"/>
      <w:u w:val="none"/>
    </w:rPr>
  </w:style>
  <w:style w:type="paragraph" w:customStyle="1" w:styleId="77">
    <w:name w:val="Normal"/>
    <w:qFormat/>
    <w:uiPriority w:val="0"/>
    <w:pPr>
      <w:jc w:val="both"/>
    </w:pPr>
    <w:rPr>
      <w:rFonts w:ascii="Calibri" w:hAnsi="Calibri" w:eastAsia="宋体" w:cs="Calibri"/>
      <w:kern w:val="2"/>
      <w:sz w:val="21"/>
      <w:szCs w:val="21"/>
      <w:lang w:val="en-US" w:eastAsia="zh-CN" w:bidi="ar-SA"/>
    </w:rPr>
  </w:style>
  <w:style w:type="paragraph" w:customStyle="1" w:styleId="78">
    <w:name w:val="List Paragraph1"/>
    <w:basedOn w:val="1"/>
    <w:qFormat/>
    <w:uiPriority w:val="0"/>
    <w:pPr>
      <w:spacing w:before="100" w:beforeAutospacing="1" w:after="100" w:afterAutospacing="1"/>
      <w:ind w:left="205" w:right="169" w:firstLine="655"/>
    </w:pPr>
    <w:rPr>
      <w:rFonts w:ascii="仿宋" w:hAnsi="仿宋" w:eastAsia="仿宋" w:cs="宋体"/>
      <w:kern w:val="2"/>
      <w:sz w:val="21"/>
      <w:szCs w:val="21"/>
      <w:u w:val="single" w:color="000000"/>
    </w:rPr>
  </w:style>
  <w:style w:type="table" w:customStyle="1" w:styleId="79">
    <w:name w:val="TableGrid"/>
    <w:basedOn w:val="25"/>
    <w:qFormat/>
    <w:uiPriority w:val="0"/>
    <w:rPr>
      <w:rFonts w:hint="eastAsia" w:ascii="等线" w:hAnsi="等线" w:eastAsia="等线" w:cs="等线"/>
      <w:kern w:val="2"/>
      <w:sz w:val="21"/>
      <w:szCs w:val="22"/>
    </w:rPr>
    <w:tblPr>
      <w:tblCellMar>
        <w:left w:w="0" w:type="dxa"/>
        <w:right w:w="0" w:type="dxa"/>
      </w:tblCellMar>
    </w:tblPr>
  </w:style>
  <w:style w:type="paragraph" w:customStyle="1" w:styleId="80">
    <w:name w:val="BodyText"/>
    <w:basedOn w:val="1"/>
    <w:next w:val="81"/>
    <w:qFormat/>
    <w:uiPriority w:val="0"/>
    <w:pPr>
      <w:wordWrap/>
      <w:spacing w:before="60" w:after="60"/>
      <w:ind w:firstLine="200"/>
    </w:pPr>
    <w:rPr>
      <w:rFonts w:ascii="Calibri" w:hAnsi="Calibri"/>
      <w:sz w:val="21"/>
    </w:rPr>
  </w:style>
  <w:style w:type="paragraph" w:customStyle="1" w:styleId="81">
    <w:name w:val="PlainText"/>
    <w:basedOn w:val="1"/>
    <w:qFormat/>
    <w:uiPriority w:val="0"/>
    <w:pPr>
      <w:jc w:val="both"/>
      <w:textAlignment w:val="baseline"/>
    </w:pPr>
    <w:rPr>
      <w:rFonts w:ascii="宋体" w:hAnsi="Tms Rmn" w:eastAsia="宋体"/>
      <w:kern w:val="2"/>
      <w:sz w:val="21"/>
      <w:szCs w:val="24"/>
      <w:lang w:val="en-US" w:eastAsia="zh-CN" w:bidi="ar-SA"/>
    </w:rPr>
  </w:style>
  <w:style w:type="character" w:customStyle="1" w:styleId="82">
    <w:name w:val="NormalCharacter"/>
    <w:qFormat/>
    <w:uiPriority w:val="0"/>
    <w:rPr>
      <w:rFonts w:ascii="宋体" w:hAnsi="宋体"/>
      <w:kern w:val="2"/>
      <w:sz w:val="24"/>
      <w:szCs w:val="24"/>
      <w:lang w:val="en-US" w:eastAsia="zh-CN" w:bidi="ar-SA"/>
    </w:rPr>
  </w:style>
  <w:style w:type="paragraph" w:customStyle="1" w:styleId="83">
    <w:name w:val="null3"/>
    <w:qFormat/>
    <w:uiPriority w:val="0"/>
    <w:rPr>
      <w:rFonts w:hint="eastAsia" w:ascii="Calibri" w:hAnsi="Calibri" w:eastAsia="宋体" w:cs="Times New Roman"/>
      <w:lang w:val="en-US" w:eastAsia="zh-Hans"/>
    </w:rPr>
  </w:style>
  <w:style w:type="paragraph" w:customStyle="1" w:styleId="84">
    <w:name w:val="02、首行缩进2字符正文"/>
    <w:basedOn w:val="1"/>
    <w:qFormat/>
    <w:uiPriority w:val="0"/>
    <w:pPr>
      <w:keepNext w:val="0"/>
      <w:keepLines w:val="0"/>
      <w:widowControl w:val="0"/>
      <w:suppressLineNumbers w:val="0"/>
      <w:wordWrap w:val="0"/>
      <w:topLinePunct/>
      <w:spacing w:before="0" w:beforeAutospacing="0" w:after="0" w:afterAutospacing="0"/>
      <w:ind w:left="0" w:right="0" w:firstLine="480" w:firstLineChars="200"/>
      <w:jc w:val="both"/>
    </w:pPr>
    <w:rPr>
      <w:rFonts w:hint="eastAsia" w:ascii="宋体" w:hAnsi="宋体" w:eastAsia="宋体" w:cs="Times New Roman"/>
      <w:kern w:val="2"/>
      <w:sz w:val="21"/>
      <w:szCs w:val="21"/>
      <w:lang w:val="en-US" w:eastAsia="zh-CN" w:bidi="ar"/>
    </w:rPr>
  </w:style>
  <w:style w:type="paragraph" w:customStyle="1" w:styleId="85">
    <w:name w:val="05、“(一)”正文三级标题"/>
    <w:basedOn w:val="1"/>
    <w:qFormat/>
    <w:uiPriority w:val="0"/>
    <w:pPr>
      <w:keepNext w:val="0"/>
      <w:keepLines w:val="0"/>
      <w:widowControl w:val="0"/>
      <w:suppressLineNumbers w:val="0"/>
      <w:wordWrap w:val="0"/>
      <w:topLinePunct/>
      <w:spacing w:before="100" w:beforeAutospacing="1" w:after="100" w:afterAutospacing="1"/>
      <w:ind w:left="0" w:right="0" w:firstLine="803" w:firstLineChars="200"/>
      <w:jc w:val="both"/>
    </w:pPr>
    <w:rPr>
      <w:rFonts w:hint="eastAsia" w:ascii="宋体" w:hAnsi="宋体" w:eastAsia="宋体" w:cs="Times New Roman"/>
      <w:kern w:val="2"/>
      <w:sz w:val="21"/>
      <w:szCs w:val="21"/>
      <w:lang w:val="en-US" w:eastAsia="zh-CN" w:bidi="ar"/>
    </w:rPr>
  </w:style>
  <w:style w:type="paragraph" w:customStyle="1" w:styleId="86">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87">
    <w:name w:val="17“1.”四级标题"/>
    <w:basedOn w:val="84"/>
    <w:qFormat/>
    <w:uiPriority w:val="0"/>
    <w:pPr>
      <w:keepNext w:val="0"/>
      <w:keepLines w:val="0"/>
      <w:widowControl w:val="0"/>
      <w:suppressLineNumbers w:val="0"/>
      <w:wordWrap w:val="0"/>
      <w:topLinePunct/>
      <w:spacing w:before="100" w:beforeAutospacing="1" w:after="100" w:afterAutospacing="1"/>
      <w:ind w:left="0" w:right="0" w:firstLine="803" w:firstLineChars="200"/>
      <w:jc w:val="both"/>
    </w:pPr>
    <w:rPr>
      <w:rFonts w:hint="eastAsia" w:ascii="宋体" w:hAnsi="宋体" w:eastAsia="宋体" w:cs="Times New Roman"/>
      <w:kern w:val="2"/>
      <w:sz w:val="21"/>
      <w:szCs w:val="21"/>
      <w:lang w:val="en-US" w:eastAsia="zh-CN" w:bidi="ar"/>
    </w:rPr>
  </w:style>
  <w:style w:type="paragraph" w:customStyle="1" w:styleId="88">
    <w:name w:val="01、普通正文"/>
    <w:basedOn w:val="1"/>
    <w:qFormat/>
    <w:uiPriority w:val="0"/>
    <w:pPr>
      <w:keepNext w:val="0"/>
      <w:keepLines w:val="0"/>
      <w:widowControl w:val="0"/>
      <w:suppressLineNumbers w:val="0"/>
      <w:wordWrap w:val="0"/>
      <w:topLinePunct/>
      <w:spacing w:before="0" w:beforeAutospacing="0" w:after="0" w:afterAutospacing="0"/>
      <w:ind w:left="0" w:right="0"/>
      <w:jc w:val="both"/>
    </w:pPr>
    <w:rPr>
      <w:rFonts w:hint="eastAsia" w:ascii="宋体" w:hAnsi="宋体" w:eastAsia="宋体" w:cs="Times New Roman"/>
      <w:kern w:val="2"/>
      <w:sz w:val="21"/>
      <w:szCs w:val="21"/>
      <w:lang w:val="en-US" w:eastAsia="zh-CN" w:bidi="ar"/>
    </w:rPr>
  </w:style>
  <w:style w:type="character" w:customStyle="1" w:styleId="89">
    <w:name w:val="font31"/>
    <w:basedOn w:val="27"/>
    <w:qFormat/>
    <w:uiPriority w:val="0"/>
    <w:rPr>
      <w:rFonts w:hint="eastAsia" w:ascii="宋体" w:hAnsi="宋体" w:eastAsia="宋体" w:cs="宋体"/>
      <w:color w:val="333333"/>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microsoft.com/office/2006/relationships/keyMapCustomizations" Target="customizations.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74CE5D-79AC-4B03-A6A0-7BE68301745B}">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80</Pages>
  <Words>41093</Words>
  <Characters>44532</Characters>
  <Lines>339</Lines>
  <Paragraphs>95</Paragraphs>
  <TotalTime>74</TotalTime>
  <ScaleCrop>false</ScaleCrop>
  <LinksUpToDate>false</LinksUpToDate>
  <CharactersWithSpaces>47829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2018-10-24T02:11:00Z</dcterms:created>
  <dc:creator>Administrator</dc:creator>
  <cp:lastModifiedBy>zx</cp:lastModifiedBy>
  <cp:lastPrinted>2022-08-29T01:40:00Z</cp:lastPrinted>
  <dcterms:modified xsi:type="dcterms:W3CDTF">2023-09-18T02:11:10Z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y fmtid="{D5CDD505-2E9C-101B-9397-08002B2CF9AE}" pid="3" name="KSOProductBuildVer">
    <vt:lpwstr>2052-12.1.0.15374</vt:lpwstr>
  </property>
  <property fmtid="{D5CDD505-2E9C-101B-9397-08002B2CF9AE}" pid="4" name="ICV">
    <vt:lpwstr>C3E55712088541309344156208F9B561_13</vt:lpwstr>
  </property>
</Properties>
</file>