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仿宋" w:hAnsi="仿宋" w:eastAsia="仿宋" w:cs="仿宋"/>
          <w:b/>
          <w:color w:val="000000" w:themeColor="text1"/>
          <w:sz w:val="44"/>
          <w:szCs w:val="44"/>
          <w:lang w:eastAsia="zh-CN"/>
          <w14:textFill>
            <w14:solidFill>
              <w14:schemeClr w14:val="tx1"/>
            </w14:solidFill>
          </w14:textFill>
        </w:rPr>
      </w:pPr>
      <w:bookmarkStart w:id="206" w:name="_GoBack"/>
      <w:bookmarkEnd w:id="206"/>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p>
    <w:p>
      <w:pPr>
        <w:spacing w:after="120" w:line="360" w:lineRule="auto"/>
        <w:jc w:val="center"/>
        <w:rPr>
          <w:rFonts w:hint="eastAsia" w:ascii="仿宋" w:hAnsi="仿宋" w:eastAsia="仿宋" w:cs="仿宋"/>
          <w:b/>
          <w:color w:val="000000" w:themeColor="text1"/>
          <w:sz w:val="40"/>
          <w:szCs w:val="40"/>
          <w:highlight w:val="none"/>
          <w:lang w:val="en-US" w:eastAsia="zh-CN"/>
          <w14:textFill>
            <w14:solidFill>
              <w14:schemeClr w14:val="tx1"/>
            </w14:solidFill>
          </w14:textFill>
        </w:rPr>
      </w:pPr>
      <w:r>
        <w:rPr>
          <w:rFonts w:hint="eastAsia" w:ascii="仿宋" w:hAnsi="仿宋" w:eastAsia="仿宋" w:cs="仿宋"/>
          <w:b/>
          <w:color w:val="000000" w:themeColor="text1"/>
          <w:sz w:val="40"/>
          <w:szCs w:val="40"/>
          <w:highlight w:val="none"/>
          <w:lang w:val="en-US" w:eastAsia="zh-CN"/>
          <w14:textFill>
            <w14:solidFill>
              <w14:schemeClr w14:val="tx1"/>
            </w14:solidFill>
          </w14:textFill>
        </w:rPr>
        <w:t>富顺县中医医院</w:t>
      </w:r>
    </w:p>
    <w:p>
      <w:pPr>
        <w:spacing w:after="120" w:line="360" w:lineRule="auto"/>
        <w:jc w:val="center"/>
        <w:rPr>
          <w:rFonts w:hint="eastAsia" w:ascii="仿宋" w:hAnsi="仿宋" w:eastAsia="仿宋" w:cs="仿宋"/>
          <w:b/>
          <w:color w:val="000000" w:themeColor="text1"/>
          <w:sz w:val="40"/>
          <w:szCs w:val="40"/>
          <w:highlight w:val="none"/>
          <w:lang w:val="en-US" w:eastAsia="zh-CN"/>
          <w14:textFill>
            <w14:solidFill>
              <w14:schemeClr w14:val="tx1"/>
            </w14:solidFill>
          </w14:textFill>
        </w:rPr>
      </w:pPr>
      <w:r>
        <w:rPr>
          <w:rFonts w:hint="eastAsia" w:ascii="仿宋" w:hAnsi="仿宋" w:eastAsia="仿宋" w:cs="仿宋"/>
          <w:b/>
          <w:color w:val="000000" w:themeColor="text1"/>
          <w:sz w:val="40"/>
          <w:szCs w:val="40"/>
          <w:highlight w:val="none"/>
          <w:lang w:val="en-US" w:eastAsia="zh-CN"/>
          <w14:textFill>
            <w14:solidFill>
              <w14:schemeClr w14:val="tx1"/>
            </w14:solidFill>
          </w14:textFill>
        </w:rPr>
        <w:t>CT袋、DR袋、药袋、黄色医疗垃圾袋等采购项目</w:t>
      </w:r>
    </w:p>
    <w:p>
      <w:pPr>
        <w:spacing w:after="120" w:line="360" w:lineRule="auto"/>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000000" w:themeColor="text1"/>
          <w:sz w:val="36"/>
          <w:szCs w:val="36"/>
          <w:highlight w:val="none"/>
          <w14:textFill>
            <w14:solidFill>
              <w14:schemeClr w14:val="tx1"/>
            </w14:solidFill>
          </w14:textFill>
        </w:rPr>
        <w:t>项目编号：JRZB-2024-Q066</w:t>
      </w:r>
    </w:p>
    <w:p>
      <w:pPr>
        <w:widowControl/>
        <w:jc w:val="center"/>
        <w:rPr>
          <w:rFonts w:ascii="仿宋" w:hAnsi="仿宋" w:eastAsia="仿宋" w:cs="仿宋"/>
          <w:color w:val="000000" w:themeColor="text1"/>
          <w:kern w:val="0"/>
          <w:sz w:val="24"/>
          <w:highlight w:val="none"/>
          <w14:textFill>
            <w14:solidFill>
              <w14:schemeClr w14:val="tx1"/>
            </w14:solidFill>
          </w14:textFill>
        </w:rPr>
      </w:pPr>
    </w:p>
    <w:p>
      <w:pPr>
        <w:tabs>
          <w:tab w:val="left" w:pos="28"/>
          <w:tab w:val="center" w:pos="4875"/>
        </w:tabs>
        <w:jc w:val="center"/>
        <w:rPr>
          <w:rFonts w:hint="eastAsia" w:ascii="仿宋" w:hAnsi="仿宋" w:eastAsia="仿宋" w:cs="仿宋"/>
          <w:b/>
          <w:color w:val="000000" w:themeColor="text1"/>
          <w:w w:val="88"/>
          <w:sz w:val="144"/>
          <w:szCs w:val="144"/>
          <w14:textFill>
            <w14:solidFill>
              <w14:schemeClr w14:val="tx1"/>
            </w14:solidFill>
          </w14:textFill>
        </w:rPr>
      </w:pPr>
    </w:p>
    <w:p>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pPr>
        <w:jc w:val="both"/>
        <w:rPr>
          <w:rFonts w:ascii="仿宋" w:hAnsi="仿宋" w:eastAsia="仿宋" w:cs="仿宋"/>
          <w:b/>
          <w:color w:val="000000" w:themeColor="text1"/>
          <w:sz w:val="44"/>
          <w:szCs w:val="44"/>
          <w:highlight w:val="none"/>
          <w14:textFill>
            <w14:solidFill>
              <w14:schemeClr w14:val="tx1"/>
            </w14:solidFill>
          </w14:textFill>
        </w:rPr>
      </w:pPr>
    </w:p>
    <w:p/>
    <w:p>
      <w:pPr>
        <w:pStyle w:val="12"/>
        <w:rPr>
          <w:rFonts w:ascii="仿宋" w:hAnsi="仿宋" w:eastAsia="仿宋" w:cs="仿宋"/>
          <w:b/>
          <w:color w:val="000000" w:themeColor="text1"/>
          <w:sz w:val="44"/>
          <w:szCs w:val="44"/>
          <w:highlight w:val="none"/>
          <w14:textFill>
            <w14:solidFill>
              <w14:schemeClr w14:val="tx1"/>
            </w14:solidFill>
          </w14:textFill>
        </w:rPr>
      </w:pPr>
    </w:p>
    <w:p/>
    <w:p>
      <w:pPr>
        <w:pStyle w:val="12"/>
        <w:rPr>
          <w:color w:val="000000" w:themeColor="text1"/>
          <w:highlight w:val="none"/>
          <w14:textFill>
            <w14:solidFill>
              <w14:schemeClr w14:val="tx1"/>
            </w14:solidFill>
          </w14:textFill>
        </w:rPr>
      </w:pPr>
    </w:p>
    <w:p>
      <w:pPr>
        <w:spacing w:line="360" w:lineRule="auto"/>
        <w:ind w:firstLine="1285" w:firstLineChars="400"/>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购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人：</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富顺县中医医院</w:t>
      </w:r>
    </w:p>
    <w:p>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w:t>
      </w:r>
      <w:r>
        <w:rPr>
          <w:rFonts w:hint="eastAsia" w:ascii="仿宋" w:hAnsi="仿宋" w:eastAsia="仿宋" w:cs="仿宋"/>
          <w:b/>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月</w:t>
      </w:r>
    </w:p>
    <w:p>
      <w:pPr>
        <w:tabs>
          <w:tab w:val="left" w:leader="dot" w:pos="7980"/>
        </w:tabs>
        <w:spacing w:line="600" w:lineRule="auto"/>
        <w:jc w:val="left"/>
        <w:outlineLvl w:val="9"/>
        <w:rPr>
          <w:color w:val="auto"/>
        </w:rPr>
      </w:pPr>
      <w:bookmarkStart w:id="0" w:name="_Toc17411"/>
      <w:bookmarkStart w:id="1" w:name="_Toc31928"/>
      <w:bookmarkStart w:id="2" w:name="_Toc15228"/>
      <w:bookmarkStart w:id="3" w:name="_Toc22311"/>
    </w:p>
    <w:sdt>
      <w:sdtPr>
        <w:rPr>
          <w:rFonts w:hint="eastAsia" w:ascii="仿宋" w:hAnsi="仿宋" w:eastAsia="仿宋" w:cs="仿宋"/>
          <w:b/>
          <w:color w:val="000000" w:themeColor="text1"/>
          <w:spacing w:val="16"/>
          <w:kern w:val="2"/>
          <w:sz w:val="44"/>
          <w:szCs w:val="44"/>
          <w:highlight w:val="none"/>
          <w:lang w:val="en-US" w:eastAsia="zh-CN" w:bidi="ar-SA"/>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kern w:val="2"/>
          <w:sz w:val="28"/>
          <w:szCs w:val="28"/>
          <w:highlight w:val="none"/>
          <w:lang w:val="en-US" w:eastAsia="zh-CN" w:bidi="ar-SA"/>
          <w14:textFill>
            <w14:solidFill>
              <w14:schemeClr w14:val="tx1"/>
            </w14:solidFill>
          </w14:textFill>
        </w:rPr>
      </w:sdtEndPr>
      <w:sdtContent>
        <w:p>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000000" w:themeColor="text1"/>
              <w:spacing w:val="16"/>
              <w:sz w:val="44"/>
              <w:szCs w:val="44"/>
              <w:highlight w:val="none"/>
              <w14:textFill>
                <w14:solidFill>
                  <w14:schemeClr w14:val="tx1"/>
                </w14:solidFill>
              </w14:textFill>
            </w:rPr>
          </w:pPr>
          <w:r>
            <w:rPr>
              <w:rFonts w:hint="eastAsia" w:ascii="仿宋" w:hAnsi="仿宋" w:eastAsia="仿宋" w:cs="仿宋"/>
              <w:b/>
              <w:color w:val="000000" w:themeColor="text1"/>
              <w:spacing w:val="16"/>
              <w:sz w:val="44"/>
              <w:szCs w:val="44"/>
              <w:highlight w:val="none"/>
              <w14:textFill>
                <w14:solidFill>
                  <w14:schemeClr w14:val="tx1"/>
                </w14:solidFill>
              </w14:textFill>
            </w:rPr>
            <w:t>目</w:t>
          </w:r>
          <w:r>
            <w:rPr>
              <w:rFonts w:hint="eastAsia" w:ascii="仿宋" w:hAnsi="仿宋" w:eastAsia="仿宋" w:cs="仿宋"/>
              <w:b/>
              <w:color w:val="000000" w:themeColor="text1"/>
              <w:spacing w:val="16"/>
              <w:sz w:val="44"/>
              <w:szCs w:val="4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16"/>
              <w:sz w:val="44"/>
              <w:szCs w:val="44"/>
              <w:highlight w:val="none"/>
              <w14:textFill>
                <w14:solidFill>
                  <w14:schemeClr w14:val="tx1"/>
                </w14:solidFill>
              </w14:textFill>
            </w:rPr>
            <w:t>录</w:t>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_Toc9930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第一章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_Toc9930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_Toc2195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第二章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_Toc11322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第三章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_Toc11322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_Toc22893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_Toc22893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_Toc28624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_Toc28624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_Toc24419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六</w:t>
          </w:r>
          <w:r>
            <w:rPr>
              <w:rFonts w:hint="eastAsia" w:ascii="仿宋" w:hAnsi="仿宋" w:eastAsia="仿宋" w:cs="仿宋"/>
              <w:bCs/>
              <w:kern w:val="2"/>
              <w:sz w:val="28"/>
              <w:szCs w:val="28"/>
            </w:rPr>
            <w:t>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_Toc24419 \h </w:instrText>
          </w:r>
          <w:r>
            <w:rPr>
              <w:rFonts w:hint="eastAsia" w:ascii="仿宋" w:hAnsi="仿宋" w:eastAsia="仿宋" w:cs="仿宋"/>
              <w:sz w:val="28"/>
              <w:szCs w:val="28"/>
            </w:rPr>
            <w:fldChar w:fldCharType="separate"/>
          </w:r>
          <w:r>
            <w:rPr>
              <w:rFonts w:hint="eastAsia" w:ascii="仿宋" w:hAnsi="仿宋" w:eastAsia="仿宋" w:cs="仿宋"/>
              <w:sz w:val="28"/>
              <w:szCs w:val="28"/>
            </w:rPr>
            <w:t>33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_Toc4706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七</w:t>
          </w:r>
          <w:r>
            <w:rPr>
              <w:rFonts w:hint="eastAsia" w:ascii="仿宋" w:hAnsi="仿宋" w:eastAsia="仿宋" w:cs="仿宋"/>
              <w:bCs/>
              <w:kern w:val="2"/>
              <w:sz w:val="28"/>
              <w:szCs w:val="28"/>
            </w:rPr>
            <w:t>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_Toc4706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_Toc26224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八</w:t>
          </w:r>
          <w:r>
            <w:rPr>
              <w:rFonts w:hint="eastAsia" w:ascii="仿宋" w:hAnsi="仿宋" w:eastAsia="仿宋" w:cs="仿宋"/>
              <w:sz w:val="28"/>
              <w:szCs w:val="28"/>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_Toc26224 \h </w:instrText>
          </w:r>
          <w:r>
            <w:rPr>
              <w:rFonts w:hint="eastAsia" w:ascii="仿宋" w:hAnsi="仿宋" w:eastAsia="仿宋" w:cs="仿宋"/>
              <w:sz w:val="28"/>
              <w:szCs w:val="28"/>
            </w:rPr>
            <w:fldChar w:fldCharType="separate"/>
          </w:r>
          <w:r>
            <w:rPr>
              <w:rFonts w:hint="eastAsia" w:ascii="仿宋" w:hAnsi="仿宋" w:eastAsia="仿宋" w:cs="仿宋"/>
              <w:sz w:val="28"/>
              <w:szCs w:val="28"/>
            </w:rPr>
            <w:t>53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_Toc3219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_Toc3219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1"/>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_Toc14066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_Toc14066 \h </w:instrText>
          </w:r>
          <w:r>
            <w:rPr>
              <w:rFonts w:hint="eastAsia" w:ascii="仿宋" w:hAnsi="仿宋" w:eastAsia="仿宋" w:cs="仿宋"/>
              <w:sz w:val="28"/>
              <w:szCs w:val="28"/>
            </w:rPr>
            <w:fldChar w:fldCharType="separate"/>
          </w:r>
          <w:r>
            <w:rPr>
              <w:rFonts w:hint="eastAsia" w:ascii="仿宋" w:hAnsi="仿宋" w:eastAsia="仿宋" w:cs="仿宋"/>
              <w:sz w:val="28"/>
              <w:szCs w:val="28"/>
            </w:rPr>
            <w:t>66</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9930"/>
      <w:bookmarkStart w:id="5" w:name="_Toc12615"/>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6" w:name="_Toc226699473"/>
      <w:bookmarkStart w:id="7" w:name="_Toc200874607"/>
      <w:bookmarkStart w:id="8" w:name="_Toc203812309"/>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p>
    <w:bookmarkEnd w:id="6"/>
    <w:bookmarkEnd w:id="7"/>
    <w:bookmarkEnd w:id="8"/>
    <w:p>
      <w:pPr>
        <w:pStyle w:val="117"/>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9" w:name="OLE_LINK23"/>
      <w:bookmarkStart w:id="10" w:name="OLE_LINK16"/>
      <w:bookmarkStart w:id="11" w:name="OLE_LINK8"/>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富顺县中医医院CT袋、DR袋、药袋、黄色医疗垃圾袋等采购项目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pPr>
        <w:pStyle w:val="12"/>
        <w:spacing w:line="360" w:lineRule="auto"/>
        <w:rPr>
          <w:color w:val="auto"/>
          <w:sz w:val="24"/>
        </w:rPr>
      </w:pPr>
    </w:p>
    <w:p>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color w:val="auto"/>
          <w:spacing w:val="-2"/>
          <w:sz w:val="24"/>
          <w:u w:val="none"/>
          <w:lang w:eastAsia="zh-CN"/>
        </w:rPr>
        <w:t>富顺县中医医院CT袋、DR袋、药袋、黄色医疗垃圾袋等采购项目</w:t>
      </w:r>
    </w:p>
    <w:p>
      <w:pPr>
        <w:spacing w:line="360" w:lineRule="auto"/>
        <w:ind w:left="479" w:leftChars="228"/>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号：JRZB-2024-Q066</w:t>
      </w:r>
    </w:p>
    <w:p>
      <w:pPr>
        <w:spacing w:line="360" w:lineRule="auto"/>
        <w:ind w:firstLine="472" w:firstLineChars="200"/>
        <w:outlineLvl w:val="9"/>
        <w:rPr>
          <w:rFonts w:hint="eastAsia" w:ascii="仿宋" w:hAnsi="仿宋" w:eastAsia="仿宋" w:cs="仿宋"/>
          <w:bCs/>
          <w:color w:val="auto"/>
          <w:spacing w:val="-2"/>
          <w:sz w:val="24"/>
          <w:highlight w:val="none"/>
          <w:lang w:val="en-US"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val="en-US" w:eastAsia="zh-CN"/>
        </w:rPr>
        <w:t>自筹资金</w:t>
      </w:r>
    </w:p>
    <w:p>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bCs/>
          <w:color w:val="auto"/>
          <w:spacing w:val="-2"/>
          <w:sz w:val="24"/>
          <w:lang w:val="en-US" w:eastAsia="zh-CN"/>
        </w:rPr>
        <w:t>220900.00</w:t>
      </w:r>
      <w:r>
        <w:rPr>
          <w:rFonts w:hint="eastAsia" w:ascii="仿宋" w:hAnsi="仿宋" w:eastAsia="仿宋" w:cs="仿宋"/>
          <w:bCs/>
          <w:color w:val="auto"/>
          <w:spacing w:val="-2"/>
          <w:sz w:val="24"/>
          <w:lang w:eastAsia="zh-CN"/>
        </w:rPr>
        <w:t>元</w:t>
      </w:r>
    </w:p>
    <w:p>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采购属性：货物类</w:t>
      </w:r>
    </w:p>
    <w:p>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pPr>
        <w:pStyle w:val="12"/>
        <w:spacing w:line="360" w:lineRule="auto"/>
        <w:rPr>
          <w:color w:val="auto"/>
          <w:sz w:val="24"/>
          <w:highlight w:val="none"/>
        </w:rPr>
      </w:pPr>
    </w:p>
    <w:p>
      <w:pPr>
        <w:spacing w:line="360" w:lineRule="auto"/>
        <w:ind w:firstLine="474" w:firstLineChars="200"/>
        <w:outlineLvl w:val="1"/>
        <w:rPr>
          <w:color w:val="auto"/>
          <w:sz w:val="24"/>
          <w:highlight w:val="none"/>
        </w:rPr>
      </w:pPr>
      <w:r>
        <w:rPr>
          <w:rFonts w:hint="eastAsia" w:ascii="仿宋" w:hAnsi="仿宋" w:eastAsia="仿宋"/>
          <w:b/>
          <w:color w:val="auto"/>
          <w:spacing w:val="-2"/>
          <w:sz w:val="24"/>
          <w:highlight w:val="none"/>
        </w:rPr>
        <w:t>二、供应商参加本次政府采购活动应具备的条件、</w:t>
      </w:r>
      <w:r>
        <w:rPr>
          <w:rFonts w:hint="eastAsia" w:ascii="仿宋" w:hAnsi="仿宋" w:eastAsia="仿宋"/>
          <w:b/>
          <w:color w:val="auto"/>
          <w:sz w:val="24"/>
          <w:highlight w:val="none"/>
        </w:rPr>
        <w:t>邀请方式</w:t>
      </w:r>
    </w:p>
    <w:p>
      <w:pPr>
        <w:spacing w:line="360" w:lineRule="auto"/>
        <w:ind w:firstLine="473"/>
        <w:outlineLvl w:val="9"/>
        <w:rPr>
          <w:rFonts w:hint="eastAsia" w:ascii="仿宋" w:hAnsi="仿宋" w:eastAsia="仿宋" w:cs="仿宋"/>
          <w:bCs/>
          <w:color w:val="auto"/>
          <w:sz w:val="24"/>
          <w:highlight w:val="none"/>
          <w:lang w:eastAsia="zh-CN"/>
        </w:rPr>
      </w:pPr>
      <w:r>
        <w:rPr>
          <w:rFonts w:hint="eastAsia" w:ascii="仿宋" w:hAnsi="仿宋" w:eastAsia="仿宋" w:cs="仿宋"/>
          <w:bCs/>
          <w:color w:val="auto"/>
          <w:spacing w:val="-2"/>
          <w:sz w:val="24"/>
          <w:highlight w:val="none"/>
        </w:rPr>
        <w:t>2.1 供应商应具备的条件：</w:t>
      </w:r>
      <w:r>
        <w:rPr>
          <w:rFonts w:hint="eastAsia" w:ascii="仿宋" w:hAnsi="仿宋" w:eastAsia="仿宋" w:cs="仿宋"/>
          <w:bCs/>
          <w:color w:val="auto"/>
          <w:sz w:val="24"/>
          <w:highlight w:val="none"/>
        </w:rPr>
        <w:t>详细要求见</w:t>
      </w:r>
      <w:r>
        <w:rPr>
          <w:rFonts w:hint="eastAsia" w:ascii="仿宋" w:hAnsi="仿宋" w:eastAsia="仿宋" w:cs="仿宋"/>
          <w:bCs/>
          <w:color w:val="auto"/>
          <w:sz w:val="24"/>
          <w:szCs w:val="24"/>
          <w:highlight w:val="none"/>
        </w:rPr>
        <w:t>谈判文件</w:t>
      </w:r>
      <w:r>
        <w:rPr>
          <w:rFonts w:hint="eastAsia" w:ascii="仿宋" w:hAnsi="仿宋" w:eastAsia="仿宋" w:cs="仿宋"/>
          <w:bCs/>
          <w:color w:val="auto"/>
          <w:sz w:val="24"/>
          <w:highlight w:val="none"/>
        </w:rPr>
        <w:t>第三章</w:t>
      </w:r>
      <w:r>
        <w:rPr>
          <w:rFonts w:hint="eastAsia" w:ascii="仿宋" w:hAnsi="仿宋" w:eastAsia="仿宋" w:cs="仿宋"/>
          <w:bCs/>
          <w:color w:val="auto"/>
          <w:sz w:val="24"/>
          <w:highlight w:val="none"/>
          <w:lang w:eastAsia="zh-CN"/>
        </w:rPr>
        <w:t>。</w:t>
      </w:r>
    </w:p>
    <w:p>
      <w:pPr>
        <w:wordWrap w:val="0"/>
        <w:spacing w:line="360" w:lineRule="auto"/>
        <w:ind w:left="951" w:leftChars="228" w:hanging="472" w:hangingChars="200"/>
        <w:outlineLvl w:val="9"/>
        <w:rPr>
          <w:rFonts w:ascii="仿宋" w:hAnsi="仿宋" w:eastAsia="仿宋" w:cs="仿宋"/>
          <w:bCs/>
          <w:color w:val="auto"/>
          <w:spacing w:val="2"/>
          <w:sz w:val="24"/>
          <w:highlight w:val="none"/>
        </w:rPr>
      </w:pPr>
      <w:r>
        <w:rPr>
          <w:rFonts w:hint="eastAsia" w:ascii="仿宋" w:hAnsi="仿宋" w:eastAsia="仿宋"/>
          <w:color w:val="auto"/>
          <w:spacing w:val="-2"/>
          <w:sz w:val="24"/>
          <w:highlight w:val="none"/>
        </w:rPr>
        <w:t>2.2 供应商邀请方式：</w:t>
      </w:r>
      <w:r>
        <w:rPr>
          <w:rFonts w:hint="eastAsia" w:ascii="仿宋" w:hAnsi="仿宋" w:eastAsia="仿宋" w:cs="Times New Roman"/>
          <w:bCs w:val="0"/>
          <w:color w:val="auto"/>
          <w:spacing w:val="-2"/>
          <w:sz w:val="24"/>
          <w:highlight w:val="none"/>
          <w:shd w:val="clear" w:color="auto" w:fill="auto"/>
        </w:rPr>
        <w:t>本次竞争性</w:t>
      </w:r>
      <w:r>
        <w:rPr>
          <w:rFonts w:hint="eastAsia" w:ascii="仿宋" w:hAnsi="仿宋" w:eastAsia="仿宋" w:cs="Times New Roman"/>
          <w:bCs w:val="0"/>
          <w:color w:val="auto"/>
          <w:spacing w:val="-2"/>
          <w:sz w:val="24"/>
          <w:highlight w:val="none"/>
          <w:shd w:val="clear" w:color="auto" w:fill="auto"/>
          <w:lang w:eastAsia="zh-CN"/>
        </w:rPr>
        <w:t>谈判</w:t>
      </w:r>
      <w:r>
        <w:rPr>
          <w:rFonts w:hint="eastAsia" w:ascii="仿宋" w:hAnsi="仿宋" w:eastAsia="仿宋" w:cs="Times New Roman"/>
          <w:bCs w:val="0"/>
          <w:color w:val="auto"/>
          <w:spacing w:val="-2"/>
          <w:sz w:val="24"/>
          <w:highlight w:val="none"/>
          <w:shd w:val="clear" w:color="auto" w:fill="auto"/>
        </w:rPr>
        <w:t>邀请在</w:t>
      </w:r>
      <w:r>
        <w:rPr>
          <w:rFonts w:hint="eastAsia" w:ascii="仿宋" w:hAnsi="仿宋" w:eastAsia="仿宋" w:cs="Times New Roman"/>
          <w:bCs w:val="0"/>
          <w:color w:val="auto"/>
          <w:spacing w:val="-2"/>
          <w:sz w:val="24"/>
          <w:highlight w:val="none"/>
          <w:shd w:val="clear" w:color="auto" w:fill="auto"/>
          <w:lang w:val="en-US" w:eastAsia="zh-CN"/>
        </w:rPr>
        <w:t>四川招投标网（www.scbid.com）</w:t>
      </w:r>
      <w:r>
        <w:rPr>
          <w:rFonts w:hint="eastAsia" w:ascii="仿宋" w:hAnsi="仿宋" w:eastAsia="仿宋" w:cs="Times New Roman"/>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highlight w:val="none"/>
          <w:lang w:val="zh-CN"/>
        </w:rPr>
        <w:t>。</w:t>
      </w:r>
    </w:p>
    <w:p>
      <w:pPr>
        <w:pStyle w:val="12"/>
        <w:spacing w:line="360" w:lineRule="auto"/>
        <w:rPr>
          <w:color w:val="auto"/>
          <w:sz w:val="24"/>
          <w:highlight w:val="none"/>
        </w:rPr>
      </w:pPr>
    </w:p>
    <w:p>
      <w:pPr>
        <w:pStyle w:val="87"/>
        <w:spacing w:line="360" w:lineRule="auto"/>
        <w:ind w:firstLine="480" w:firstLineChars="0"/>
        <w:outlineLvl w:val="1"/>
        <w:rPr>
          <w:rFonts w:ascii="仿宋" w:hAnsi="仿宋" w:eastAsia="仿宋"/>
          <w:color w:val="auto"/>
          <w:sz w:val="24"/>
          <w:szCs w:val="24"/>
          <w:highlight w:val="none"/>
        </w:rPr>
      </w:pPr>
      <w:r>
        <w:rPr>
          <w:rFonts w:hint="eastAsia" w:ascii="仿宋" w:hAnsi="仿宋" w:eastAsia="仿宋"/>
          <w:b/>
          <w:color w:val="auto"/>
          <w:sz w:val="24"/>
          <w:szCs w:val="24"/>
          <w:highlight w:val="none"/>
        </w:rPr>
        <w:t>三、获取采购文件的时间、地点、方式、售价及须提供的资料</w:t>
      </w:r>
    </w:p>
    <w:p>
      <w:pPr>
        <w:pStyle w:val="87"/>
        <w:spacing w:line="360" w:lineRule="auto"/>
        <w:ind w:left="959" w:leftChars="228" w:hanging="480" w:hangingChars="200"/>
        <w:rPr>
          <w:rFonts w:ascii="仿宋" w:hAnsi="仿宋" w:eastAsia="仿宋"/>
          <w:color w:val="auto"/>
          <w:sz w:val="24"/>
          <w:szCs w:val="24"/>
          <w:highlight w:val="none"/>
        </w:rPr>
      </w:pPr>
      <w:r>
        <w:rPr>
          <w:rFonts w:hint="eastAsia" w:ascii="仿宋" w:hAnsi="仿宋" w:eastAsia="仿宋"/>
          <w:color w:val="auto"/>
          <w:sz w:val="24"/>
          <w:szCs w:val="24"/>
          <w:highlight w:val="none"/>
        </w:rPr>
        <w:t>3.1 获取采购文件的时间：</w:t>
      </w:r>
      <w:r>
        <w:rPr>
          <w:rFonts w:hint="eastAsia" w:ascii="仿宋" w:hAnsi="仿宋" w:eastAsia="仿宋"/>
          <w:color w:val="auto"/>
          <w:sz w:val="24"/>
          <w:szCs w:val="24"/>
          <w:highlight w:val="none"/>
          <w:lang w:val="en-US" w:eastAsia="zh-CN"/>
        </w:rPr>
        <w:t>2024</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30</w:t>
      </w:r>
      <w:r>
        <w:rPr>
          <w:rFonts w:hint="eastAsia"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日上午09:00-12:00，下午14:00-17:00(北京时间，法定节假</w:t>
      </w:r>
      <w:r>
        <w:rPr>
          <w:rFonts w:hint="eastAsia" w:ascii="仿宋" w:hAnsi="仿宋" w:eastAsia="仿宋"/>
          <w:color w:val="auto"/>
          <w:spacing w:val="-2"/>
          <w:sz w:val="24"/>
          <w:szCs w:val="24"/>
          <w:highlight w:val="none"/>
        </w:rPr>
        <w:t>日除外)。</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3.2 获取采购文件的地点：自贡市自流井区汇东丹桂大街蓝鹰海岸综合楼二楼四川久润</w:t>
      </w:r>
      <w:r>
        <w:rPr>
          <w:rFonts w:hint="eastAsia" w:ascii="仿宋" w:hAnsi="仿宋" w:eastAsia="仿宋"/>
          <w:color w:val="auto"/>
          <w:kern w:val="0"/>
          <w:sz w:val="24"/>
          <w:szCs w:val="24"/>
          <w:highlight w:val="none"/>
        </w:rPr>
        <w:t>招投标代理有限公司获取。</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 获取采购文件的方式：</w:t>
      </w:r>
    </w:p>
    <w:p>
      <w:pPr>
        <w:spacing w:line="360" w:lineRule="auto"/>
        <w:ind w:firstLine="840" w:firstLineChars="350"/>
        <w:rPr>
          <w:rFonts w:ascii="仿宋" w:hAnsi="仿宋" w:eastAsia="仿宋"/>
          <w:color w:val="auto"/>
          <w:sz w:val="24"/>
          <w:highlight w:val="none"/>
        </w:rPr>
      </w:pPr>
      <w:r>
        <w:rPr>
          <w:rFonts w:hint="eastAsia" w:ascii="仿宋" w:hAnsi="仿宋" w:eastAsia="仿宋"/>
          <w:color w:val="auto"/>
          <w:sz w:val="24"/>
          <w:highlight w:val="none"/>
        </w:rPr>
        <w:t>（1）代理机构现场办理；</w:t>
      </w:r>
    </w:p>
    <w:p>
      <w:pPr>
        <w:spacing w:line="360" w:lineRule="auto"/>
        <w:ind w:left="957" w:leftChars="400" w:hanging="117" w:hangingChars="49"/>
        <w:rPr>
          <w:rFonts w:hint="eastAsia" w:ascii="仿宋" w:hAnsi="仿宋" w:eastAsia="仿宋"/>
          <w:color w:val="auto"/>
          <w:sz w:val="24"/>
          <w:highlight w:val="none"/>
          <w:lang w:eastAsia="zh-CN"/>
        </w:rPr>
      </w:pPr>
      <w:r>
        <w:rPr>
          <w:rStyle w:val="34"/>
          <w:rFonts w:hint="eastAsia" w:ascii="仿宋" w:hAnsi="仿宋" w:eastAsia="仿宋"/>
          <w:color w:val="auto"/>
          <w:sz w:val="24"/>
          <w:szCs w:val="24"/>
          <w:highlight w:val="none"/>
        </w:rPr>
        <w:t>（2）若需邮购，请将报名资料传至jrzb8222@126.com</w:t>
      </w:r>
      <w:r>
        <w:rPr>
          <w:rStyle w:val="34"/>
          <w:rFonts w:hint="eastAsia" w:ascii="仿宋" w:hAnsi="仿宋" w:eastAsia="仿宋"/>
          <w:color w:val="auto"/>
          <w:sz w:val="24"/>
          <w:szCs w:val="24"/>
          <w:highlight w:val="none"/>
          <w:lang w:eastAsia="zh-CN"/>
        </w:rPr>
        <w:t>。</w:t>
      </w:r>
    </w:p>
    <w:p>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注：采购文件售后不退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谈判资格不能转让。</w:t>
      </w:r>
    </w:p>
    <w:p>
      <w:pPr>
        <w:pStyle w:val="87"/>
        <w:spacing w:line="360" w:lineRule="auto"/>
        <w:ind w:firstLine="48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3.4 获取采购文件的售价：</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元/份。</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3.5 获取采购文件时，须提供以下资料</w:t>
      </w:r>
      <w:r>
        <w:rPr>
          <w:rFonts w:hint="eastAsia" w:ascii="仿宋" w:hAnsi="仿宋" w:eastAsia="仿宋"/>
          <w:b/>
          <w:color w:val="auto"/>
          <w:sz w:val="24"/>
          <w:highlight w:val="none"/>
        </w:rPr>
        <w:t>：</w:t>
      </w:r>
    </w:p>
    <w:p>
      <w:pPr>
        <w:pStyle w:val="12"/>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（1）单位介绍信加盖公章；</w:t>
      </w:r>
    </w:p>
    <w:p>
      <w:pPr>
        <w:pStyle w:val="12"/>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（2）经办人身份证</w:t>
      </w:r>
      <w:r>
        <w:rPr>
          <w:rFonts w:hint="eastAsia" w:ascii="仿宋" w:hAnsi="仿宋" w:eastAsia="仿宋"/>
          <w:color w:val="auto"/>
          <w:sz w:val="24"/>
          <w:highlight w:val="none"/>
          <w:lang w:eastAsia="zh-CN"/>
        </w:rPr>
        <w:t>影印件</w:t>
      </w:r>
      <w:r>
        <w:rPr>
          <w:rFonts w:hint="eastAsia" w:ascii="仿宋" w:hAnsi="仿宋" w:eastAsia="仿宋"/>
          <w:color w:val="auto"/>
          <w:sz w:val="24"/>
          <w:highlight w:val="none"/>
        </w:rPr>
        <w:t>加盖公章；</w:t>
      </w:r>
    </w:p>
    <w:p>
      <w:pPr>
        <w:pStyle w:val="87"/>
        <w:spacing w:line="360" w:lineRule="auto"/>
        <w:ind w:firstLine="960" w:firstLineChars="400"/>
        <w:rPr>
          <w:rFonts w:ascii="仿宋" w:hAnsi="仿宋" w:eastAsia="仿宋"/>
          <w:color w:val="auto"/>
          <w:sz w:val="24"/>
          <w:szCs w:val="24"/>
          <w:highlight w:val="none"/>
        </w:rPr>
      </w:pPr>
      <w:r>
        <w:rPr>
          <w:rFonts w:hint="eastAsia" w:ascii="仿宋" w:hAnsi="仿宋" w:eastAsia="仿宋"/>
          <w:color w:val="auto"/>
          <w:sz w:val="24"/>
          <w:szCs w:val="24"/>
          <w:highlight w:val="none"/>
        </w:rPr>
        <w:t>（3）供应商报名登记表加盖公章。</w:t>
      </w:r>
    </w:p>
    <w:p>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3.6 </w:t>
      </w:r>
      <w:r>
        <w:rPr>
          <w:rFonts w:hint="eastAsia" w:ascii="仿宋" w:hAnsi="仿宋" w:eastAsia="仿宋" w:cs="仿宋"/>
          <w:color w:val="auto"/>
          <w:sz w:val="24"/>
          <w:highlight w:val="none"/>
          <w:lang w:eastAsia="zh-CN"/>
        </w:rPr>
        <w:t>标书费用收款</w:t>
      </w:r>
      <w:r>
        <w:rPr>
          <w:rFonts w:hint="eastAsia" w:ascii="仿宋" w:hAnsi="仿宋" w:eastAsia="仿宋" w:cs="仿宋"/>
          <w:color w:val="auto"/>
          <w:sz w:val="24"/>
          <w:highlight w:val="none"/>
        </w:rPr>
        <w:t>账户：</w:t>
      </w:r>
    </w:p>
    <w:p>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户  名：四川久润招投标代理有限公司</w:t>
      </w:r>
    </w:p>
    <w:p>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帐  号：102012000001139849</w:t>
      </w:r>
    </w:p>
    <w:p>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开户行：自贡银行股份有限公司营业部</w:t>
      </w:r>
    </w:p>
    <w:p>
      <w:pPr>
        <w:pStyle w:val="12"/>
        <w:spacing w:line="360" w:lineRule="auto"/>
        <w:rPr>
          <w:color w:val="auto"/>
          <w:sz w:val="24"/>
          <w:highlight w:val="none"/>
        </w:rPr>
      </w:pPr>
    </w:p>
    <w:p>
      <w:pPr>
        <w:pStyle w:val="87"/>
        <w:spacing w:line="360" w:lineRule="auto"/>
        <w:ind w:firstLine="480" w:firstLineChars="0"/>
        <w:outlineLvl w:val="1"/>
        <w:rPr>
          <w:rFonts w:ascii="仿宋" w:hAnsi="仿宋" w:eastAsia="仿宋"/>
          <w:b/>
          <w:color w:val="auto"/>
          <w:sz w:val="24"/>
          <w:szCs w:val="24"/>
          <w:highlight w:val="none"/>
        </w:rPr>
      </w:pPr>
      <w:r>
        <w:rPr>
          <w:rFonts w:hint="eastAsia" w:ascii="仿宋" w:hAnsi="仿宋" w:eastAsia="仿宋"/>
          <w:b/>
          <w:color w:val="auto"/>
          <w:sz w:val="24"/>
          <w:szCs w:val="24"/>
          <w:highlight w:val="none"/>
        </w:rPr>
        <w:t>四、响应文件的递交时间、地点和接收</w:t>
      </w:r>
    </w:p>
    <w:p>
      <w:pPr>
        <w:pStyle w:val="87"/>
        <w:spacing w:line="360" w:lineRule="auto"/>
        <w:ind w:firstLine="48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4.1 响应文件的递交时间：</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8</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09</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30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4.2 响应文件的递交地点：自贡市自流井区汇东丹桂大街蓝鹰海岸综合楼二楼四川久润招投标代理有限公司开标3厅。</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pPr>
        <w:pStyle w:val="12"/>
        <w:spacing w:line="360" w:lineRule="auto"/>
        <w:rPr>
          <w:color w:val="auto"/>
          <w:sz w:val="24"/>
          <w:highlight w:val="none"/>
        </w:rPr>
      </w:pPr>
    </w:p>
    <w:p>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w:t>
      </w:r>
      <w:r>
        <w:rPr>
          <w:rFonts w:hint="eastAsia" w:ascii="仿宋" w:hAnsi="仿宋" w:eastAsia="仿宋"/>
          <w:b/>
          <w:color w:val="auto"/>
          <w:sz w:val="24"/>
          <w:highlight w:val="none"/>
          <w:lang w:val="zh-CN"/>
        </w:rPr>
        <w:t>递交响应</w:t>
      </w:r>
      <w:r>
        <w:rPr>
          <w:rFonts w:hint="eastAsia" w:ascii="仿宋" w:hAnsi="仿宋" w:eastAsia="仿宋"/>
          <w:b/>
          <w:color w:val="auto"/>
          <w:kern w:val="0"/>
          <w:sz w:val="24"/>
          <w:highlight w:val="none"/>
          <w:lang w:val="zh-CN"/>
        </w:rPr>
        <w:t>文件</w:t>
      </w:r>
      <w:r>
        <w:rPr>
          <w:rFonts w:hint="eastAsia" w:ascii="仿宋" w:hAnsi="仿宋" w:eastAsia="仿宋"/>
          <w:b/>
          <w:color w:val="auto"/>
          <w:sz w:val="24"/>
          <w:highlight w:val="none"/>
        </w:rPr>
        <w:t>截止时间、谈判时间及地点</w:t>
      </w:r>
    </w:p>
    <w:p>
      <w:pPr>
        <w:pStyle w:val="12"/>
        <w:spacing w:line="360" w:lineRule="auto"/>
        <w:ind w:firstLine="480" w:firstLineChars="200"/>
        <w:rPr>
          <w:rFonts w:hint="eastAsia" w:ascii="仿宋" w:hAnsi="仿宋" w:eastAsia="仿宋"/>
          <w:b/>
          <w:color w:val="auto"/>
          <w:sz w:val="24"/>
          <w:highlight w:val="none"/>
          <w:lang w:eastAsia="zh-CN"/>
        </w:rPr>
      </w:pPr>
      <w:r>
        <w:rPr>
          <w:rFonts w:hint="eastAsia" w:ascii="仿宋" w:hAnsi="仿宋" w:eastAsia="仿宋"/>
          <w:color w:val="auto"/>
          <w:sz w:val="24"/>
          <w:highlight w:val="none"/>
        </w:rPr>
        <w:t xml:space="preserve">5.1 </w:t>
      </w:r>
      <w:r>
        <w:rPr>
          <w:rFonts w:hint="eastAsia" w:ascii="仿宋" w:hAnsi="仿宋" w:eastAsia="仿宋"/>
          <w:color w:val="auto"/>
          <w:sz w:val="24"/>
          <w:highlight w:val="none"/>
          <w:lang w:val="zh-CN"/>
        </w:rPr>
        <w:t>递交响应</w:t>
      </w:r>
      <w:r>
        <w:rPr>
          <w:rFonts w:hint="eastAsia" w:ascii="仿宋" w:hAnsi="仿宋" w:eastAsia="仿宋"/>
          <w:color w:val="auto"/>
          <w:kern w:val="0"/>
          <w:sz w:val="24"/>
          <w:highlight w:val="none"/>
          <w:lang w:val="zh-CN"/>
        </w:rPr>
        <w:t>文件</w:t>
      </w:r>
      <w:r>
        <w:rPr>
          <w:rFonts w:hint="eastAsia" w:ascii="仿宋" w:hAnsi="仿宋" w:eastAsia="仿宋"/>
          <w:color w:val="auto"/>
          <w:sz w:val="24"/>
          <w:highlight w:val="none"/>
        </w:rPr>
        <w:t>截止时间、谈判时间</w:t>
      </w:r>
      <w:r>
        <w:rPr>
          <w:rFonts w:hint="eastAsia" w:ascii="仿宋" w:hAnsi="仿宋" w:eastAsia="仿宋"/>
          <w:b/>
          <w:color w:val="auto"/>
          <w:sz w:val="24"/>
          <w:highlight w:val="none"/>
          <w:lang w:val="en-US" w:eastAsia="zh-CN"/>
        </w:rPr>
        <w:t>:</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8</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00</w:t>
      </w:r>
      <w:r>
        <w:rPr>
          <w:rFonts w:hint="eastAsia" w:ascii="仿宋" w:hAnsi="仿宋" w:eastAsia="仿宋"/>
          <w:b/>
          <w:color w:val="auto"/>
          <w:sz w:val="24"/>
          <w:highlight w:val="none"/>
        </w:rPr>
        <w:t>（北京时间）</w:t>
      </w:r>
      <w:r>
        <w:rPr>
          <w:rFonts w:hint="eastAsia" w:ascii="仿宋" w:hAnsi="仿宋" w:eastAsia="仿宋"/>
          <w:b/>
          <w:color w:val="auto"/>
          <w:sz w:val="24"/>
          <w:highlight w:val="none"/>
          <w:lang w:eastAsia="zh-CN"/>
        </w:rPr>
        <w:t>。</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5.2 谈判地点：自贡市自流井区汇东丹桂大街蓝鹰海岸综合楼二楼四川久润招投标代理有限公司</w:t>
      </w:r>
      <w:r>
        <w:rPr>
          <w:rFonts w:hint="eastAsia" w:ascii="仿宋" w:hAnsi="仿宋" w:eastAsia="仿宋"/>
          <w:color w:val="auto"/>
          <w:sz w:val="24"/>
          <w:highlight w:val="none"/>
          <w:lang w:eastAsia="zh-CN"/>
        </w:rPr>
        <w:t>评审室</w:t>
      </w:r>
      <w:r>
        <w:rPr>
          <w:rFonts w:hint="eastAsia" w:ascii="仿宋" w:hAnsi="仿宋" w:eastAsia="仿宋"/>
          <w:color w:val="auto"/>
          <w:sz w:val="24"/>
          <w:highlight w:val="none"/>
        </w:rPr>
        <w:t>。</w:t>
      </w:r>
    </w:p>
    <w:p>
      <w:pPr>
        <w:pStyle w:val="12"/>
        <w:spacing w:line="360" w:lineRule="auto"/>
        <w:rPr>
          <w:color w:val="auto"/>
          <w:sz w:val="24"/>
          <w:highlight w:val="none"/>
        </w:rPr>
      </w:pPr>
    </w:p>
    <w:p>
      <w:pPr>
        <w:spacing w:line="360" w:lineRule="auto"/>
        <w:ind w:firstLine="490" w:firstLineChars="200"/>
        <w:outlineLvl w:val="1"/>
        <w:rPr>
          <w:color w:val="auto"/>
          <w:sz w:val="24"/>
          <w:highlight w:val="none"/>
        </w:rPr>
      </w:pPr>
      <w:r>
        <w:rPr>
          <w:rFonts w:hint="eastAsia" w:ascii="仿宋" w:hAnsi="仿宋" w:eastAsia="仿宋" w:cs="仿宋"/>
          <w:b/>
          <w:color w:val="auto"/>
          <w:spacing w:val="2"/>
          <w:sz w:val="24"/>
          <w:highlight w:val="none"/>
        </w:rPr>
        <w:t>六、联系方式</w:t>
      </w:r>
    </w:p>
    <w:p>
      <w:pPr>
        <w:pStyle w:val="87"/>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采购人： 富顺县中医医院</w:t>
      </w:r>
    </w:p>
    <w:p>
      <w:pPr>
        <w:pStyle w:val="87"/>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b w:val="0"/>
          <w:bCs/>
          <w:color w:val="auto"/>
          <w:sz w:val="24"/>
          <w:szCs w:val="24"/>
          <w:highlight w:val="none"/>
        </w:rPr>
        <w:t>地址： 自贡市富顺县东湖大道1801号</w:t>
      </w:r>
    </w:p>
    <w:p>
      <w:pPr>
        <w:pStyle w:val="87"/>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联系人： 聂老师</w:t>
      </w:r>
    </w:p>
    <w:p>
      <w:pPr>
        <w:pStyle w:val="87"/>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联系电话： 0813-5197655</w:t>
      </w:r>
    </w:p>
    <w:p>
      <w:pPr>
        <w:pStyle w:val="87"/>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highlight w:val="none"/>
        </w:rPr>
        <w:t>采购代理机构：四川久润招投标代理有限公</w:t>
      </w:r>
      <w:r>
        <w:rPr>
          <w:rFonts w:hint="eastAsia" w:ascii="仿宋" w:hAnsi="仿宋" w:eastAsia="仿宋" w:cs="仿宋"/>
          <w:b/>
          <w:color w:val="auto"/>
          <w:sz w:val="24"/>
          <w:szCs w:val="24"/>
        </w:rPr>
        <w:t>司</w:t>
      </w:r>
    </w:p>
    <w:p>
      <w:pPr>
        <w:pStyle w:val="23"/>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pPr>
        <w:pStyle w:val="23"/>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杨女士</w:t>
      </w:r>
    </w:p>
    <w:p>
      <w:pPr>
        <w:pStyle w:val="23"/>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pPr>
        <w:pStyle w:val="23"/>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rPr>
      </w:pPr>
      <w:r>
        <w:rPr>
          <w:rFonts w:hint="eastAsia" w:ascii="仿宋" w:hAnsi="仿宋" w:eastAsia="仿宋" w:cs="仿宋"/>
          <w:color w:val="auto"/>
        </w:rPr>
        <w:t>电子邮件：jrzb8222@126.com</w:t>
      </w:r>
    </w:p>
    <w:bookmarkEnd w:id="9"/>
    <w:bookmarkEnd w:id="10"/>
    <w:bookmarkEnd w:id="11"/>
    <w:p>
      <w:pPr>
        <w:pStyle w:val="87"/>
        <w:spacing w:line="360" w:lineRule="auto"/>
        <w:ind w:firstLine="480" w:firstLineChars="0"/>
        <w:outlineLvl w:val="9"/>
        <w:rPr>
          <w:rFonts w:hint="eastAsia" w:ascii="仿宋" w:hAnsi="仿宋" w:eastAsia="仿宋"/>
          <w:b/>
          <w:color w:val="auto"/>
          <w:sz w:val="24"/>
          <w:szCs w:val="24"/>
          <w:lang w:eastAsia="zh-CN"/>
        </w:rPr>
      </w:pPr>
      <w:bookmarkStart w:id="12" w:name="_Toc12394"/>
      <w:bookmarkStart w:id="13" w:name="_Toc24228"/>
      <w:bookmarkStart w:id="14" w:name="_Toc14619"/>
      <w:bookmarkStart w:id="15" w:name="_Toc32543"/>
    </w:p>
    <w:p>
      <w:pPr>
        <w:pStyle w:val="23"/>
        <w:keepNext w:val="0"/>
        <w:keepLines w:val="0"/>
        <w:pageBreakBefore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仿宋" w:hAnsi="仿宋" w:eastAsia="仿宋" w:cs="仿宋"/>
          <w:color w:val="auto"/>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color w:val="auto"/>
        </w:rPr>
      </w:pPr>
      <w:bookmarkStart w:id="16" w:name="_Toc2195"/>
      <w:bookmarkStart w:id="17" w:name="_Toc29609"/>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2"/>
      <w:bookmarkEnd w:id="13"/>
      <w:bookmarkEnd w:id="14"/>
      <w:bookmarkEnd w:id="15"/>
      <w:bookmarkEnd w:id="16"/>
      <w:bookmarkEnd w:id="17"/>
    </w:p>
    <w:p>
      <w:pPr>
        <w:numPr>
          <w:ilvl w:val="0"/>
          <w:numId w:val="2"/>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6"/>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pPr>
              <w:pStyle w:val="82"/>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pPr>
              <w:pStyle w:val="82"/>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pPr>
              <w:pStyle w:val="82"/>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预算</w:t>
            </w:r>
            <w:r>
              <w:rPr>
                <w:rFonts w:hint="eastAsia" w:ascii="仿宋" w:hAnsi="仿宋" w:eastAsia="仿宋" w:cs="仿宋"/>
                <w:bCs/>
                <w:color w:val="auto"/>
                <w:sz w:val="24"/>
                <w:szCs w:val="24"/>
              </w:rPr>
              <w:t>金额：</w:t>
            </w:r>
            <w:r>
              <w:rPr>
                <w:rFonts w:hint="eastAsia" w:ascii="仿宋" w:hAnsi="仿宋" w:eastAsia="仿宋" w:cs="仿宋"/>
                <w:bCs/>
                <w:color w:val="auto"/>
                <w:spacing w:val="-2"/>
                <w:sz w:val="24"/>
                <w:lang w:val="en-US" w:eastAsia="zh-CN"/>
              </w:rPr>
              <w:t>220900.00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z w:val="24"/>
                <w:szCs w:val="24"/>
                <w:lang w:eastAsia="zh-CN"/>
              </w:rPr>
              <w:t>；</w:t>
            </w:r>
          </w:p>
          <w:p>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lang w:val="zh-CN" w:eastAsia="zh-CN"/>
              </w:rPr>
              <w:t>供应商报价超过采购预算金额的，视为无效响应。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最高限价</w:t>
            </w:r>
          </w:p>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pPr>
              <w:pStyle w:val="12"/>
              <w:spacing w:before="0" w:beforeLines="0" w:after="63"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000000" w:themeColor="text1"/>
                <w:kern w:val="2"/>
                <w:sz w:val="24"/>
                <w:szCs w:val="24"/>
                <w:highlight w:val="none"/>
                <w:lang w:val="zh-CN" w:eastAsia="zh-CN"/>
                <w14:textFill>
                  <w14:solidFill>
                    <w14:schemeClr w14:val="tx1"/>
                  </w14:solidFill>
                </w14:textFill>
              </w:rPr>
              <w:t>本项目采用下浮比例方式报价。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0"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pPr>
              <w:autoSpaceDE w:val="0"/>
              <w:autoSpaceDN w:val="0"/>
              <w:adjustRightInd w:val="0"/>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低于成本价不正</w:t>
            </w:r>
          </w:p>
          <w:p>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当竞争预防措施</w:t>
            </w:r>
          </w:p>
          <w:p>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供应商的书面说明材料应当按照国家财务会计制度的规定要求，逐项就供应商提供的货物、服务和工程的主营业务成本、税金及附加、销售费用、管理费用、财务费用等成本构成事项详细陈述。</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lang w:val="en-US" w:eastAsia="zh-CN"/>
              </w:rPr>
              <w:t xml:space="preserve">  </w:t>
            </w:r>
            <w:r>
              <w:rPr>
                <w:rFonts w:hint="eastAsia" w:ascii="仿宋" w:hAnsi="仿宋" w:eastAsia="仿宋" w:cs="仿宋"/>
                <w:bCs/>
                <w:color w:val="auto"/>
                <w:sz w:val="24"/>
                <w:szCs w:val="32"/>
              </w:rPr>
              <w:t>二、供应商书面说明应当签字确认或者加盖公章，否则无效。书面说明的签字确认，供应商为法人的，由其法定代表人或者授权代表签字确认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供应商为其他组织的，由其主要负责人或者授权代表签字确认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供应商为自然人的，由其本人或者授权代表签字确认。</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 xml:space="preserve">  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pPr>
              <w:pStyle w:val="82"/>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pPr>
              <w:pStyle w:val="82"/>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pPr>
              <w:pStyle w:val="82"/>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pPr>
              <w:pStyle w:val="82"/>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pPr>
              <w:pStyle w:val="82"/>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pPr>
              <w:pStyle w:val="82"/>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pPr>
              <w:pStyle w:val="82"/>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pPr>
              <w:pStyle w:val="82"/>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评审结果等将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pPr>
              <w:pStyle w:val="82"/>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lang w:val="zh-CN"/>
              </w:rPr>
              <w:t>谈判保证金</w:t>
            </w:r>
          </w:p>
        </w:tc>
        <w:tc>
          <w:tcPr>
            <w:tcW w:w="6705" w:type="dxa"/>
            <w:vAlign w:val="center"/>
          </w:tcPr>
          <w:p>
            <w:pPr>
              <w:pStyle w:val="82"/>
              <w:overflowPunct/>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kern w:val="2"/>
                <w:sz w:val="24"/>
                <w:szCs w:val="24"/>
              </w:rPr>
              <w:t>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z w:val="24"/>
                <w:szCs w:val="24"/>
                <w:highlight w:val="none"/>
                <w:shd w:val="clear" w:color="auto" w:fill="auto"/>
                <w:lang w:val="zh-CN"/>
              </w:rPr>
              <w:t>履约保证金</w:t>
            </w:r>
          </w:p>
        </w:tc>
        <w:tc>
          <w:tcPr>
            <w:tcW w:w="6705" w:type="dxa"/>
            <w:vAlign w:val="center"/>
          </w:tcPr>
          <w:p>
            <w:pPr>
              <w:pStyle w:val="82"/>
              <w:spacing w:before="0" w:beforeLines="0" w:after="63" w:afterLines="20" w:line="400" w:lineRule="exact"/>
              <w:ind w:left="42" w:leftChars="20" w:right="42" w:rightChars="20" w:firstLine="240" w:firstLineChars="100"/>
              <w:jc w:val="both"/>
              <w:rPr>
                <w:rFonts w:ascii="仿宋" w:hAnsi="仿宋" w:eastAsia="仿宋" w:cs="仿宋"/>
                <w:bCs/>
                <w:color w:val="auto"/>
                <w:kern w:val="2"/>
                <w:sz w:val="24"/>
                <w:szCs w:val="24"/>
              </w:rPr>
            </w:pPr>
            <w:r>
              <w:rPr>
                <w:rFonts w:hint="eastAsia" w:ascii="仿宋" w:hAnsi="仿宋" w:eastAsia="仿宋" w:cs="仿宋"/>
                <w:color w:val="auto"/>
                <w:kern w:val="2"/>
                <w:sz w:val="24"/>
                <w:szCs w:val="24"/>
              </w:rPr>
              <w:t>本项目不收取</w:t>
            </w:r>
            <w:r>
              <w:rPr>
                <w:rFonts w:hint="eastAsia" w:ascii="仿宋" w:hAnsi="仿宋" w:eastAsia="仿宋" w:cs="仿宋"/>
                <w:color w:val="auto"/>
                <w:sz w:val="24"/>
                <w:szCs w:val="24"/>
                <w:highlight w:val="none"/>
                <w:shd w:val="clear" w:color="auto" w:fill="auto"/>
                <w:lang w:val="zh-CN"/>
              </w:rPr>
              <w:t>履约保证金</w:t>
            </w:r>
            <w:r>
              <w:rPr>
                <w:rFonts w:hint="eastAsia" w:ascii="仿宋" w:hAnsi="仿宋" w:eastAsia="仿宋" w:cs="仿宋"/>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pPr>
              <w:pStyle w:val="82"/>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val="zh-CN"/>
              </w:rPr>
              <w:t>；</w:t>
            </w:r>
          </w:p>
          <w:p>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pPr>
              <w:pStyle w:val="82"/>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pPr>
              <w:pStyle w:val="82"/>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eastAsia="zh-CN"/>
              </w:rPr>
              <w:t>；</w:t>
            </w:r>
          </w:p>
          <w:p>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eastAsia="仿宋" w:cs="仿宋"/>
                <w:b/>
                <w:color w:val="auto"/>
                <w:kern w:val="2"/>
                <w:sz w:val="24"/>
                <w:szCs w:val="24"/>
                <w:lang w:val="zh-CN"/>
              </w:rPr>
              <w:t>（实质性要求）</w:t>
            </w:r>
          </w:p>
        </w:tc>
        <w:tc>
          <w:tcPr>
            <w:tcW w:w="6705" w:type="dxa"/>
            <w:vAlign w:val="center"/>
          </w:tcPr>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000000" w:themeColor="text1"/>
                <w:sz w:val="24"/>
                <w:szCs w:val="24"/>
                <w14:textFill>
                  <w14:solidFill>
                    <w14:schemeClr w14:val="tx1"/>
                  </w14:solidFill>
                </w14:textFill>
              </w:rPr>
              <w:t>采购代理服务费</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lang w:val="zh-CN" w:eastAsia="zh-CN" w:bidi="ar-SA"/>
              </w:rPr>
              <w:t>本项目预算已包含采购代理服务费,根据委托代理协议约定，本项目采购代理服</w:t>
            </w:r>
            <w:r>
              <w:rPr>
                <w:rFonts w:hint="eastAsia" w:ascii="仿宋" w:hAnsi="仿宋" w:eastAsia="仿宋" w:cs="仿宋"/>
                <w:bCs/>
                <w:color w:val="auto"/>
                <w:kern w:val="2"/>
                <w:sz w:val="24"/>
                <w:szCs w:val="24"/>
                <w:highlight w:val="none"/>
                <w:lang w:val="zh-CN" w:eastAsia="zh-CN" w:bidi="ar-SA"/>
              </w:rPr>
              <w:t>务费按照</w:t>
            </w:r>
            <w:r>
              <w:rPr>
                <w:rFonts w:hint="eastAsia" w:ascii="仿宋" w:hAnsi="仿宋" w:eastAsia="仿宋" w:cs="仿宋"/>
                <w:bCs/>
                <w:color w:val="auto"/>
                <w:kern w:val="2"/>
                <w:sz w:val="24"/>
                <w:szCs w:val="24"/>
                <w:highlight w:val="none"/>
                <w:lang w:val="en-US" w:eastAsia="zh-CN" w:bidi="ar-SA"/>
              </w:rPr>
              <w:t>3000.00</w:t>
            </w:r>
            <w:r>
              <w:rPr>
                <w:rFonts w:hint="eastAsia" w:ascii="仿宋" w:hAnsi="仿宋" w:eastAsia="仿宋" w:cs="仿宋"/>
                <w:bCs/>
                <w:color w:val="auto"/>
                <w:kern w:val="2"/>
                <w:sz w:val="24"/>
                <w:szCs w:val="24"/>
                <w:highlight w:val="none"/>
                <w:lang w:val="zh-CN" w:eastAsia="zh-CN" w:bidi="ar-SA"/>
              </w:rPr>
              <w:t>元收取，由成交供应商支付。</w:t>
            </w:r>
          </w:p>
          <w:p>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户    名：四川久润招投标代理有限公司</w:t>
            </w:r>
          </w:p>
          <w:p>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帐    号：102012000001139849</w:t>
            </w:r>
          </w:p>
          <w:p>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开 户 行：自贡银行股份有限公司营业部</w:t>
            </w:r>
          </w:p>
          <w:p>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 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pPr>
              <w:pStyle w:val="82"/>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pPr>
              <w:pStyle w:val="82"/>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信用记录查询及使用</w:t>
            </w:r>
          </w:p>
          <w:p>
            <w:pPr>
              <w:pStyle w:val="82"/>
              <w:widowControl/>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p>
        </w:tc>
        <w:tc>
          <w:tcPr>
            <w:tcW w:w="6705" w:type="dxa"/>
            <w:vAlign w:val="center"/>
          </w:tcPr>
          <w:p>
            <w:pPr>
              <w:pStyle w:val="82"/>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pPr>
              <w:pStyle w:val="82"/>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pPr>
              <w:pStyle w:val="82"/>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pPr>
              <w:pStyle w:val="82"/>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不同供应商不得在同一合同项下的采购项目中，委托同一个自然人、同一单位的人员办理响应事宜。</w:t>
            </w:r>
          </w:p>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pPr>
              <w:pStyle w:val="82"/>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pPr>
              <w:pStyle w:val="87"/>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pPr>
              <w:pStyle w:val="82"/>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pPr>
        <w:spacing w:line="360" w:lineRule="auto"/>
        <w:ind w:firstLine="480"/>
        <w:rPr>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pPr>
        <w:spacing w:line="360" w:lineRule="auto"/>
        <w:ind w:firstLine="480"/>
        <w:rPr>
          <w:rFonts w:hint="eastAsia" w:ascii="仿宋" w:hAnsi="仿宋" w:eastAsia="仿宋" w:cs="仿宋"/>
          <w:bCs/>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按照规定获取了竞争性谈判文件，属于实质性参加采购活动的供应商。</w:t>
      </w:r>
    </w:p>
    <w:p>
      <w:pPr>
        <w:spacing w:line="360" w:lineRule="auto"/>
        <w:ind w:firstLine="482" w:firstLineChars="200"/>
        <w:rPr>
          <w:rFonts w:hint="eastAsia"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pPr>
        <w:spacing w:line="360" w:lineRule="auto"/>
        <w:ind w:firstLine="488"/>
        <w:rPr>
          <w:color w:val="auto"/>
        </w:rPr>
      </w:pPr>
    </w:p>
    <w:p>
      <w:pPr>
        <w:spacing w:line="360" w:lineRule="auto"/>
        <w:ind w:left="1" w:firstLine="482" w:firstLineChars="200"/>
        <w:rPr>
          <w:rFonts w:hint="eastAsia" w:asci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5.1</w:t>
      </w:r>
      <w:r>
        <w:rPr>
          <w:rFonts w:hint="eastAsia" w:ascii="仿宋" w:eastAsia="仿宋" w:cs="仿宋"/>
          <w:color w:val="auto"/>
          <w:sz w:val="24"/>
          <w:szCs w:val="24"/>
        </w:rPr>
        <w:t>采购活动中，采购人员及相关人员与供应商有下列利害关系之一的，应当回避：</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（4）</w:t>
      </w:r>
      <w:r>
        <w:rPr>
          <w:rFonts w:hint="eastAsia" w:ascii="仿宋" w:eastAsia="仿宋" w:cs="仿宋"/>
          <w:color w:val="auto"/>
          <w:sz w:val="24"/>
          <w:szCs w:val="24"/>
        </w:rPr>
        <w:t>与供应商的法定代表人或者负责人有夫妻、直系血亲、三代以内旁系血亲或者近姻亲关系；</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（5）</w:t>
      </w:r>
      <w:r>
        <w:rPr>
          <w:rFonts w:hint="eastAsia" w:ascii="仿宋" w:eastAsia="仿宋" w:cs="仿宋"/>
          <w:color w:val="auto"/>
          <w:sz w:val="24"/>
          <w:szCs w:val="24"/>
        </w:rPr>
        <w:t>与供应商有其他可能影响采购活动公平、公正进行的关系。</w:t>
      </w:r>
    </w:p>
    <w:p>
      <w:pPr>
        <w:pStyle w:val="88"/>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5.2</w:t>
      </w:r>
      <w:r>
        <w:rPr>
          <w:rFonts w:hint="eastAsia" w:asci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eastAsia="仿宋" w:cs="仿宋"/>
          <w:color w:val="auto"/>
          <w:sz w:val="24"/>
          <w:szCs w:val="24"/>
          <w:lang w:eastAsia="zh-CN"/>
        </w:rPr>
        <w:t>谈判</w:t>
      </w:r>
      <w:r>
        <w:rPr>
          <w:rFonts w:hint="eastAsia" w:ascii="仿宋" w:eastAsia="仿宋" w:cs="仿宋"/>
          <w:color w:val="auto"/>
          <w:sz w:val="24"/>
          <w:szCs w:val="24"/>
        </w:rPr>
        <w:t>小组成员。</w:t>
      </w:r>
    </w:p>
    <w:p>
      <w:pPr>
        <w:spacing w:line="360" w:lineRule="auto"/>
        <w:ind w:firstLine="480" w:firstLineChars="200"/>
        <w:outlineLvl w:val="9"/>
        <w:rPr>
          <w:rFonts w:ascii="仿宋" w:hAnsi="仿宋" w:eastAsia="仿宋" w:cs="仿宋"/>
          <w:b/>
          <w:color w:val="auto"/>
          <w:sz w:val="24"/>
        </w:rPr>
      </w:pPr>
      <w:r>
        <w:rPr>
          <w:rFonts w:hint="eastAsia" w:ascii="仿宋" w:eastAsia="仿宋" w:cs="仿宋"/>
          <w:color w:val="auto"/>
          <w:sz w:val="24"/>
          <w:szCs w:val="24"/>
          <w:lang w:val="en-US" w:eastAsia="zh-CN"/>
        </w:rPr>
        <w:t>5.3</w:t>
      </w:r>
      <w:r>
        <w:rPr>
          <w:rFonts w:hint="eastAsia" w:asci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（1）</w:t>
      </w:r>
      <w:r>
        <w:rPr>
          <w:rFonts w:hint="eastAsia" w:ascii="仿宋" w:eastAsia="仿宋" w:cs="仿宋"/>
          <w:bCs/>
          <w:color w:val="auto"/>
          <w:sz w:val="24"/>
        </w:rPr>
        <w:t>谈判邀请；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（2）</w:t>
      </w:r>
      <w:r>
        <w:rPr>
          <w:rFonts w:hint="eastAsia" w:ascii="仿宋" w:eastAsia="仿宋" w:cs="仿宋"/>
          <w:bCs/>
          <w:color w:val="auto"/>
          <w:sz w:val="24"/>
        </w:rPr>
        <w:t>供应商谈判须知；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（3）</w:t>
      </w:r>
      <w:r>
        <w:rPr>
          <w:rFonts w:hint="eastAsia" w:ascii="仿宋" w:eastAsia="仿宋" w:cs="仿宋"/>
          <w:bCs/>
          <w:color w:val="auto"/>
          <w:sz w:val="24"/>
        </w:rPr>
        <w:t>供应商的资格条件要求；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（4）</w:t>
      </w:r>
      <w:r>
        <w:rPr>
          <w:rFonts w:hint="eastAsia" w:ascii="仿宋" w:eastAsia="仿宋" w:cs="仿宋"/>
          <w:bCs/>
          <w:color w:val="auto"/>
          <w:sz w:val="24"/>
        </w:rPr>
        <w:t>供应商应当提供的资格证明材料；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（5）</w:t>
      </w:r>
      <w:r>
        <w:rPr>
          <w:rFonts w:hint="eastAsia" w:ascii="仿宋" w:eastAsia="仿宋" w:cs="仿宋"/>
          <w:bCs/>
          <w:color w:val="auto"/>
          <w:sz w:val="24"/>
        </w:rPr>
        <w:t>采购项目内容及商务要求；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（6）</w:t>
      </w:r>
      <w:r>
        <w:rPr>
          <w:rFonts w:hint="eastAsia" w:ascii="仿宋" w:eastAsia="仿宋" w:cs="仿宋"/>
          <w:bCs/>
          <w:color w:val="auto"/>
          <w:sz w:val="24"/>
        </w:rPr>
        <w:t>谈判内容、谈判过程中可能实质性变动的内容；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（7）</w:t>
      </w:r>
      <w:r>
        <w:rPr>
          <w:rFonts w:hint="eastAsia" w:ascii="仿宋" w:eastAsia="仿宋" w:cs="仿宋"/>
          <w:bCs/>
          <w:color w:val="auto"/>
          <w:sz w:val="24"/>
        </w:rPr>
        <w:t>响应文件主要格式要求；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（8）</w:t>
      </w:r>
      <w:r>
        <w:rPr>
          <w:rFonts w:hint="eastAsia" w:ascii="仿宋" w:eastAsia="仿宋" w:cs="仿宋"/>
          <w:bCs/>
          <w:color w:val="auto"/>
          <w:sz w:val="24"/>
        </w:rPr>
        <w:t>评审办法；</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lang w:val="en-US" w:eastAsia="zh-CN"/>
        </w:rPr>
        <w:t>（9）</w:t>
      </w:r>
      <w:r>
        <w:rPr>
          <w:rFonts w:hint="eastAsia" w:ascii="仿宋" w:eastAsia="仿宋" w:cs="仿宋"/>
          <w:bCs/>
          <w:color w:val="auto"/>
          <w:sz w:val="24"/>
        </w:rPr>
        <w:t>采购合同（样例）；</w:t>
      </w:r>
    </w:p>
    <w:p>
      <w:pPr>
        <w:spacing w:line="360" w:lineRule="auto"/>
        <w:ind w:firstLine="480"/>
        <w:rPr>
          <w:rFonts w:ascii="仿宋" w:eastAsia="仿宋" w:cs="仿宋"/>
          <w:bCs/>
          <w:color w:val="auto"/>
          <w:sz w:val="24"/>
        </w:rPr>
      </w:pPr>
      <w:r>
        <w:rPr>
          <w:rFonts w:hint="eastAsia" w:ascii="仿宋" w:eastAsia="仿宋" w:cs="仿宋"/>
          <w:bCs/>
          <w:color w:val="auto"/>
          <w:sz w:val="24"/>
          <w:lang w:val="en-US" w:eastAsia="zh-CN"/>
        </w:rPr>
        <w:t>（10）</w:t>
      </w:r>
      <w:r>
        <w:rPr>
          <w:rFonts w:hint="eastAsia" w:ascii="仿宋" w:eastAsia="仿宋" w:cs="仿宋"/>
          <w:bCs/>
          <w:color w:val="auto"/>
          <w:sz w:val="24"/>
        </w:rPr>
        <w:t>附件。</w:t>
      </w:r>
    </w:p>
    <w:p>
      <w:pPr>
        <w:pStyle w:val="12"/>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pPr>
        <w:spacing w:line="360" w:lineRule="auto"/>
        <w:ind w:firstLine="486"/>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.1在响应截止时间前，采购单位无论出于何种原因，可以对竞争性谈判文件进行澄清或者修改；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pPr>
        <w:spacing w:line="360" w:lineRule="auto"/>
        <w:ind w:firstLine="482"/>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pPr>
        <w:widowControl/>
        <w:spacing w:line="360" w:lineRule="auto"/>
        <w:ind w:firstLine="480" w:firstLineChars="200"/>
        <w:jc w:val="both"/>
        <w:rPr>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pPr>
        <w:spacing w:line="360" w:lineRule="auto"/>
        <w:ind w:firstLine="480" w:firstLineChars="200"/>
        <w:rPr>
          <w:rFonts w:ascii="仿宋" w:eastAsia="仿宋"/>
          <w:color w:val="auto"/>
          <w:sz w:val="24"/>
          <w:szCs w:val="24"/>
        </w:rPr>
      </w:pPr>
      <w:r>
        <w:rPr>
          <w:rFonts w:hint="eastAsia" w:ascii="仿宋" w:eastAsia="仿宋" w:cs="仿宋"/>
          <w:color w:val="auto"/>
          <w:sz w:val="24"/>
          <w:szCs w:val="24"/>
          <w:lang w:val="en-US" w:eastAsia="zh-CN"/>
        </w:rPr>
        <w:t>9</w:t>
      </w:r>
      <w:r>
        <w:rPr>
          <w:rFonts w:ascii="仿宋" w:eastAsia="仿宋" w:cs="仿宋"/>
          <w:color w:val="auto"/>
          <w:sz w:val="24"/>
          <w:szCs w:val="24"/>
        </w:rPr>
        <w:t>.</w:t>
      </w:r>
      <w:r>
        <w:rPr>
          <w:rFonts w:hint="eastAsia" w:ascii="仿宋" w:eastAsia="仿宋" w:cs="仿宋"/>
          <w:color w:val="auto"/>
          <w:sz w:val="24"/>
          <w:szCs w:val="24"/>
          <w:lang w:val="en-US" w:eastAsia="zh-CN"/>
        </w:rPr>
        <w:t>1.</w:t>
      </w:r>
      <w:r>
        <w:rPr>
          <w:rFonts w:ascii="仿宋" w:eastAsia="仿宋" w:cs="仿宋"/>
          <w:color w:val="auto"/>
          <w:sz w:val="24"/>
          <w:szCs w:val="24"/>
        </w:rPr>
        <w:t xml:space="preserve">3 </w:t>
      </w:r>
      <w:r>
        <w:rPr>
          <w:rFonts w:hint="eastAsia" w:ascii="仿宋" w:eastAsia="仿宋" w:cs="仿宋"/>
          <w:color w:val="auto"/>
          <w:sz w:val="24"/>
          <w:szCs w:val="24"/>
        </w:rPr>
        <w:t>如因未翻译而造成的响应文件无效风险，由供应商承担。</w:t>
      </w:r>
    </w:p>
    <w:p>
      <w:pPr>
        <w:pStyle w:val="12"/>
        <w:spacing w:line="360" w:lineRule="auto"/>
        <w:ind w:firstLine="480"/>
        <w:rPr>
          <w:color w:val="auto"/>
        </w:rPr>
      </w:pP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pPr>
        <w:widowControl/>
        <w:spacing w:line="360" w:lineRule="auto"/>
        <w:ind w:firstLine="480"/>
        <w:jc w:val="left"/>
        <w:rPr>
          <w:rFonts w:hint="eastAsia" w:ascii="仿宋" w:hAnsi="仿宋" w:eastAsia="仿宋" w:cs="仿宋"/>
          <w:b/>
          <w:bCs/>
          <w:color w:val="auto"/>
          <w:sz w:val="24"/>
        </w:rPr>
      </w:pPr>
    </w:p>
    <w:p>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pPr>
        <w:widowControl/>
        <w:spacing w:line="360" w:lineRule="auto"/>
        <w:jc w:val="left"/>
        <w:rPr>
          <w:rFonts w:hint="eastAsia" w:ascii="仿宋" w:hAnsi="仿宋" w:eastAsia="仿宋" w:cs="仿宋"/>
          <w:color w:val="auto"/>
          <w:sz w:val="24"/>
        </w:rPr>
      </w:pPr>
    </w:p>
    <w:p>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pPr>
        <w:widowControl/>
        <w:spacing w:line="360" w:lineRule="auto"/>
        <w:ind w:firstLine="480"/>
        <w:jc w:val="both"/>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pPr>
        <w:widowControl/>
        <w:spacing w:line="360" w:lineRule="auto"/>
        <w:ind w:firstLine="420" w:firstLineChars="200"/>
        <w:jc w:val="both"/>
        <w:rPr>
          <w:color w:val="auto"/>
        </w:rPr>
      </w:pPr>
    </w:p>
    <w:p>
      <w:pPr>
        <w:widowControl/>
        <w:numPr>
          <w:ilvl w:val="-1"/>
          <w:numId w:val="0"/>
        </w:numPr>
        <w:spacing w:line="360" w:lineRule="auto"/>
        <w:ind w:firstLine="482" w:firstLineChars="200"/>
        <w:rPr>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 xml:space="preserve">响应文件的组成 </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pPr>
        <w:pStyle w:val="1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1</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提供所投产品的品牌、型号、配置，以及所投产品本身的主要技术指标和参数相关证明材料(如提供监测报告或产品使用说明书或用户手册等材料)；</w:t>
      </w:r>
    </w:p>
    <w:p>
      <w:pPr>
        <w:pStyle w:val="1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2</w:t>
      </w:r>
      <w:r>
        <w:rPr>
          <w:rFonts w:hint="eastAsia" w:ascii="仿宋" w:hAnsi="仿宋" w:eastAsia="仿宋" w:cs="仿宋"/>
          <w:bCs w:val="0"/>
          <w:color w:val="000000"/>
          <w:sz w:val="24"/>
          <w:highlight w:val="none"/>
          <w:lang w:eastAsia="zh-CN"/>
        </w:rPr>
        <w:t>）技术服务偏离表；</w:t>
      </w:r>
    </w:p>
    <w:p>
      <w:pPr>
        <w:pStyle w:val="1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3</w:t>
      </w:r>
      <w:r>
        <w:rPr>
          <w:rFonts w:hint="eastAsia" w:ascii="仿宋" w:hAnsi="仿宋" w:eastAsia="仿宋" w:cs="仿宋"/>
          <w:bCs w:val="0"/>
          <w:color w:val="000000"/>
          <w:sz w:val="24"/>
          <w:highlight w:val="none"/>
          <w:lang w:eastAsia="zh-CN"/>
        </w:rPr>
        <w:t>）商务服务应答表</w:t>
      </w:r>
      <w:r>
        <w:rPr>
          <w:rFonts w:hint="eastAsia" w:ascii="仿宋" w:hAnsi="仿宋" w:eastAsia="仿宋" w:cs="仿宋"/>
          <w:bCs w:val="0"/>
          <w:color w:val="000000"/>
          <w:sz w:val="24"/>
          <w:highlight w:val="none"/>
        </w:rPr>
        <w:t>；</w:t>
      </w:r>
    </w:p>
    <w:p>
      <w:pPr>
        <w:pStyle w:val="1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4</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拟派入本项目的主要实施人员情况表；</w:t>
      </w:r>
    </w:p>
    <w:p>
      <w:pPr>
        <w:pStyle w:val="1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项目实施及售后服务方案；</w:t>
      </w:r>
    </w:p>
    <w:p>
      <w:pPr>
        <w:pStyle w:val="1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6</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售后服务相关资料</w:t>
      </w:r>
      <w:r>
        <w:rPr>
          <w:rFonts w:hint="eastAsia" w:ascii="仿宋" w:hAnsi="仿宋" w:eastAsia="仿宋" w:cs="仿宋"/>
          <w:bCs w:val="0"/>
          <w:color w:val="000000"/>
          <w:sz w:val="24"/>
          <w:highlight w:val="none"/>
          <w:lang w:eastAsia="zh-CN"/>
        </w:rPr>
        <w:t>；</w:t>
      </w:r>
    </w:p>
    <w:p>
      <w:pPr>
        <w:pStyle w:val="1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7</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项目验收标准和验收方法</w:t>
      </w:r>
      <w:r>
        <w:rPr>
          <w:rFonts w:hint="eastAsia" w:ascii="仿宋" w:hAnsi="仿宋" w:eastAsia="仿宋" w:cs="仿宋"/>
          <w:bCs w:val="0"/>
          <w:color w:val="000000"/>
          <w:sz w:val="24"/>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000000"/>
          <w:sz w:val="24"/>
          <w:highlight w:val="none"/>
        </w:rPr>
      </w:pPr>
      <w:r>
        <w:rPr>
          <w:rFonts w:hint="eastAsia" w:ascii="仿宋" w:hAnsi="仿宋" w:eastAsia="仿宋" w:cs="仿宋"/>
          <w:b w:val="0"/>
          <w:bCs/>
          <w:color w:val="000000"/>
          <w:sz w:val="24"/>
          <w:highlight w:val="none"/>
          <w:lang w:val="en-US" w:eastAsia="zh-CN"/>
        </w:rPr>
        <w:t>（8）其他有利于采购人或者供应商认为需要提供的文件和资料。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eastAsia="zh-CN"/>
        </w:rPr>
      </w:pPr>
      <w:r>
        <w:rPr>
          <w:rFonts w:hint="eastAsia" w:ascii="仿宋" w:hAnsi="仿宋" w:eastAsia="仿宋" w:cs="仿宋"/>
          <w:b w:val="0"/>
          <w:bCs/>
          <w:color w:val="000000"/>
          <w:sz w:val="24"/>
          <w:highlight w:val="none"/>
          <w:lang w:val="en-US" w:eastAsia="zh-CN"/>
        </w:rPr>
        <w:t>10.2.2</w:t>
      </w:r>
      <w:r>
        <w:rPr>
          <w:rFonts w:hint="eastAsia" w:ascii="仿宋" w:hAnsi="仿宋" w:eastAsia="仿宋" w:cs="仿宋"/>
          <w:b w:val="0"/>
          <w:bCs/>
          <w:color w:val="000000"/>
          <w:sz w:val="24"/>
          <w:highlight w:val="none"/>
        </w:rPr>
        <w:t xml:space="preserve"> </w:t>
      </w:r>
      <w:r>
        <w:rPr>
          <w:rFonts w:hint="eastAsia" w:ascii="仿宋" w:hAnsi="仿宋" w:eastAsia="仿宋" w:cs="仿宋"/>
          <w:b w:val="0"/>
          <w:bCs/>
          <w:color w:val="000000"/>
          <w:sz w:val="24"/>
          <w:highlight w:val="none"/>
          <w:lang w:eastAsia="zh-CN"/>
        </w:rPr>
        <w:t>其他要求部分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（1）供应商简介；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（2）供应商基本情况表；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（3）</w:t>
      </w:r>
      <w:r>
        <w:rPr>
          <w:rFonts w:hint="eastAsia" w:ascii="仿宋" w:hAnsi="仿宋" w:eastAsia="仿宋" w:cs="仿宋"/>
          <w:bCs/>
          <w:color w:val="auto"/>
          <w:sz w:val="24"/>
          <w:lang w:eastAsia="zh-CN"/>
        </w:rPr>
        <w:t>首轮报价一览表；</w:t>
      </w:r>
      <w:r>
        <w:rPr>
          <w:rFonts w:hint="eastAsia" w:ascii="仿宋" w:hAnsi="仿宋" w:eastAsia="仿宋" w:cs="仿宋"/>
          <w:b/>
          <w:color w:val="auto"/>
          <w:sz w:val="24"/>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（4）承诺函；</w:t>
      </w:r>
      <w:r>
        <w:rPr>
          <w:rFonts w:hint="eastAsia" w:ascii="仿宋" w:hAnsi="仿宋" w:eastAsia="仿宋" w:cs="仿宋"/>
          <w:b/>
          <w:bCs w:val="0"/>
          <w:color w:val="000000"/>
          <w:sz w:val="24"/>
          <w:highlight w:val="none"/>
        </w:rPr>
        <w:t>(实质性要求）</w:t>
      </w:r>
    </w:p>
    <w:p>
      <w:pPr>
        <w:spacing w:line="360" w:lineRule="auto"/>
        <w:ind w:firstLine="480" w:firstLineChars="200"/>
        <w:outlineLvl w:val="9"/>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其他有利于</w:t>
      </w:r>
      <w:r>
        <w:rPr>
          <w:rFonts w:hint="eastAsia" w:ascii="仿宋" w:hAnsi="仿宋" w:eastAsia="仿宋" w:cs="仿宋"/>
          <w:bCs w:val="0"/>
          <w:color w:val="000000"/>
          <w:sz w:val="24"/>
          <w:highlight w:val="none"/>
          <w:lang w:eastAsia="zh-CN"/>
        </w:rPr>
        <w:t>供应商</w:t>
      </w:r>
      <w:r>
        <w:rPr>
          <w:rFonts w:hint="eastAsia" w:ascii="仿宋" w:hAnsi="仿宋" w:eastAsia="仿宋" w:cs="仿宋"/>
          <w:bCs w:val="0"/>
          <w:color w:val="000000"/>
          <w:sz w:val="24"/>
          <w:highlight w:val="none"/>
        </w:rPr>
        <w:t>的服务承诺等</w:t>
      </w:r>
      <w:r>
        <w:rPr>
          <w:rFonts w:hint="eastAsia" w:ascii="仿宋" w:hAnsi="仿宋" w:eastAsia="仿宋" w:cs="仿宋"/>
          <w:bCs w:val="0"/>
          <w:color w:val="000000"/>
          <w:sz w:val="24"/>
          <w:highlight w:val="none"/>
          <w:lang w:eastAsia="zh-CN"/>
        </w:rPr>
        <w:t>。</w:t>
      </w:r>
    </w:p>
    <w:p>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pPr>
        <w:pStyle w:val="116"/>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pPr>
        <w:pStyle w:val="116"/>
        <w:spacing w:line="360" w:lineRule="auto"/>
        <w:ind w:firstLine="480" w:firstLineChars="200"/>
        <w:outlineLvl w:val="9"/>
        <w:rPr>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pPr>
        <w:pStyle w:val="116"/>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pPr>
        <w:pStyle w:val="116"/>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①</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pPr>
        <w:widowControl/>
        <w:spacing w:line="360" w:lineRule="auto"/>
        <w:ind w:firstLine="48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②</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w:t>
      </w:r>
      <w:r>
        <w:rPr>
          <w:rFonts w:hint="eastAsia" w:ascii="仿宋" w:hAnsi="仿宋" w:eastAsia="仿宋" w:cs="仿宋"/>
          <w:color w:val="000000"/>
          <w:sz w:val="24"/>
          <w:highlight w:val="none"/>
        </w:rPr>
        <w:t>规定，属于报价计算错误可以修改的情形除外）。</w:t>
      </w:r>
    </w:p>
    <w:p>
      <w:pPr>
        <w:widowControl/>
        <w:spacing w:line="360" w:lineRule="auto"/>
        <w:ind w:firstLine="48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最后报价一览表</w:t>
      </w:r>
      <w:r>
        <w:rPr>
          <w:rFonts w:hint="eastAsia" w:ascii="仿宋" w:hAnsi="仿宋" w:eastAsia="仿宋" w:cs="仿宋"/>
          <w:color w:val="000000"/>
          <w:sz w:val="24"/>
          <w:highlight w:val="none"/>
        </w:rPr>
        <w:t>”填写的报价将作为本次采购唯一的最</w:t>
      </w:r>
      <w:r>
        <w:rPr>
          <w:rFonts w:hint="eastAsia" w:ascii="仿宋" w:hAnsi="仿宋" w:eastAsia="仿宋" w:cs="仿宋"/>
          <w:color w:val="000000"/>
          <w:sz w:val="24"/>
          <w:highlight w:val="none"/>
          <w:lang w:eastAsia="zh-CN"/>
        </w:rPr>
        <w:t>后</w:t>
      </w:r>
      <w:r>
        <w:rPr>
          <w:rFonts w:hint="eastAsia" w:ascii="仿宋" w:hAnsi="仿宋" w:eastAsia="仿宋" w:cs="仿宋"/>
          <w:color w:val="000000"/>
          <w:sz w:val="24"/>
          <w:highlight w:val="none"/>
        </w:rPr>
        <w:t>报价依据。</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000000"/>
          <w:sz w:val="24"/>
          <w:highlight w:val="none"/>
        </w:rPr>
        <w:t>④</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现场报价的单价</w:t>
      </w:r>
      <w:r>
        <w:rPr>
          <w:rFonts w:hint="eastAsia" w:ascii="仿宋" w:hAnsi="仿宋" w:eastAsia="仿宋" w:cs="仿宋"/>
          <w:color w:val="auto"/>
          <w:sz w:val="24"/>
          <w:highlight w:val="none"/>
          <w:lang w:val="en-US" w:eastAsia="zh-CN"/>
        </w:rPr>
        <w:t>为每份报价（1份为1000个袋子），每份单价按照报价总价的同比下浮率报价，保留小数点后两位，即：每份单价=每份限价*(报价总价÷最高限价220900.00元）；单项总价相加≦报价总价，报价总价不保留小数。未按以上要求报价无效。</w:t>
      </w:r>
    </w:p>
    <w:p>
      <w:pPr>
        <w:spacing w:line="360" w:lineRule="auto"/>
        <w:rPr>
          <w:rFonts w:hint="eastAsia" w:ascii="仿宋" w:hAnsi="仿宋" w:eastAsia="仿宋" w:cs="仿宋"/>
          <w:b/>
          <w:bCs w:val="0"/>
          <w:color w:val="auto"/>
          <w:sz w:val="24"/>
          <w:lang w:val="en-US" w:eastAsia="zh-CN"/>
        </w:rPr>
      </w:pPr>
    </w:p>
    <w:p>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pPr>
        <w:widowControl/>
        <w:spacing w:line="360" w:lineRule="auto"/>
        <w:jc w:val="left"/>
        <w:outlineLvl w:val="9"/>
        <w:rPr>
          <w:rFonts w:hint="eastAsia" w:ascii="仿宋" w:hAnsi="仿宋" w:eastAsia="仿宋" w:cs="仿宋"/>
          <w:color w:val="auto"/>
          <w:sz w:val="24"/>
        </w:rPr>
      </w:pPr>
    </w:p>
    <w:p>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pPr>
        <w:widowControl/>
        <w:spacing w:line="360" w:lineRule="auto"/>
        <w:jc w:val="both"/>
        <w:outlineLvl w:val="9"/>
        <w:rPr>
          <w:rFonts w:hint="eastAsia" w:ascii="仿宋" w:hAnsi="仿宋" w:eastAsia="仿宋" w:cs="仿宋"/>
          <w:color w:val="auto"/>
          <w:sz w:val="24"/>
        </w:rPr>
      </w:pPr>
      <w:r>
        <w:rPr>
          <w:rFonts w:hint="eastAsia" w:ascii="仿宋" w:hAnsi="仿宋" w:eastAsia="仿宋" w:cs="仿宋"/>
          <w:color w:val="auto"/>
          <w:sz w:val="24"/>
        </w:rPr>
        <w:t xml:space="preserve">   </w:t>
      </w:r>
    </w:p>
    <w:p>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经澄清程序，供应商现场确认的。副本可用正本的影印件。</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pPr>
        <w:widowControl/>
        <w:spacing w:line="360" w:lineRule="auto"/>
        <w:ind w:firstLine="480"/>
        <w:jc w:val="both"/>
        <w:rPr>
          <w:rFonts w:hint="eastAsia" w:ascii="仿宋" w:hAnsi="仿宋" w:eastAsia="仿宋" w:cs="仿宋"/>
          <w:b/>
          <w:bCs/>
          <w:color w:val="auto"/>
          <w:sz w:val="24"/>
        </w:rPr>
      </w:pPr>
    </w:p>
    <w:p>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pPr>
        <w:widowControl/>
        <w:spacing w:line="360" w:lineRule="auto"/>
        <w:ind w:firstLine="480"/>
        <w:jc w:val="both"/>
        <w:rPr>
          <w:rFonts w:hint="eastAsia" w:ascii="仿宋" w:hAnsi="仿宋" w:eastAsia="仿宋" w:cs="仿宋"/>
          <w:color w:val="auto"/>
          <w:sz w:val="24"/>
          <w:lang w:val="en-US" w:eastAsia="zh-CN"/>
        </w:rPr>
      </w:pPr>
    </w:p>
    <w:p>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pPr>
        <w:widowControl/>
        <w:spacing w:line="360" w:lineRule="auto"/>
        <w:ind w:firstLine="480"/>
        <w:jc w:val="both"/>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14.3“最后报价一览表”在谈判后，由谈判小组要求供应商进行最后报价时，单独放在报价响应文件袋内密封后递交。</w:t>
      </w:r>
    </w:p>
    <w:p>
      <w:pPr>
        <w:widowControl/>
        <w:spacing w:line="360" w:lineRule="auto"/>
        <w:ind w:firstLine="480"/>
        <w:jc w:val="both"/>
        <w:rPr>
          <w:rFonts w:ascii="仿宋" w:eastAsia="仿宋" w:cs="仿宋"/>
          <w:color w:val="auto"/>
          <w:sz w:val="24"/>
        </w:rPr>
      </w:pPr>
      <w:r>
        <w:rPr>
          <w:rFonts w:hint="eastAsia" w:ascii="仿宋" w:eastAsia="仿宋" w:cs="仿宋"/>
          <w:color w:val="auto"/>
          <w:sz w:val="24"/>
          <w:szCs w:val="24"/>
          <w:lang w:val="en-US" w:eastAsia="zh-CN"/>
        </w:rPr>
        <w:t>14.4本次采购不接收邮寄的响应文件。</w:t>
      </w:r>
    </w:p>
    <w:p>
      <w:pPr>
        <w:pStyle w:val="12"/>
        <w:spacing w:line="360" w:lineRule="auto"/>
        <w:ind w:firstLine="480"/>
        <w:rPr>
          <w:color w:val="auto"/>
        </w:rPr>
      </w:pPr>
    </w:p>
    <w:p>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pPr>
        <w:adjustRightInd w:val="0"/>
        <w:snapToGrid w:val="0"/>
        <w:spacing w:line="360" w:lineRule="auto"/>
        <w:ind w:firstLine="480" w:firstLineChars="200"/>
        <w:jc w:val="both"/>
        <w:rPr>
          <w:rFonts w:ascii="仿宋" w:hAnsi="仿宋" w:eastAsia="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）成交候选供应商因不可抗力，不能继续参加政府采购活动；</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pPr>
        <w:keepNext w:val="0"/>
        <w:spacing w:line="360" w:lineRule="auto"/>
        <w:ind w:firstLine="480" w:firstLineChars="200"/>
        <w:outlineLvl w:val="9"/>
        <w:rPr>
          <w:rFonts w:hint="eastAsia" w:ascii="仿宋" w:hAnsi="仿宋" w:eastAsia="仿宋" w:cs="仿宋"/>
          <w:color w:val="auto"/>
          <w:sz w:val="24"/>
        </w:rPr>
      </w:pPr>
    </w:p>
    <w:p>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pPr>
        <w:spacing w:line="360" w:lineRule="auto"/>
        <w:ind w:firstLine="48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pPr>
        <w:spacing w:line="360" w:lineRule="auto"/>
        <w:ind w:firstLine="465"/>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pPr>
        <w:spacing w:line="360" w:lineRule="auto"/>
        <w:ind w:firstLine="480"/>
        <w:rPr>
          <w:rFonts w:ascii="仿宋" w:hAnsi="仿宋" w:eastAsia="仿宋"/>
          <w:color w:val="auto"/>
          <w:sz w:val="24"/>
        </w:rPr>
      </w:pPr>
    </w:p>
    <w:p>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pPr>
        <w:keepNext w:val="0"/>
        <w:spacing w:line="360" w:lineRule="auto"/>
        <w:ind w:firstLine="480" w:firstLineChars="200"/>
        <w:outlineLvl w:val="9"/>
        <w:rPr>
          <w:rFonts w:ascii="仿宋" w:hAnsi="仿宋" w:eastAsia="仿宋"/>
          <w:b w:val="0"/>
          <w:bCs/>
          <w:color w:val="auto"/>
          <w:sz w:val="24"/>
        </w:rPr>
      </w:pPr>
      <w:r>
        <w:rPr>
          <w:rFonts w:hint="eastAsia" w:ascii="仿宋" w:eastAsia="仿宋" w:cs="仿宋"/>
          <w:b w:val="0"/>
          <w:bCs/>
          <w:color w:val="auto"/>
          <w:sz w:val="24"/>
          <w:lang w:val="en-US" w:eastAsia="zh-CN"/>
        </w:rPr>
        <w:t>18</w:t>
      </w:r>
      <w:r>
        <w:rPr>
          <w:rFonts w:ascii="仿宋" w:eastAsia="仿宋" w:cs="仿宋"/>
          <w:b w:val="0"/>
          <w:bCs/>
          <w:color w:val="auto"/>
          <w:sz w:val="24"/>
        </w:rPr>
        <w:t>.3</w:t>
      </w:r>
      <w:r>
        <w:rPr>
          <w:rFonts w:hint="eastAsia" w:ascii="仿宋" w:eastAsia="仿宋" w:cs="仿宋"/>
          <w:b w:val="0"/>
          <w:bCs/>
          <w:color w:val="auto"/>
          <w:sz w:val="24"/>
        </w:rPr>
        <w:t>成交供应商的响应文件作为无效响应文件处理或者有政府采购法律法规规章制度规定的成交无效情形的，采购人</w:t>
      </w:r>
      <w:r>
        <w:rPr>
          <w:rFonts w:hint="eastAsia" w:ascii="仿宋" w:eastAsia="仿宋" w:cs="仿宋"/>
          <w:b w:val="0"/>
          <w:bCs/>
          <w:color w:val="auto"/>
          <w:sz w:val="24"/>
          <w:lang w:eastAsia="zh-CN"/>
        </w:rPr>
        <w:t>或</w:t>
      </w:r>
      <w:r>
        <w:rPr>
          <w:rFonts w:hint="eastAsia" w:asci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pPr>
        <w:spacing w:line="360" w:lineRule="auto"/>
        <w:ind w:firstLine="482" w:firstLineChars="200"/>
        <w:rPr>
          <w:rFonts w:hint="eastAsia" w:ascii="仿宋" w:hAnsi="仿宋" w:eastAsia="仿宋" w:cs="仿宋"/>
          <w:b/>
          <w:color w:val="auto"/>
          <w:sz w:val="24"/>
          <w:lang w:val="en-US" w:eastAsia="zh-CN"/>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pPr>
        <w:spacing w:line="360" w:lineRule="auto"/>
        <w:rPr>
          <w:rFonts w:hint="eastAsia" w:ascii="仿宋" w:hAnsi="仿宋" w:eastAsia="仿宋" w:cs="仿宋"/>
          <w:b/>
          <w:color w:val="auto"/>
          <w:sz w:val="24"/>
          <w:lang w:val="en-US" w:eastAsia="zh-CN"/>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pPr>
        <w:spacing w:line="360" w:lineRule="auto"/>
        <w:ind w:firstLine="480"/>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pPr>
        <w:spacing w:line="360" w:lineRule="auto"/>
        <w:ind w:firstLine="492"/>
        <w:jc w:val="both"/>
        <w:rPr>
          <w:color w:val="auto"/>
        </w:rPr>
      </w:pPr>
    </w:p>
    <w:p>
      <w:pPr>
        <w:spacing w:line="360" w:lineRule="auto"/>
        <w:ind w:firstLine="482" w:firstLineChars="200"/>
        <w:rPr>
          <w:rFonts w:hint="eastAsia" w:asci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bCs/>
          <w:sz w:val="24"/>
          <w:lang w:eastAsia="zh-CN"/>
        </w:rPr>
        <w:t>如</w:t>
      </w:r>
      <w:r>
        <w:rPr>
          <w:rFonts w:hint="eastAsia" w:ascii="仿宋" w:hAnsi="仿宋" w:eastAsia="仿宋" w:cs="仿宋"/>
          <w:sz w:val="24"/>
        </w:rPr>
        <w:t>竞争性</w:t>
      </w:r>
      <w:r>
        <w:rPr>
          <w:rFonts w:hint="eastAsia" w:ascii="仿宋" w:hAnsi="仿宋" w:eastAsia="仿宋" w:cs="仿宋"/>
          <w:sz w:val="24"/>
          <w:lang w:eastAsia="zh-CN"/>
        </w:rPr>
        <w:t>谈判</w:t>
      </w:r>
      <w:r>
        <w:rPr>
          <w:rFonts w:hint="eastAsia" w:ascii="仿宋" w:hAnsi="仿宋" w:eastAsia="仿宋" w:cs="仿宋"/>
          <w:bCs/>
          <w:sz w:val="24"/>
        </w:rPr>
        <w:t>文件</w:t>
      </w:r>
      <w:r>
        <w:rPr>
          <w:rFonts w:hint="eastAsia" w:ascii="仿宋" w:hAnsi="仿宋" w:eastAsia="仿宋" w:cs="仿宋"/>
          <w:bCs/>
          <w:sz w:val="24"/>
          <w:lang w:eastAsia="zh-CN"/>
        </w:rPr>
        <w:t>要求需要缴纳履约保证金的，</w:t>
      </w:r>
      <w:r>
        <w:rPr>
          <w:rFonts w:hint="eastAsia" w:ascii="仿宋" w:hAnsi="仿宋" w:eastAsia="仿宋" w:cs="仿宋"/>
          <w:color w:val="auto"/>
          <w:sz w:val="24"/>
        </w:rPr>
        <w:t>成交供应商应在合同签订之前交纳竞争性谈判文件规定数额的履约保证金。</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pPr>
        <w:spacing w:line="360" w:lineRule="auto"/>
        <w:ind w:firstLine="480" w:firstLineChars="200"/>
        <w:rPr>
          <w:rFonts w:hint="eastAsia" w:ascii="仿宋" w:eastAsia="仿宋" w:cs="仿宋"/>
          <w:bCs/>
          <w:color w:val="auto"/>
          <w:sz w:val="24"/>
          <w:highlight w:val="none"/>
          <w:lang w:val="en-US" w:eastAsia="zh-CN"/>
        </w:rPr>
      </w:pPr>
      <w:r>
        <w:rPr>
          <w:rFonts w:hint="eastAsia" w:ascii="仿宋" w:eastAsia="仿宋" w:cs="仿宋"/>
          <w:bCs/>
          <w:color w:val="auto"/>
          <w:sz w:val="24"/>
          <w:highlight w:val="none"/>
          <w:lang w:val="en-US" w:eastAsia="zh-CN"/>
        </w:rPr>
        <w:t>23.3</w:t>
      </w:r>
      <w:r>
        <w:rPr>
          <w:rFonts w:hint="eastAsia" w:ascii="仿宋" w:eastAsia="仿宋" w:cs="仿宋"/>
          <w:bCs/>
          <w:color w:val="auto"/>
          <w:sz w:val="24"/>
          <w:highlight w:val="none"/>
        </w:rPr>
        <w:t>成交</w:t>
      </w:r>
      <w:r>
        <w:rPr>
          <w:rFonts w:hint="eastAsia" w:ascii="仿宋" w:eastAsia="仿宋" w:cs="仿宋"/>
          <w:bCs/>
          <w:color w:val="auto"/>
          <w:sz w:val="24"/>
          <w:highlight w:val="none"/>
          <w:lang w:eastAsia="zh-CN"/>
        </w:rPr>
        <w:t>供应商</w:t>
      </w:r>
      <w:r>
        <w:rPr>
          <w:rFonts w:hint="eastAsia" w:ascii="仿宋" w:eastAsia="仿宋" w:cs="仿宋"/>
          <w:bCs/>
          <w:color w:val="auto"/>
          <w:sz w:val="24"/>
          <w:highlight w:val="none"/>
          <w:lang w:val="en-US" w:eastAsia="zh-CN"/>
        </w:rPr>
        <w:t>自行选择以支票、汇票、本票或者金融机构、担保机构出具的保函等非现金形式缴纳履约保证金。</w:t>
      </w:r>
    </w:p>
    <w:p>
      <w:pPr>
        <w:pStyle w:val="12"/>
        <w:spacing w:line="360" w:lineRule="auto"/>
        <w:ind w:firstLine="360" w:firstLineChars="200"/>
        <w:rPr>
          <w:color w:val="auto"/>
        </w:rPr>
      </w:pP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pPr>
        <w:spacing w:line="360" w:lineRule="auto"/>
        <w:ind w:firstLine="482"/>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pPr>
        <w:spacing w:line="360" w:lineRule="auto"/>
        <w:ind w:firstLine="491"/>
        <w:rPr>
          <w:rFonts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.1本项目采购人将严格按照采购</w:t>
      </w:r>
      <w:r>
        <w:rPr>
          <w:rFonts w:hint="eastAsia" w:ascii="仿宋" w:eastAsia="仿宋" w:cs="仿宋"/>
          <w:bCs/>
          <w:color w:val="auto"/>
          <w:sz w:val="24"/>
          <w:lang w:eastAsia="zh-CN"/>
        </w:rPr>
        <w:t>文件、成交供应商响应文件、采购合同约定</w:t>
      </w:r>
      <w:r>
        <w:rPr>
          <w:rFonts w:hint="eastAsia" w:ascii="仿宋" w:eastAsia="仿宋" w:cs="仿宋"/>
          <w:bCs/>
          <w:color w:val="auto"/>
          <w:sz w:val="24"/>
        </w:rPr>
        <w:t>内容及国家行业主管部门规定的标准、方法和内容进行验收。</w:t>
      </w:r>
    </w:p>
    <w:p>
      <w:pPr>
        <w:spacing w:line="360" w:lineRule="auto"/>
        <w:ind w:firstLine="491"/>
        <w:rPr>
          <w:rFonts w:hint="eastAsia"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2验收结果合格的，成交供应商</w:t>
      </w:r>
      <w:r>
        <w:rPr>
          <w:rFonts w:hint="eastAsia" w:ascii="仿宋" w:hAnsi="仿宋" w:eastAsia="仿宋" w:cs="仿宋"/>
          <w:color w:val="auto"/>
          <w:sz w:val="24"/>
          <w:highlight w:val="none"/>
        </w:rPr>
        <w:t>凭验收报告办理相关手续；</w:t>
      </w:r>
      <w:r>
        <w:rPr>
          <w:rFonts w:hint="eastAsia" w:ascii="仿宋" w:eastAsia="仿宋" w:cs="仿宋"/>
          <w:bCs/>
          <w:color w:val="auto"/>
          <w:sz w:val="24"/>
        </w:rPr>
        <w:t>验收结果不合格的，履约保证金将不予退还，也将不予支付采购资金。</w:t>
      </w:r>
    </w:p>
    <w:p>
      <w:pPr>
        <w:spacing w:line="360" w:lineRule="auto"/>
        <w:ind w:firstLine="491"/>
        <w:rPr>
          <w:rFonts w:ascii="仿宋" w:hAnsi="仿宋" w:eastAsia="仿宋" w:cs="仿宋"/>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pPr>
        <w:spacing w:line="360" w:lineRule="auto"/>
        <w:ind w:firstLine="491"/>
        <w:rPr>
          <w:rFonts w:hint="eastAsia" w:ascii="仿宋" w:hAnsi="Times New Roman" w:eastAsia="仿宋" w:cs="仿宋"/>
          <w:bCs/>
          <w:color w:val="auto"/>
          <w:sz w:val="24"/>
        </w:rPr>
      </w:pPr>
      <w:r>
        <w:rPr>
          <w:rFonts w:hint="eastAsia" w:ascii="仿宋" w:hAnsi="Times New Roman"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pPr>
        <w:spacing w:line="360" w:lineRule="auto"/>
        <w:ind w:firstLine="482" w:firstLineChars="200"/>
        <w:outlineLvl w:val="9"/>
        <w:rPr>
          <w:rFonts w:hint="eastAsia" w:ascii="仿宋" w:hAnsi="仿宋" w:eastAsia="仿宋" w:cs="仿宋"/>
          <w:b/>
          <w:bCs w:val="0"/>
          <w:color w:val="auto"/>
          <w:sz w:val="24"/>
        </w:rPr>
      </w:pPr>
    </w:p>
    <w:p>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18" w:name="_Toc20206"/>
      <w:bookmarkStart w:id="19" w:name="_Toc28047"/>
      <w:bookmarkStart w:id="20" w:name="_Toc32389"/>
    </w:p>
    <w:p>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3"/>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1" w:name="_Toc11322"/>
      <w:bookmarkStart w:id="22" w:name="_Toc1630"/>
      <w:bookmarkStart w:id="23" w:name="_Toc7520"/>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18"/>
      <w:bookmarkEnd w:id="19"/>
      <w:bookmarkEnd w:id="20"/>
      <w:bookmarkEnd w:id="21"/>
      <w:bookmarkEnd w:id="22"/>
      <w:bookmarkEnd w:id="23"/>
    </w:p>
    <w:p>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6、法律、行政法规规定的其他条件。</w:t>
      </w:r>
    </w:p>
    <w:p>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pPr>
        <w:spacing w:line="360" w:lineRule="auto"/>
        <w:ind w:firstLine="480" w:firstLineChars="20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无。</w:t>
      </w:r>
    </w:p>
    <w:p>
      <w:pPr>
        <w:spacing w:line="360" w:lineRule="auto"/>
        <w:ind w:firstLine="420" w:firstLineChars="200"/>
        <w:rPr>
          <w:color w:val="auto"/>
        </w:rPr>
      </w:pPr>
    </w:p>
    <w:p>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pPr>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auto"/>
          <w:sz w:val="24"/>
          <w:highlight w:val="none"/>
          <w:shd w:val="clear" w:color="auto" w:fill="auto"/>
        </w:rPr>
        <w:t>供应商代表为供应商法定代表人</w:t>
      </w:r>
      <w:r>
        <w:rPr>
          <w:rFonts w:hint="eastAsia" w:ascii="仿宋" w:hAnsi="仿宋" w:eastAsia="仿宋" w:cs="仿宋"/>
          <w:bCs/>
          <w:color w:val="auto"/>
          <w:sz w:val="24"/>
          <w:highlight w:val="none"/>
          <w:shd w:val="clear" w:color="auto" w:fill="auto"/>
          <w:lang w:eastAsia="zh-CN"/>
        </w:rPr>
        <w:t>（或主要负责人）</w:t>
      </w:r>
      <w:r>
        <w:rPr>
          <w:rFonts w:hint="eastAsia" w:ascii="仿宋" w:hAnsi="仿宋" w:eastAsia="仿宋" w:cs="仿宋"/>
          <w:bCs/>
          <w:color w:val="auto"/>
          <w:sz w:val="24"/>
          <w:highlight w:val="none"/>
          <w:shd w:val="clear" w:color="auto" w:fill="auto"/>
        </w:rPr>
        <w:t>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r>
        <w:rPr>
          <w:rFonts w:hint="eastAsia" w:ascii="仿宋" w:hAnsi="仿宋" w:eastAsia="仿宋" w:cs="仿宋"/>
          <w:bCs/>
          <w:color w:val="000000" w:themeColor="text1"/>
          <w:sz w:val="24"/>
          <w14:textFill>
            <w14:solidFill>
              <w14:schemeClr w14:val="tx1"/>
            </w14:solidFill>
          </w14:textFill>
        </w:rPr>
        <w:t xml:space="preserve"> </w:t>
      </w:r>
    </w:p>
    <w:p>
      <w:pPr>
        <w:spacing w:line="360" w:lineRule="auto"/>
        <w:rPr>
          <w:rFonts w:hint="eastAsia"/>
          <w:lang w:eastAsia="zh-CN"/>
        </w:rPr>
      </w:pPr>
    </w:p>
    <w:p>
      <w:pPr>
        <w:spacing w:line="360" w:lineRule="auto"/>
        <w:rPr>
          <w:color w:val="auto"/>
        </w:rPr>
      </w:pPr>
    </w:p>
    <w:p>
      <w:pPr>
        <w:pStyle w:val="12"/>
        <w:spacing w:line="360" w:lineRule="auto"/>
        <w:rPr>
          <w:color w:val="auto"/>
        </w:rPr>
      </w:pPr>
    </w:p>
    <w:p>
      <w:pPr>
        <w:pStyle w:val="87"/>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12"/>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4" w:name="_Toc21415"/>
      <w:bookmarkStart w:id="25" w:name="_Toc3076"/>
      <w:bookmarkStart w:id="26" w:name="_Toc22893"/>
      <w:bookmarkStart w:id="27" w:name="_Toc14481"/>
      <w:bookmarkStart w:id="28" w:name="_Toc24325"/>
      <w:r>
        <w:rPr>
          <w:rFonts w:hint="eastAsia" w:ascii="仿宋" w:hAnsi="仿宋" w:eastAsia="仿宋" w:cs="仿宋"/>
          <w:b/>
          <w:bCs/>
          <w:color w:val="auto"/>
          <w:kern w:val="2"/>
          <w:sz w:val="36"/>
          <w:szCs w:val="36"/>
        </w:rPr>
        <w:t>第四章 供应商应当提供的资格证明材料</w:t>
      </w:r>
      <w:bookmarkEnd w:id="24"/>
      <w:bookmarkEnd w:id="25"/>
      <w:bookmarkEnd w:id="26"/>
      <w:bookmarkEnd w:id="27"/>
      <w:bookmarkEnd w:id="28"/>
    </w:p>
    <w:p>
      <w:pPr>
        <w:spacing w:line="400" w:lineRule="exact"/>
        <w:ind w:firstLine="482" w:firstLineChars="200"/>
        <w:outlineLvl w:val="9"/>
        <w:rPr>
          <w:rFonts w:hint="eastAsia" w:ascii="仿宋" w:hAnsi="仿宋" w:eastAsia="仿宋" w:cs="仿宋"/>
          <w:b/>
          <w:bCs/>
          <w:color w:val="auto"/>
          <w:sz w:val="24"/>
        </w:rPr>
      </w:pPr>
    </w:p>
    <w:p>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pPr>
        <w:spacing w:line="360" w:lineRule="auto"/>
        <w:ind w:firstLine="480" w:firstLineChars="200"/>
        <w:rPr>
          <w:rFonts w:hint="eastAsia"/>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lang w:val="en-US" w:eastAsia="zh-CN" w:bidi="ar-SA"/>
          <w14:textFill>
            <w14:solidFill>
              <w14:schemeClr w14:val="tx1"/>
            </w14:solidFill>
          </w14:textFill>
        </w:rPr>
        <w:t>无。</w:t>
      </w:r>
    </w:p>
    <w:p>
      <w:pPr>
        <w:spacing w:line="360" w:lineRule="auto"/>
        <w:ind w:firstLine="241" w:firstLineChars="100"/>
        <w:rPr>
          <w:rFonts w:hint="eastAsia" w:ascii="仿宋" w:hAnsi="仿宋" w:eastAsia="仿宋" w:cs="仿宋"/>
          <w:b/>
          <w:bCs w:val="0"/>
          <w:color w:val="auto"/>
          <w:sz w:val="24"/>
          <w:lang w:eastAsia="zh-CN"/>
        </w:rPr>
      </w:pPr>
    </w:p>
    <w:p>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pPr>
        <w:spacing w:line="360" w:lineRule="auto"/>
        <w:rPr>
          <w:rFonts w:hint="eastAsia" w:ascii="仿宋" w:hAnsi="仿宋" w:eastAsia="仿宋" w:cs="仿宋"/>
          <w:b/>
          <w:bCs/>
          <w:color w:val="auto"/>
          <w:sz w:val="24"/>
        </w:rPr>
      </w:pPr>
    </w:p>
    <w:p>
      <w:pPr>
        <w:spacing w:line="360" w:lineRule="auto"/>
        <w:ind w:firstLine="0" w:firstLineChars="0"/>
        <w:jc w:val="left"/>
        <w:rPr>
          <w:rFonts w:hint="eastAsia" w:ascii="仿宋" w:hAnsi="仿宋" w:eastAsia="仿宋" w:cs="仿宋"/>
          <w:b/>
          <w:bCs/>
          <w:color w:val="auto"/>
          <w:sz w:val="24"/>
        </w:rPr>
      </w:pPr>
    </w:p>
    <w:p>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pPr>
        <w:spacing w:line="400" w:lineRule="exact"/>
        <w:ind w:firstLine="482" w:firstLineChars="200"/>
        <w:rPr>
          <w:rFonts w:ascii="仿宋" w:hAnsi="仿宋" w:eastAsia="仿宋" w:cs="仿宋"/>
          <w:b/>
          <w:bCs/>
          <w:color w:val="auto"/>
          <w:sz w:val="24"/>
        </w:rPr>
      </w:pPr>
    </w:p>
    <w:p>
      <w:pPr>
        <w:pStyle w:val="23"/>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29" w:name="_Toc18202"/>
      <w:bookmarkStart w:id="30" w:name="_Toc7469"/>
      <w:bookmarkStart w:id="31" w:name="_Toc9934"/>
      <w:bookmarkStart w:id="32" w:name="_Toc16028"/>
      <w:bookmarkStart w:id="33" w:name="_Toc15132"/>
      <w:bookmarkStart w:id="34" w:name="_Toc28624"/>
      <w:r>
        <w:rPr>
          <w:rFonts w:hint="eastAsia" w:ascii="仿宋" w:hAnsi="仿宋" w:eastAsia="仿宋" w:cs="仿宋"/>
          <w:b/>
          <w:bCs/>
          <w:color w:val="auto"/>
          <w:kern w:val="2"/>
          <w:sz w:val="36"/>
          <w:szCs w:val="36"/>
        </w:rPr>
        <w:t>第五章 采购项目内容及商务要求</w:t>
      </w:r>
      <w:bookmarkEnd w:id="29"/>
      <w:bookmarkEnd w:id="30"/>
      <w:bookmarkEnd w:id="31"/>
      <w:bookmarkEnd w:id="32"/>
      <w:bookmarkEnd w:id="33"/>
      <w:bookmarkEnd w:id="34"/>
    </w:p>
    <w:p>
      <w:pPr>
        <w:pStyle w:val="5"/>
        <w:keepLines/>
        <w:spacing w:before="240" w:beforeLines="100" w:line="360" w:lineRule="auto"/>
        <w:ind w:firstLine="482" w:firstLineChars="200"/>
        <w:rPr>
          <w:rFonts w:ascii="仿宋" w:hAnsi="仿宋" w:eastAsia="仿宋" w:cs="仿宋"/>
          <w:bCs/>
          <w:color w:val="auto"/>
          <w:sz w:val="24"/>
        </w:rPr>
      </w:pPr>
      <w:bookmarkStart w:id="35" w:name="_Toc18538"/>
      <w:r>
        <w:rPr>
          <w:rFonts w:hint="eastAsia" w:ascii="仿宋" w:hAnsi="仿宋" w:eastAsia="仿宋" w:cs="仿宋"/>
          <w:bCs/>
          <w:color w:val="auto"/>
          <w:sz w:val="24"/>
          <w:szCs w:val="24"/>
        </w:rPr>
        <w:t>一、项目概述</w:t>
      </w:r>
    </w:p>
    <w:p>
      <w:pPr>
        <w:numPr>
          <w:ilvl w:val="0"/>
          <w:numId w:val="0"/>
        </w:numPr>
        <w:spacing w:line="360" w:lineRule="auto"/>
        <w:ind w:leftChars="0" w:firstLine="480" w:firstLineChars="200"/>
        <w:jc w:val="left"/>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富顺县中医医院CT袋、DR袋、药袋、黄色医疗垃圾袋等采购项目。</w:t>
      </w:r>
    </w:p>
    <w:p>
      <w:pPr>
        <w:numPr>
          <w:ilvl w:val="0"/>
          <w:numId w:val="0"/>
        </w:numPr>
        <w:spacing w:line="360" w:lineRule="auto"/>
        <w:ind w:leftChars="0" w:firstLine="482" w:firstLineChars="200"/>
        <w:jc w:val="left"/>
        <w:outlineLvl w:val="9"/>
        <w:rPr>
          <w:rFonts w:hint="eastAsia" w:ascii="仿宋" w:hAnsi="仿宋" w:eastAsia="仿宋" w:cs="仿宋"/>
          <w:b/>
          <w:bCs/>
          <w:color w:val="auto"/>
          <w:kern w:val="2"/>
          <w:sz w:val="24"/>
          <w:szCs w:val="24"/>
          <w:lang w:val="en-US" w:eastAsia="zh-CN" w:bidi="ar-SA"/>
        </w:rPr>
      </w:pPr>
    </w:p>
    <w:p>
      <w:pPr>
        <w:numPr>
          <w:ilvl w:val="0"/>
          <w:numId w:val="0"/>
        </w:numPr>
        <w:spacing w:line="360" w:lineRule="auto"/>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35"/>
      <w:r>
        <w:rPr>
          <w:rFonts w:hint="eastAsia" w:ascii="仿宋" w:hAnsi="仿宋" w:eastAsia="仿宋" w:cs="仿宋"/>
          <w:b/>
          <w:bCs/>
          <w:color w:val="auto"/>
          <w:kern w:val="2"/>
          <w:sz w:val="24"/>
          <w:szCs w:val="24"/>
          <w:lang w:val="en-US" w:eastAsia="zh-CN" w:bidi="ar-SA"/>
        </w:rPr>
        <w:t>采购标的</w:t>
      </w:r>
    </w:p>
    <w:p>
      <w:pPr>
        <w:pStyle w:val="12"/>
        <w:rPr>
          <w:rFonts w:hint="eastAsia"/>
          <w:lang w:val="en-US" w:eastAsia="zh-CN"/>
        </w:rPr>
      </w:pPr>
    </w:p>
    <w:tbl>
      <w:tblPr>
        <w:tblStyle w:val="26"/>
        <w:tblpPr w:leftFromText="180" w:rightFromText="180" w:vertAnchor="text" w:horzAnchor="margin" w:tblpXSpec="center" w:tblpY="-11"/>
        <w:tblOverlap w:val="never"/>
        <w:tblW w:w="8351" w:type="dxa"/>
        <w:tblInd w:w="0" w:type="dxa"/>
        <w:tblLayout w:type="fixed"/>
        <w:tblCellMar>
          <w:top w:w="15" w:type="dxa"/>
          <w:left w:w="15" w:type="dxa"/>
          <w:bottom w:w="15" w:type="dxa"/>
          <w:right w:w="15" w:type="dxa"/>
        </w:tblCellMar>
      </w:tblPr>
      <w:tblGrid>
        <w:gridCol w:w="769"/>
        <w:gridCol w:w="1975"/>
        <w:gridCol w:w="1712"/>
        <w:gridCol w:w="1637"/>
        <w:gridCol w:w="1212"/>
        <w:gridCol w:w="1046"/>
      </w:tblGrid>
      <w:tr>
        <w:tblPrEx>
          <w:tblCellMar>
            <w:top w:w="15" w:type="dxa"/>
            <w:left w:w="15" w:type="dxa"/>
            <w:bottom w:w="15" w:type="dxa"/>
            <w:right w:w="15" w:type="dxa"/>
          </w:tblCellMar>
        </w:tblPrEx>
        <w:trPr>
          <w:trHeight w:val="892"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sz w:val="20"/>
                <w:szCs w:val="21"/>
                <w:lang w:val="en-US" w:eastAsia="zh-CN"/>
              </w:rPr>
            </w:pPr>
            <w:r>
              <w:rPr>
                <w:rFonts w:hint="eastAsia" w:ascii="仿宋" w:hAnsi="仿宋" w:eastAsia="仿宋" w:cs="仿宋"/>
                <w:b/>
                <w:bCs/>
                <w:i w:val="0"/>
                <w:iCs w:val="0"/>
                <w:color w:val="000000"/>
                <w:kern w:val="0"/>
                <w:sz w:val="21"/>
                <w:szCs w:val="21"/>
                <w:u w:val="none"/>
                <w:lang w:val="en-US" w:eastAsia="zh-CN" w:bidi="ar"/>
              </w:rPr>
              <w:t>标的号</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bCs/>
                <w:i w:val="0"/>
                <w:iCs w:val="0"/>
                <w:color w:val="000000"/>
                <w:kern w:val="0"/>
                <w:sz w:val="21"/>
                <w:szCs w:val="21"/>
                <w:u w:val="none"/>
                <w:lang w:val="en-US" w:eastAsia="zh-CN" w:bidi="ar"/>
              </w:rPr>
              <w:t>标的名称</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bCs/>
                <w:i w:val="0"/>
                <w:iCs w:val="0"/>
                <w:color w:val="000000"/>
                <w:kern w:val="0"/>
                <w:sz w:val="22"/>
                <w:szCs w:val="22"/>
                <w:u w:val="none"/>
                <w:lang w:val="en-US" w:eastAsia="zh-CN" w:bidi="ar"/>
              </w:rPr>
              <w:t>袋子厚度</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bCs/>
                <w:i w:val="0"/>
                <w:iCs w:val="0"/>
                <w:color w:val="000000"/>
                <w:kern w:val="0"/>
                <w:sz w:val="22"/>
                <w:szCs w:val="22"/>
                <w:u w:val="none"/>
                <w:lang w:val="en-US" w:eastAsia="zh-CN" w:bidi="ar"/>
              </w:rPr>
              <w:t>型号（mm）</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bCs/>
                <w:i w:val="0"/>
                <w:iCs w:val="0"/>
                <w:color w:val="000000"/>
                <w:kern w:val="0"/>
                <w:sz w:val="22"/>
                <w:szCs w:val="22"/>
                <w:u w:val="none"/>
                <w:lang w:val="en-US" w:eastAsia="zh-CN" w:bidi="ar"/>
              </w:rPr>
              <w:t>预计数量</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（份）</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bCs/>
                <w:i w:val="0"/>
                <w:iCs w:val="0"/>
                <w:color w:val="000000"/>
                <w:kern w:val="0"/>
                <w:sz w:val="21"/>
                <w:szCs w:val="21"/>
                <w:u w:val="none"/>
                <w:lang w:val="en-US" w:eastAsia="zh-CN" w:bidi="ar"/>
              </w:rPr>
              <w:t>每份限价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（元）</w:t>
            </w:r>
          </w:p>
        </w:tc>
      </w:tr>
      <w:tr>
        <w:tblPrEx>
          <w:tblCellMar>
            <w:top w:w="15" w:type="dxa"/>
            <w:left w:w="15" w:type="dxa"/>
            <w:bottom w:w="15" w:type="dxa"/>
            <w:right w:w="15" w:type="dxa"/>
          </w:tblCellMar>
        </w:tblPrEx>
        <w:trPr>
          <w:trHeight w:val="603"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CT片袋</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390×510（±2%）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25*1000个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270</w:t>
            </w:r>
          </w:p>
        </w:tc>
      </w:tr>
      <w:tr>
        <w:tblPrEx>
          <w:tblCellMar>
            <w:top w:w="15" w:type="dxa"/>
            <w:left w:w="15" w:type="dxa"/>
            <w:bottom w:w="15" w:type="dxa"/>
            <w:right w:w="15" w:type="dxa"/>
          </w:tblCellMar>
        </w:tblPrEx>
        <w:trPr>
          <w:trHeight w:val="83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DR片袋</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310×480（±2%）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210</w:t>
            </w:r>
          </w:p>
        </w:tc>
      </w:tr>
      <w:tr>
        <w:tblPrEx>
          <w:tblCellMar>
            <w:top w:w="15" w:type="dxa"/>
            <w:left w:w="15" w:type="dxa"/>
            <w:bottom w:w="15" w:type="dxa"/>
            <w:right w:w="15" w:type="dxa"/>
          </w:tblCellMar>
        </w:tblPrEx>
        <w:trPr>
          <w:trHeight w:val="90"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煎药袋（大）</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40g每平方米及以上无纺布</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450×320（±2%）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780</w:t>
            </w:r>
          </w:p>
        </w:tc>
      </w:tr>
      <w:tr>
        <w:tblPrEx>
          <w:tblCellMar>
            <w:top w:w="15" w:type="dxa"/>
            <w:left w:w="15" w:type="dxa"/>
            <w:bottom w:w="15" w:type="dxa"/>
            <w:right w:w="15" w:type="dxa"/>
          </w:tblCellMar>
        </w:tblPrEx>
        <w:trPr>
          <w:trHeight w:val="903"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煎药袋（中）</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40g每平方米及以上无纺布</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350×250（±2%）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16*1000个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486</w:t>
            </w:r>
          </w:p>
        </w:tc>
      </w:tr>
      <w:tr>
        <w:tblPrEx>
          <w:tblCellMar>
            <w:top w:w="15" w:type="dxa"/>
            <w:left w:w="15" w:type="dxa"/>
            <w:bottom w:w="15" w:type="dxa"/>
            <w:right w:w="15" w:type="dxa"/>
          </w:tblCellMar>
        </w:tblPrEx>
        <w:trPr>
          <w:trHeight w:val="1104"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煎药袋（小）</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40g每平方米及以上无纺布</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200×150（±2%）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295</w:t>
            </w:r>
          </w:p>
        </w:tc>
      </w:tr>
      <w:tr>
        <w:tblPrEx>
          <w:tblCellMar>
            <w:top w:w="15" w:type="dxa"/>
            <w:left w:w="15" w:type="dxa"/>
            <w:bottom w:w="15" w:type="dxa"/>
            <w:right w:w="15" w:type="dxa"/>
          </w:tblCellMar>
        </w:tblPrEx>
        <w:trPr>
          <w:trHeight w:val="88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6</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药房袋子（小号）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2.8丝及以上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(200+55*2)×330（±2%）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320*1000个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47</w:t>
            </w:r>
          </w:p>
        </w:tc>
      </w:tr>
      <w:tr>
        <w:tblPrEx>
          <w:tblCellMar>
            <w:top w:w="15" w:type="dxa"/>
            <w:left w:w="15" w:type="dxa"/>
            <w:bottom w:w="15" w:type="dxa"/>
            <w:right w:w="15" w:type="dxa"/>
          </w:tblCellMar>
        </w:tblPrEx>
        <w:trPr>
          <w:trHeight w:val="85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药房袋子（大号）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2.8丝及以上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（300+75*2）×480（±2%）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149.84*1000个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r>
      <w:tr>
        <w:tblPrEx>
          <w:tblCellMar>
            <w:top w:w="15" w:type="dxa"/>
            <w:left w:w="15" w:type="dxa"/>
            <w:bottom w:w="15" w:type="dxa"/>
            <w:right w:w="15" w:type="dxa"/>
          </w:tblCellMar>
        </w:tblPrEx>
        <w:trPr>
          <w:trHeight w:val="706"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8</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中号白色垃圾袋（48#）</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600*650（±2%）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25*1000个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220</w:t>
            </w:r>
          </w:p>
        </w:tc>
      </w:tr>
      <w:tr>
        <w:tblPrEx>
          <w:tblCellMar>
            <w:top w:w="15" w:type="dxa"/>
            <w:left w:w="15" w:type="dxa"/>
            <w:bottom w:w="15" w:type="dxa"/>
            <w:right w:w="15" w:type="dxa"/>
          </w:tblCellMar>
        </w:tblPrEx>
        <w:trPr>
          <w:trHeight w:val="86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小号黄色医疗垃圾袋（34#）</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2.8丝及以上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500*520（±2%）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33*1000个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170</w:t>
            </w:r>
          </w:p>
        </w:tc>
      </w:tr>
      <w:tr>
        <w:tblPrEx>
          <w:tblCellMar>
            <w:top w:w="15" w:type="dxa"/>
            <w:left w:w="15" w:type="dxa"/>
            <w:bottom w:w="15" w:type="dxa"/>
            <w:right w:w="15" w:type="dxa"/>
          </w:tblCellMar>
        </w:tblPrEx>
        <w:trPr>
          <w:trHeight w:val="73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中号黄色医疗垃圾袋（48#）</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600*650（±2%）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82*1000个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260</w:t>
            </w:r>
          </w:p>
        </w:tc>
      </w:tr>
      <w:tr>
        <w:tblPrEx>
          <w:tblCellMar>
            <w:top w:w="15" w:type="dxa"/>
            <w:left w:w="15" w:type="dxa"/>
            <w:bottom w:w="15" w:type="dxa"/>
            <w:right w:w="15" w:type="dxa"/>
          </w:tblCellMar>
        </w:tblPrEx>
        <w:trPr>
          <w:trHeight w:val="756"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11</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平口大号黄色医疗垃圾袋（90#）</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900*1100（±2%）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860</w:t>
            </w:r>
          </w:p>
        </w:tc>
      </w:tr>
      <w:tr>
        <w:tblPrEx>
          <w:tblCellMar>
            <w:top w:w="15" w:type="dxa"/>
            <w:left w:w="15" w:type="dxa"/>
            <w:bottom w:w="15" w:type="dxa"/>
            <w:right w:w="15" w:type="dxa"/>
          </w:tblCellMar>
        </w:tblPrEx>
        <w:trPr>
          <w:trHeight w:val="78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12</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小号黑色垃圾袋（34#）</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2.8丝及以上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500*520（±2%）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500*1000个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85</w:t>
            </w:r>
          </w:p>
        </w:tc>
      </w:tr>
      <w:tr>
        <w:tblPrEx>
          <w:tblCellMar>
            <w:top w:w="15" w:type="dxa"/>
            <w:left w:w="15" w:type="dxa"/>
            <w:bottom w:w="15" w:type="dxa"/>
            <w:right w:w="15" w:type="dxa"/>
          </w:tblCellMar>
        </w:tblPrEx>
        <w:trPr>
          <w:trHeight w:val="78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13</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中号黑色垃圾袋（48#）</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700*730（±2%）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250</w:t>
            </w:r>
          </w:p>
        </w:tc>
      </w:tr>
      <w:tr>
        <w:tblPrEx>
          <w:tblCellMar>
            <w:top w:w="15" w:type="dxa"/>
            <w:left w:w="15" w:type="dxa"/>
            <w:bottom w:w="15" w:type="dxa"/>
            <w:right w:w="15" w:type="dxa"/>
          </w:tblCellMar>
        </w:tblPrEx>
        <w:trPr>
          <w:trHeight w:val="743"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14</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大号黑色垃圾袋（55#）</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750*800（±2%）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300</w:t>
            </w:r>
          </w:p>
        </w:tc>
      </w:tr>
      <w:tr>
        <w:tblPrEx>
          <w:tblCellMar>
            <w:top w:w="15" w:type="dxa"/>
            <w:left w:w="15" w:type="dxa"/>
            <w:bottom w:w="15" w:type="dxa"/>
            <w:right w:w="15" w:type="dxa"/>
          </w:tblCellMar>
        </w:tblPrEx>
        <w:trPr>
          <w:trHeight w:val="71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15</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平口大号黑色垃圾袋（90#）</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900*1100（±2%）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20*1000个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700</w:t>
            </w:r>
          </w:p>
        </w:tc>
      </w:tr>
      <w:tr>
        <w:tblPrEx>
          <w:tblCellMar>
            <w:top w:w="15" w:type="dxa"/>
            <w:left w:w="15" w:type="dxa"/>
            <w:bottom w:w="15" w:type="dxa"/>
            <w:right w:w="15" w:type="dxa"/>
          </w:tblCellMar>
        </w:tblPrEx>
        <w:trPr>
          <w:trHeight w:val="70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16</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中号橘红色垃圾袋（48#）</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4丝及以上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650*650（±2%）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300</w:t>
            </w:r>
          </w:p>
        </w:tc>
      </w:tr>
      <w:tr>
        <w:tblPrEx>
          <w:tblCellMar>
            <w:top w:w="15" w:type="dxa"/>
            <w:left w:w="15" w:type="dxa"/>
            <w:bottom w:w="15" w:type="dxa"/>
            <w:right w:w="15" w:type="dxa"/>
          </w:tblCellMar>
        </w:tblPrEx>
        <w:trPr>
          <w:trHeight w:val="688"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17</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平口大号橘红色垃圾袋（90#）</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900*1100（±2%）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900</w:t>
            </w:r>
          </w:p>
        </w:tc>
      </w:tr>
      <w:tr>
        <w:tblPrEx>
          <w:tblCellMar>
            <w:top w:w="15" w:type="dxa"/>
            <w:left w:w="15" w:type="dxa"/>
            <w:bottom w:w="15" w:type="dxa"/>
            <w:right w:w="15" w:type="dxa"/>
          </w:tblCellMar>
        </w:tblPrEx>
        <w:trPr>
          <w:trHeight w:val="806"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18</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平口特大号白色垃圾袋</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1200*1400</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1500</w:t>
            </w:r>
          </w:p>
        </w:tc>
      </w:tr>
      <w:tr>
        <w:tblPrEx>
          <w:tblCellMar>
            <w:top w:w="15" w:type="dxa"/>
            <w:left w:w="15" w:type="dxa"/>
            <w:bottom w:w="15" w:type="dxa"/>
            <w:right w:w="15" w:type="dxa"/>
          </w:tblCellMar>
        </w:tblPrEx>
        <w:trPr>
          <w:trHeight w:val="68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19</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平口特大号黄色医废垃圾袋</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1200*1400</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5*1000个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1500</w:t>
            </w:r>
          </w:p>
        </w:tc>
      </w:tr>
      <w:tr>
        <w:tblPrEx>
          <w:tblCellMar>
            <w:top w:w="15" w:type="dxa"/>
            <w:left w:w="15" w:type="dxa"/>
            <w:bottom w:w="15" w:type="dxa"/>
            <w:right w:w="15" w:type="dxa"/>
          </w:tblCellMar>
        </w:tblPrEx>
        <w:trPr>
          <w:trHeight w:val="74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平口特大号黑色垃圾袋</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7丝及以上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1200*1400</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8.2*1000个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1400</w:t>
            </w:r>
          </w:p>
        </w:tc>
      </w:tr>
      <w:tr>
        <w:tblPrEx>
          <w:tblCellMar>
            <w:top w:w="15" w:type="dxa"/>
            <w:left w:w="15" w:type="dxa"/>
            <w:bottom w:w="15" w:type="dxa"/>
            <w:right w:w="15" w:type="dxa"/>
          </w:tblCellMar>
        </w:tblPrEx>
        <w:trPr>
          <w:trHeight w:val="779"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21</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超市食品包装袋（小号）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2.8丝及以上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(250+60*2)×380（±2%）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15*1000个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60</w:t>
            </w:r>
          </w:p>
        </w:tc>
      </w:tr>
      <w:tr>
        <w:tblPrEx>
          <w:tblCellMar>
            <w:top w:w="15" w:type="dxa"/>
            <w:left w:w="15" w:type="dxa"/>
            <w:bottom w:w="15" w:type="dxa"/>
            <w:right w:w="15" w:type="dxa"/>
          </w:tblCellMar>
        </w:tblPrEx>
        <w:trPr>
          <w:trHeight w:val="952"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22</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超市食品包装袋（大号）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2.8丝及以上</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（300+75*2）×480（±2%）</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15*1000个</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120</w:t>
            </w:r>
          </w:p>
        </w:tc>
      </w:tr>
      <w:tr>
        <w:tblPrEx>
          <w:tblCellMar>
            <w:top w:w="15" w:type="dxa"/>
            <w:left w:w="15" w:type="dxa"/>
            <w:bottom w:w="15" w:type="dxa"/>
            <w:right w:w="15" w:type="dxa"/>
          </w:tblCellMar>
        </w:tblPrEx>
        <w:trPr>
          <w:trHeight w:val="952" w:hRule="atLeast"/>
        </w:trPr>
        <w:tc>
          <w:tcPr>
            <w:tcW w:w="83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注：1份为1000个袋子</w:t>
            </w:r>
          </w:p>
        </w:tc>
      </w:tr>
    </w:tbl>
    <w:p>
      <w:pPr>
        <w:ind w:firstLine="482" w:firstLineChars="200"/>
        <w:rPr>
          <w:rFonts w:hint="eastAsia" w:ascii="仿宋" w:hAnsi="仿宋" w:eastAsia="仿宋" w:cs="仿宋"/>
          <w:b/>
          <w:bCs/>
          <w:color w:val="auto"/>
          <w:kern w:val="2"/>
          <w:sz w:val="24"/>
          <w:szCs w:val="24"/>
          <w:lang w:val="en-US" w:eastAsia="zh-CN" w:bidi="ar-SA"/>
        </w:rPr>
      </w:pPr>
    </w:p>
    <w:p>
      <w:pPr>
        <w:spacing w:line="360" w:lineRule="auto"/>
        <w:ind w:firstLine="482" w:firstLineChars="200"/>
        <w:outlineLvl w:val="1"/>
        <w:rPr>
          <w:rFonts w:hint="eastAsia"/>
          <w:lang w:val="en-US" w:eastAsia="zh-CN"/>
        </w:rPr>
      </w:pPr>
      <w:r>
        <w:rPr>
          <w:rFonts w:hint="eastAsia" w:ascii="仿宋" w:hAnsi="仿宋" w:eastAsia="仿宋" w:cs="仿宋"/>
          <w:b/>
          <w:bCs/>
          <w:color w:val="auto"/>
          <w:kern w:val="2"/>
          <w:sz w:val="24"/>
          <w:szCs w:val="24"/>
          <w:lang w:val="en-US" w:eastAsia="zh-CN" w:bidi="ar-SA"/>
        </w:rPr>
        <w:t>★三、技术参数要求</w:t>
      </w:r>
      <w:bookmarkStart w:id="36" w:name="_Toc16534"/>
      <w:bookmarkStart w:id="37" w:name="_Toc11404"/>
      <w:bookmarkStart w:id="38" w:name="_Toc16029"/>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1、CT片袋技术参数要求</w:t>
      </w:r>
      <w:r>
        <w:rPr>
          <w:rFonts w:hint="eastAsia" w:ascii="仿宋" w:hAnsi="仿宋" w:eastAsia="仿宋" w:cs="仿宋"/>
          <w:b w:val="0"/>
          <w:bCs w:val="0"/>
          <w:color w:val="auto"/>
          <w:sz w:val="24"/>
          <w:szCs w:val="24"/>
          <w:highlight w:val="none"/>
          <w:shd w:val="clear" w:color="auto" w:fill="auto"/>
          <w:lang w:val="en-US" w:eastAsia="zh-CN"/>
        </w:rPr>
        <w:tab/>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CT片袋的材质均采用聚乙烯原料，塑料质地均匀平整，塑料产品有环保认证，符合规定要求。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CT片袋的底色为乳白色，袋子上文字字体为紫色。</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袋子上的标识图案规格为290mm*350mm。</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2、DR片袋技术参数要求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（1）DR片袋的材质均采用聚乙烯原料，塑料质地均匀平整，塑料产品有环保认证，符合规定要求。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（2）DR片袋的底色为乳白色，袋子上文字字体为紫色。</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（3）袋子上的标识图案规格为250mm*320mm。</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505710" cy="2954020"/>
            <wp:effectExtent l="0" t="0" r="8890" b="17780"/>
            <wp:docPr id="6" name="图片 6" descr="IMG_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3334"/>
                    <pic:cNvPicPr>
                      <a:picLocks noChangeAspect="1"/>
                    </pic:cNvPicPr>
                  </pic:nvPicPr>
                  <pic:blipFill>
                    <a:blip r:embed="rId16"/>
                    <a:stretch>
                      <a:fillRect/>
                    </a:stretch>
                  </pic:blipFill>
                  <pic:spPr>
                    <a:xfrm>
                      <a:off x="0" y="0"/>
                      <a:ext cx="2505710" cy="2954020"/>
                    </a:xfrm>
                    <a:prstGeom prst="rect">
                      <a:avLst/>
                    </a:prstGeom>
                  </pic:spPr>
                </pic:pic>
              </a:graphicData>
            </a:graphic>
          </wp:inline>
        </w:drawing>
      </w: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538730" cy="2961005"/>
            <wp:effectExtent l="0" t="0" r="13970" b="10795"/>
            <wp:docPr id="9" name="图片 9" descr="IMG_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3335"/>
                    <pic:cNvPicPr>
                      <a:picLocks noChangeAspect="1"/>
                    </pic:cNvPicPr>
                  </pic:nvPicPr>
                  <pic:blipFill>
                    <a:blip r:embed="rId17"/>
                    <a:stretch>
                      <a:fillRect/>
                    </a:stretch>
                  </pic:blipFill>
                  <pic:spPr>
                    <a:xfrm>
                      <a:off x="0" y="0"/>
                      <a:ext cx="2538730" cy="2961005"/>
                    </a:xfrm>
                    <a:prstGeom prst="rect">
                      <a:avLst/>
                    </a:prstGeom>
                  </pic:spPr>
                </pic:pic>
              </a:graphicData>
            </a:graphic>
          </wp:inline>
        </w:drawing>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3、药袋技术参数要求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（1）药房袋子的材质均采用聚乙烯原料，塑料质地均匀平整，塑料产品有环保认证，符合规定要求。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（2）药房袋子的底色为本色，袋子上文字字体为紫色。</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（3）袋子上的标识图案规格为150mm*170mm/220mm*240mm.</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287270" cy="2693035"/>
            <wp:effectExtent l="0" t="0" r="17780" b="12065"/>
            <wp:docPr id="13" name="图片 13" descr="IMG_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3329"/>
                    <pic:cNvPicPr>
                      <a:picLocks noChangeAspect="1"/>
                    </pic:cNvPicPr>
                  </pic:nvPicPr>
                  <pic:blipFill>
                    <a:blip r:embed="rId18"/>
                    <a:stretch>
                      <a:fillRect/>
                    </a:stretch>
                  </pic:blipFill>
                  <pic:spPr>
                    <a:xfrm>
                      <a:off x="0" y="0"/>
                      <a:ext cx="2287270" cy="2693035"/>
                    </a:xfrm>
                    <a:prstGeom prst="rect">
                      <a:avLst/>
                    </a:prstGeom>
                  </pic:spPr>
                </pic:pic>
              </a:graphicData>
            </a:graphic>
          </wp:inline>
        </w:drawing>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4、白色垃圾袋技术参数要求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（1）白色垃圾袋的材质均采用聚乙烯原料，塑料质地均匀平整，塑料产品有环保认证，符合规定要求。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（2）袋子的底色为本色，袋子上无需文字和图案。</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（3）袋子的规格符合以上列表要求。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458720" cy="2435860"/>
            <wp:effectExtent l="0" t="0" r="17780" b="2540"/>
            <wp:docPr id="14" name="图片 14" descr="IMG_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3338"/>
                    <pic:cNvPicPr>
                      <a:picLocks noChangeAspect="1"/>
                    </pic:cNvPicPr>
                  </pic:nvPicPr>
                  <pic:blipFill>
                    <a:blip r:embed="rId19"/>
                    <a:stretch>
                      <a:fillRect/>
                    </a:stretch>
                  </pic:blipFill>
                  <pic:spPr>
                    <a:xfrm>
                      <a:off x="0" y="0"/>
                      <a:ext cx="2458720" cy="2435860"/>
                    </a:xfrm>
                    <a:prstGeom prst="rect">
                      <a:avLst/>
                    </a:prstGeom>
                  </pic:spPr>
                </pic:pic>
              </a:graphicData>
            </a:graphic>
          </wp:inline>
        </w:drawing>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5、黄色医疗垃圾袋技术参数要求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（1）黄色垃圾袋的材质均采用聚乙烯原料，塑料质地均匀平整，塑料产品有环保认证，符合规定要求。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（2）黄色医疗垃圾袋的底色为黄色，袋子上文字字体为黑色。</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（3）袋子的规格符合以上列表要求，袋子上的图案及字样需符合以下图片要求。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126615" cy="2126615"/>
            <wp:effectExtent l="0" t="0" r="6985" b="6985"/>
            <wp:docPr id="15" name="图片 15" descr="42EB911F81BCC0A33214E11A05305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2EB911F81BCC0A33214E11A0530524F"/>
                    <pic:cNvPicPr>
                      <a:picLocks noChangeAspect="1"/>
                    </pic:cNvPicPr>
                  </pic:nvPicPr>
                  <pic:blipFill>
                    <a:blip r:embed="rId20"/>
                    <a:stretch>
                      <a:fillRect/>
                    </a:stretch>
                  </pic:blipFill>
                  <pic:spPr>
                    <a:xfrm>
                      <a:off x="0" y="0"/>
                      <a:ext cx="2126615" cy="2126615"/>
                    </a:xfrm>
                    <a:prstGeom prst="rect">
                      <a:avLst/>
                    </a:prstGeom>
                  </pic:spPr>
                </pic:pic>
              </a:graphicData>
            </a:graphic>
          </wp:inline>
        </w:drawing>
      </w: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1638935" cy="2122170"/>
            <wp:effectExtent l="0" t="0" r="18415" b="11430"/>
            <wp:docPr id="16" name="图片 16" descr="237199C516A9B84D5091FAF6B392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37199C516A9B84D5091FAF6B3920443"/>
                    <pic:cNvPicPr>
                      <a:picLocks noChangeAspect="1"/>
                    </pic:cNvPicPr>
                  </pic:nvPicPr>
                  <pic:blipFill>
                    <a:blip r:embed="rId21"/>
                    <a:stretch>
                      <a:fillRect/>
                    </a:stretch>
                  </pic:blipFill>
                  <pic:spPr>
                    <a:xfrm>
                      <a:off x="0" y="0"/>
                      <a:ext cx="1638935" cy="2122170"/>
                    </a:xfrm>
                    <a:prstGeom prst="rect">
                      <a:avLst/>
                    </a:prstGeom>
                  </pic:spPr>
                </pic:pic>
              </a:graphicData>
            </a:graphic>
          </wp:inline>
        </w:drawing>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6、橘红色垃圾袋技术参数要求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（1）橘红色垃圾袋的材质均采用聚乙烯原料，塑料质地均匀平整，塑料产品有环保认证，符合规定要求。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（2）橘红色垃圾袋的底色为橘红色，袋子上文字字体为黑色。</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（3）袋子的规格符合以上列表要求，袋子上的图案及字样需符合以下图片要求。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454275" cy="2454275"/>
            <wp:effectExtent l="0" t="0" r="3175" b="3175"/>
            <wp:docPr id="17" name="图片 17" descr="BC205760E1F8D33AA3C33D6A6D200A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BC205760E1F8D33AA3C33D6A6D200A6E"/>
                    <pic:cNvPicPr>
                      <a:picLocks noChangeAspect="1"/>
                    </pic:cNvPicPr>
                  </pic:nvPicPr>
                  <pic:blipFill>
                    <a:blip r:embed="rId22"/>
                    <a:stretch>
                      <a:fillRect/>
                    </a:stretch>
                  </pic:blipFill>
                  <pic:spPr>
                    <a:xfrm>
                      <a:off x="0" y="0"/>
                      <a:ext cx="2454275" cy="2454275"/>
                    </a:xfrm>
                    <a:prstGeom prst="rect">
                      <a:avLst/>
                    </a:prstGeom>
                  </pic:spPr>
                </pic:pic>
              </a:graphicData>
            </a:graphic>
          </wp:inline>
        </w:drawing>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7、煎药袋技术参数要求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（1）煎药袋采用40g及以上无纺布为原料，质地均匀，有环保认证，符合规定要求。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（2）耐高温，久煮不烂，渗透性好，无异味，抽绳封口设计。</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drawing>
          <wp:inline distT="0" distB="0" distL="114300" distR="114300">
            <wp:extent cx="2041525" cy="3630295"/>
            <wp:effectExtent l="0" t="0" r="15875" b="8255"/>
            <wp:docPr id="18" name="图片 18" descr="c2ba5094b48ef3110ac3ce875935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2ba5094b48ef3110ac3ce875935f75"/>
                    <pic:cNvPicPr>
                      <a:picLocks noChangeAspect="1"/>
                    </pic:cNvPicPr>
                  </pic:nvPicPr>
                  <pic:blipFill>
                    <a:blip r:embed="rId23"/>
                    <a:stretch>
                      <a:fillRect/>
                    </a:stretch>
                  </pic:blipFill>
                  <pic:spPr>
                    <a:xfrm>
                      <a:off x="0" y="0"/>
                      <a:ext cx="2041525" cy="3630295"/>
                    </a:xfrm>
                    <a:prstGeom prst="rect">
                      <a:avLst/>
                    </a:prstGeom>
                  </pic:spPr>
                </pic:pic>
              </a:graphicData>
            </a:graphic>
          </wp:inline>
        </w:drawing>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8、超市购物袋技术参数要求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（1）超市购物袋的材质均采用聚乙烯原料，塑料质地均匀平整，塑料产品有环保认证，符合规定要求。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（2）超市购物袋的底色为本色，袋子上文字字体为紫色。</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（3）袋子上的标识图案规格为150mm*170mm/220mm*240mm.</w:t>
      </w:r>
    </w:p>
    <w:p>
      <w:pPr>
        <w:pStyle w:val="24"/>
        <w:rPr>
          <w:rFonts w:hint="eastAsia"/>
          <w:lang w:val="en-US" w:eastAsia="zh-CN"/>
        </w:rPr>
      </w:pPr>
      <w:r>
        <w:rPr>
          <w:rFonts w:hint="eastAsia"/>
          <w:lang w:val="en-US" w:eastAsia="zh-CN"/>
        </w:rPr>
        <w:drawing>
          <wp:inline distT="0" distB="0" distL="114300" distR="114300">
            <wp:extent cx="2305050" cy="2284095"/>
            <wp:effectExtent l="0" t="0" r="0" b="1905"/>
            <wp:docPr id="19" name="图片 19" descr="IMG_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3338"/>
                    <pic:cNvPicPr>
                      <a:picLocks noChangeAspect="1"/>
                    </pic:cNvPicPr>
                  </pic:nvPicPr>
                  <pic:blipFill>
                    <a:blip r:embed="rId19"/>
                    <a:stretch>
                      <a:fillRect/>
                    </a:stretch>
                  </pic:blipFill>
                  <pic:spPr>
                    <a:xfrm>
                      <a:off x="0" y="0"/>
                      <a:ext cx="2305050" cy="2284095"/>
                    </a:xfrm>
                    <a:prstGeom prst="rect">
                      <a:avLst/>
                    </a:prstGeom>
                  </pic:spPr>
                </pic:pic>
              </a:graphicData>
            </a:graphic>
          </wp:inline>
        </w:drawing>
      </w:r>
      <w:r>
        <w:drawing>
          <wp:inline distT="0" distB="0" distL="114300" distR="114300">
            <wp:extent cx="2575560" cy="2248535"/>
            <wp:effectExtent l="0" t="0" r="15240" b="1841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24"/>
                    <a:stretch>
                      <a:fillRect/>
                    </a:stretch>
                  </pic:blipFill>
                  <pic:spPr>
                    <a:xfrm>
                      <a:off x="0" y="0"/>
                      <a:ext cx="2575560" cy="2248535"/>
                    </a:xfrm>
                    <a:prstGeom prst="rect">
                      <a:avLst/>
                    </a:prstGeom>
                    <a:noFill/>
                    <a:ln>
                      <a:noFill/>
                    </a:ln>
                  </pic:spPr>
                </pic:pic>
              </a:graphicData>
            </a:graphic>
          </wp:inline>
        </w:drawing>
      </w:r>
    </w:p>
    <w:p>
      <w:pPr>
        <w:pStyle w:val="24"/>
        <w:rPr>
          <w:rFonts w:hint="eastAsia"/>
          <w:lang w:val="en-US" w:eastAsia="zh-CN"/>
        </w:rPr>
      </w:pPr>
    </w:p>
    <w:p>
      <w:pPr>
        <w:pStyle w:val="24"/>
        <w:rPr>
          <w:rFonts w:hint="eastAsia"/>
          <w:lang w:val="en-US" w:eastAsia="zh-CN"/>
        </w:rPr>
      </w:pPr>
    </w:p>
    <w:p>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、商务要求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bookmarkStart w:id="39" w:name="_Toc7836"/>
      <w:r>
        <w:rPr>
          <w:rFonts w:hint="eastAsia" w:ascii="仿宋" w:hAnsi="仿宋" w:eastAsia="仿宋" w:cs="仿宋"/>
          <w:b w:val="0"/>
          <w:bCs w:val="0"/>
          <w:color w:val="auto"/>
          <w:sz w:val="24"/>
          <w:szCs w:val="24"/>
          <w:highlight w:val="none"/>
          <w:shd w:val="clear" w:color="auto" w:fill="auto"/>
          <w:lang w:val="en-US" w:eastAsia="zh-CN"/>
        </w:rPr>
        <w:t>1、合同签订：成交通知书发出之日起30日内签订合同。</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2、供货期限：一年（自合同签订生效之日起计算）。</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3、交货地点：成交供应商根据采购人需求送货至采购人指定地点。</w:t>
      </w:r>
    </w:p>
    <w:p>
      <w:pPr>
        <w:autoSpaceDE w:val="0"/>
        <w:autoSpaceDN w:val="0"/>
        <w:adjustRightInd w:val="0"/>
        <w:snapToGrid w:val="0"/>
        <w:spacing w:line="360" w:lineRule="auto"/>
        <w:ind w:firstLine="480" w:firstLineChars="200"/>
        <w:jc w:val="left"/>
        <w:rPr>
          <w:rFonts w:hint="eastAsia"/>
          <w:lang w:val="en-US" w:eastAsia="zh-CN"/>
        </w:rPr>
      </w:pP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4、报价方式：</w:t>
      </w:r>
      <w:r>
        <w:rPr>
          <w:rFonts w:hint="eastAsia" w:ascii="仿宋" w:hAnsi="仿宋" w:eastAsia="仿宋" w:cs="仿宋"/>
          <w:color w:val="000000" w:themeColor="text1"/>
          <w:kern w:val="2"/>
          <w:sz w:val="24"/>
          <w:szCs w:val="24"/>
          <w:highlight w:val="none"/>
          <w:lang w:val="zh-CN" w:eastAsia="zh-CN"/>
          <w14:textFill>
            <w14:solidFill>
              <w14:schemeClr w14:val="tx1"/>
            </w14:solidFill>
          </w14:textFill>
        </w:rPr>
        <w:t>本项目采用下浮比例方式报价。</w:t>
      </w:r>
      <w:r>
        <w:rPr>
          <w:rFonts w:hint="eastAsia" w:ascii="仿宋" w:hAnsi="仿宋" w:eastAsia="仿宋" w:cs="仿宋"/>
          <w:bCs w:val="0"/>
          <w:color w:val="000000" w:themeColor="text1"/>
          <w:kern w:val="2"/>
          <w:sz w:val="24"/>
          <w:highlight w:val="none"/>
          <w14:textFill>
            <w14:solidFill>
              <w14:schemeClr w14:val="tx1"/>
            </w14:solidFill>
          </w14:textFill>
        </w:rPr>
        <w:t>供应商报价应是包括谈判文件规定的全部相应内容的价格。</w:t>
      </w:r>
      <w:r>
        <w:rPr>
          <w:rFonts w:hint="eastAsia" w:ascii="仿宋" w:hAnsi="仿宋" w:eastAsia="仿宋" w:cs="仿宋"/>
          <w:bCs w:val="0"/>
          <w:color w:val="000000" w:themeColor="text1"/>
          <w:kern w:val="2"/>
          <w:sz w:val="24"/>
          <w:highlight w:val="none"/>
          <w:lang w:val="zh-CN" w:eastAsia="zh-CN"/>
          <w14:textFill>
            <w14:solidFill>
              <w14:schemeClr w14:val="tx1"/>
            </w14:solidFill>
          </w14:textFill>
        </w:rPr>
        <w:t>人工、设备、管理费、税费、安装、调试等</w:t>
      </w:r>
      <w:r>
        <w:rPr>
          <w:rFonts w:hint="eastAsia" w:ascii="仿宋" w:hAnsi="仿宋" w:eastAsia="仿宋" w:cs="仿宋"/>
          <w:bCs w:val="0"/>
          <w:color w:val="000000" w:themeColor="text1"/>
          <w:kern w:val="2"/>
          <w:sz w:val="24"/>
          <w:szCs w:val="24"/>
          <w:highlight w:val="none"/>
          <w14:textFill>
            <w14:solidFill>
              <w14:schemeClr w14:val="tx1"/>
            </w14:solidFill>
          </w14:textFill>
        </w:rPr>
        <w:t>等完成本项目所需一切费用，采购人不再另行支付其他费用。</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5、付款方式：（1）按月实际用量结算，次月收到发票后30日内，支付上月结算货款。（2）付款前，供应商须向采购人出具合法有效完整的发票及凭证资料后进行支付结算，付款方式均采用公对公的银行转账，采购人接受转账的开户信息以合同载明的为准。如因供应商未按照要求提供合法有效的发票导致逾期付款的，不视为采购人违约，采购人不承担任何责任。</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rPr>
        <w:t>质保期：质保期1年</w:t>
      </w:r>
      <w:r>
        <w:rPr>
          <w:rFonts w:hint="eastAsia" w:ascii="仿宋" w:hAnsi="仿宋" w:eastAsia="仿宋" w:cs="仿宋"/>
          <w:color w:val="auto"/>
          <w:sz w:val="24"/>
          <w:szCs w:val="24"/>
          <w:lang w:val="zh-CN" w:eastAsia="zh-CN"/>
        </w:rPr>
        <w:t>。</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ascii="仿宋" w:hAnsi="仿宋" w:eastAsia="仿宋" w:cs="仿宋"/>
          <w:b w:val="0"/>
          <w:bCs w:val="0"/>
          <w:color w:val="auto"/>
          <w:sz w:val="24"/>
          <w:szCs w:val="24"/>
          <w:highlight w:val="none"/>
          <w:shd w:val="clear" w:color="auto" w:fill="auto"/>
          <w:lang w:val="en-US" w:eastAsia="zh-CN"/>
        </w:rPr>
        <w:t>7、质量要求：①成交供应商须提供全新的货物，表面无划伤、无碰撞痕迹。②货物必须符合或优于现行国家标准，以及本项目谈判文件及技术协议的质量要求和技术指标与出厂标准。③货物制造质量出现问题，成交供应商应负责三包(包修、包换、包退)，费用由成交供应商负担。</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szCs w:val="24"/>
          <w:highlight w:val="none"/>
          <w:shd w:val="clear" w:color="auto" w:fill="auto"/>
          <w:lang w:val="en-US" w:eastAsia="zh-CN"/>
        </w:rPr>
        <w:t>8、报价要求：</w:t>
      </w:r>
      <w:r>
        <w:rPr>
          <w:rFonts w:hint="eastAsia" w:ascii="仿宋" w:hAnsi="仿宋" w:eastAsia="仿宋" w:cs="仿宋"/>
          <w:b w:val="0"/>
          <w:bCs w:val="0"/>
          <w:color w:val="auto"/>
          <w:sz w:val="24"/>
          <w:szCs w:val="24"/>
          <w:highlight w:val="none"/>
          <w:shd w:val="clear" w:color="auto" w:fill="auto"/>
          <w:lang w:val="zh-CN" w:eastAsia="zh-CN"/>
        </w:rPr>
        <w:t>本次报价应包括人工、设备、管理费、税费、安装、调试等完成本项目所需一切费用。</w:t>
      </w:r>
      <w:r>
        <w:rPr>
          <w:rFonts w:hint="eastAsia" w:ascii="仿宋" w:hAnsi="仿宋" w:eastAsia="仿宋" w:cs="仿宋"/>
          <w:b w:val="0"/>
          <w:bCs w:val="0"/>
          <w:color w:val="auto"/>
          <w:sz w:val="24"/>
          <w:szCs w:val="24"/>
          <w:highlight w:val="none"/>
          <w:shd w:val="clear" w:color="auto" w:fill="auto"/>
          <w:lang w:val="en-US" w:eastAsia="zh-CN"/>
        </w:rPr>
        <w:t>现场报价的单价</w:t>
      </w:r>
      <w:r>
        <w:rPr>
          <w:rFonts w:hint="eastAsia" w:ascii="仿宋" w:hAnsi="仿宋" w:eastAsia="仿宋" w:cs="仿宋"/>
          <w:color w:val="auto"/>
          <w:sz w:val="24"/>
          <w:highlight w:val="none"/>
          <w:lang w:val="en-US" w:eastAsia="zh-CN"/>
        </w:rPr>
        <w:t>为每份报价（1份为1000个袋子），每份单价按照同比例下浮报价，保留小数点后两位，报价总价不保留小数。未按以上要求报价无效。</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val="0"/>
          <w:bCs w:val="0"/>
          <w:color w:val="auto"/>
          <w:sz w:val="24"/>
          <w:szCs w:val="24"/>
          <w:highlight w:val="none"/>
          <w:shd w:val="clear" w:color="auto" w:fill="auto"/>
          <w:lang w:val="en-US" w:eastAsia="zh-CN"/>
        </w:rPr>
        <w:t>9、验收标准：</w:t>
      </w:r>
      <w:r>
        <w:rPr>
          <w:rFonts w:hint="eastAsia" w:ascii="仿宋" w:eastAsia="仿宋" w:cs="仿宋"/>
          <w:bCs/>
          <w:color w:val="auto"/>
          <w:sz w:val="24"/>
          <w:highlight w:val="none"/>
        </w:rPr>
        <w:t>本项目采购人将严格按照采购</w:t>
      </w:r>
      <w:r>
        <w:rPr>
          <w:rFonts w:hint="eastAsia" w:ascii="仿宋" w:eastAsia="仿宋" w:cs="仿宋"/>
          <w:bCs/>
          <w:color w:val="auto"/>
          <w:sz w:val="24"/>
          <w:highlight w:val="none"/>
          <w:lang w:eastAsia="zh-CN"/>
        </w:rPr>
        <w:t>文件、</w:t>
      </w:r>
      <w:r>
        <w:rPr>
          <w:rFonts w:hint="eastAsia" w:ascii="仿宋" w:eastAsia="仿宋" w:cs="仿宋"/>
          <w:bCs/>
          <w:color w:val="auto"/>
          <w:sz w:val="24"/>
          <w:lang w:eastAsia="zh-CN"/>
        </w:rPr>
        <w:t>成交供应商响应文件、采购合同约定</w:t>
      </w:r>
      <w:r>
        <w:rPr>
          <w:rFonts w:hint="eastAsia" w:ascii="仿宋" w:eastAsia="仿宋" w:cs="仿宋"/>
          <w:bCs/>
          <w:color w:val="auto"/>
          <w:sz w:val="24"/>
        </w:rPr>
        <w:t>内容及国家行业主管部门规定的标准、方法和内容进行验收。</w:t>
      </w:r>
    </w:p>
    <w:bookmarkEnd w:id="36"/>
    <w:bookmarkEnd w:id="37"/>
    <w:bookmarkEnd w:id="38"/>
    <w:bookmarkEnd w:id="39"/>
    <w:p>
      <w:pPr>
        <w:keepNext w:val="0"/>
        <w:spacing w:line="360" w:lineRule="auto"/>
        <w:ind w:firstLine="474" w:firstLineChars="200"/>
        <w:jc w:val="left"/>
        <w:outlineLvl w:val="9"/>
        <w:rPr>
          <w:rFonts w:hint="eastAsia" w:ascii="仿宋" w:hAnsi="仿宋" w:eastAsia="仿宋" w:cs="仿宋"/>
          <w:b/>
          <w:bCs/>
          <w:color w:val="000000"/>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0" w:name="_Toc21698"/>
      <w:bookmarkStart w:id="41" w:name="_Toc25073"/>
      <w:bookmarkStart w:id="42" w:name="_Toc4978"/>
      <w:bookmarkStart w:id="43" w:name="_Toc6413"/>
      <w:r>
        <w:rPr>
          <w:rFonts w:hint="eastAsia" w:ascii="仿宋" w:hAnsi="仿宋" w:eastAsia="仿宋" w:cs="仿宋"/>
          <w:b/>
          <w:bCs/>
          <w:color w:val="000000"/>
          <w:spacing w:val="-2"/>
          <w:sz w:val="24"/>
          <w:szCs w:val="24"/>
        </w:rPr>
        <w:t>说明：</w:t>
      </w:r>
      <w:r>
        <w:rPr>
          <w:rFonts w:hint="eastAsia" w:ascii="仿宋" w:hAnsi="仿宋" w:eastAsia="仿宋" w:cs="仿宋"/>
          <w:b/>
          <w:bCs w:val="0"/>
          <w:color w:val="000000"/>
          <w:spacing w:val="-2"/>
          <w:sz w:val="24"/>
          <w:szCs w:val="24"/>
        </w:rPr>
        <w:t>本章中</w:t>
      </w:r>
      <w:r>
        <w:rPr>
          <w:rFonts w:hint="eastAsia" w:ascii="仿宋" w:hAnsi="仿宋" w:eastAsia="仿宋" w:cs="仿宋"/>
          <w:b/>
          <w:bCs w:val="0"/>
          <w:color w:val="000000"/>
          <w:spacing w:val="-2"/>
          <w:sz w:val="24"/>
          <w:szCs w:val="24"/>
          <w:lang w:eastAsia="zh-CN"/>
        </w:rPr>
        <w:t>以</w:t>
      </w:r>
      <w:r>
        <w:rPr>
          <w:rFonts w:hint="eastAsia" w:ascii="仿宋" w:hAnsi="仿宋" w:eastAsia="仿宋" w:cs="仿宋"/>
          <w:b/>
          <w:bCs w:val="0"/>
          <w:color w:val="000000"/>
          <w:spacing w:val="-2"/>
          <w:sz w:val="24"/>
          <w:szCs w:val="24"/>
        </w:rPr>
        <w:t>“★”</w:t>
      </w:r>
      <w:r>
        <w:rPr>
          <w:rFonts w:hint="eastAsia" w:ascii="仿宋" w:hAnsi="仿宋" w:eastAsia="仿宋" w:cs="仿宋"/>
          <w:b/>
          <w:bCs w:val="0"/>
          <w:color w:val="000000"/>
          <w:spacing w:val="-2"/>
          <w:sz w:val="24"/>
          <w:szCs w:val="24"/>
          <w:lang w:eastAsia="zh-CN"/>
        </w:rPr>
        <w:t>标示</w:t>
      </w:r>
      <w:r>
        <w:rPr>
          <w:rFonts w:hint="eastAsia" w:ascii="仿宋" w:hAnsi="仿宋" w:eastAsia="仿宋" w:cs="仿宋"/>
          <w:b/>
          <w:bCs w:val="0"/>
          <w:color w:val="000000"/>
          <w:spacing w:val="-2"/>
          <w:sz w:val="24"/>
          <w:szCs w:val="24"/>
        </w:rPr>
        <w:t>的</w:t>
      </w:r>
      <w:r>
        <w:rPr>
          <w:rFonts w:hint="eastAsia" w:ascii="仿宋" w:hAnsi="仿宋" w:eastAsia="仿宋" w:cs="仿宋"/>
          <w:b/>
          <w:bCs w:val="0"/>
          <w:color w:val="000000"/>
          <w:spacing w:val="-2"/>
          <w:sz w:val="24"/>
          <w:szCs w:val="24"/>
          <w:lang w:eastAsia="zh-CN"/>
        </w:rPr>
        <w:t>内容</w:t>
      </w:r>
      <w:r>
        <w:rPr>
          <w:rFonts w:hint="eastAsia" w:ascii="仿宋" w:hAnsi="仿宋" w:eastAsia="仿宋" w:cs="仿宋"/>
          <w:b/>
          <w:bCs w:val="0"/>
          <w:color w:val="000000"/>
          <w:spacing w:val="-2"/>
          <w:sz w:val="24"/>
          <w:szCs w:val="24"/>
        </w:rPr>
        <w:t>为本次采购项目的实质性要求，</w:t>
      </w:r>
      <w:r>
        <w:rPr>
          <w:rFonts w:hint="eastAsia" w:ascii="仿宋" w:hAnsi="仿宋" w:eastAsia="仿宋" w:cs="仿宋"/>
          <w:b/>
          <w:bCs/>
          <w:color w:val="000000"/>
          <w:spacing w:val="-2"/>
          <w:sz w:val="24"/>
          <w:szCs w:val="24"/>
        </w:rPr>
        <w:t>供应商</w:t>
      </w:r>
      <w:r>
        <w:rPr>
          <w:rFonts w:hint="eastAsia" w:ascii="仿宋" w:hAnsi="仿宋" w:eastAsia="仿宋" w:cs="仿宋"/>
          <w:b/>
          <w:bCs/>
          <w:color w:val="000000"/>
          <w:spacing w:val="-2"/>
          <w:sz w:val="24"/>
          <w:szCs w:val="24"/>
          <w:lang w:eastAsia="zh-CN"/>
        </w:rPr>
        <w:t>如不</w:t>
      </w:r>
      <w:r>
        <w:rPr>
          <w:rFonts w:hint="eastAsia" w:ascii="仿宋" w:hAnsi="仿宋" w:eastAsia="仿宋" w:cs="仿宋"/>
          <w:b/>
          <w:bCs/>
          <w:color w:val="000000"/>
          <w:spacing w:val="-2"/>
          <w:sz w:val="24"/>
          <w:szCs w:val="24"/>
        </w:rPr>
        <w:t>满足将作无效</w:t>
      </w:r>
      <w:r>
        <w:rPr>
          <w:rFonts w:hint="eastAsia" w:ascii="仿宋" w:hAnsi="仿宋" w:eastAsia="仿宋" w:cs="仿宋"/>
          <w:b/>
          <w:bCs/>
          <w:color w:val="000000"/>
          <w:spacing w:val="-2"/>
          <w:sz w:val="24"/>
          <w:szCs w:val="24"/>
          <w:lang w:eastAsia="zh-CN"/>
        </w:rPr>
        <w:t>响应</w:t>
      </w:r>
      <w:r>
        <w:rPr>
          <w:rFonts w:hint="eastAsia" w:ascii="仿宋" w:hAnsi="仿宋" w:eastAsia="仿宋" w:cs="仿宋"/>
          <w:b/>
          <w:bCs/>
          <w:color w:val="000000"/>
          <w:spacing w:val="-2"/>
          <w:sz w:val="24"/>
          <w:szCs w:val="24"/>
        </w:rPr>
        <w:t>处理</w:t>
      </w:r>
      <w:r>
        <w:rPr>
          <w:rFonts w:hint="eastAsia" w:ascii="仿宋" w:hAnsi="仿宋" w:eastAsia="仿宋" w:cs="仿宋"/>
          <w:b/>
          <w:bCs/>
          <w:color w:val="000000"/>
          <w:spacing w:val="-2"/>
          <w:sz w:val="24"/>
          <w:szCs w:val="24"/>
          <w:lang w:eastAsia="zh-CN"/>
        </w:rPr>
        <w:t>。</w:t>
      </w:r>
    </w:p>
    <w:p>
      <w:pPr>
        <w:pStyle w:val="4"/>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000000" w:themeColor="text1"/>
          <w:kern w:val="2"/>
          <w:sz w:val="36"/>
          <w:szCs w:val="36"/>
          <w14:textFill>
            <w14:solidFill>
              <w14:schemeClr w14:val="tx1"/>
            </w14:solidFill>
          </w14:textFill>
        </w:rPr>
      </w:pPr>
      <w:bookmarkStart w:id="44" w:name="_Toc24419"/>
      <w:bookmarkStart w:id="45" w:name="_Toc3903"/>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w:t>
      </w:r>
      <w:r>
        <w:rPr>
          <w:rFonts w:hint="eastAsia" w:ascii="仿宋" w:hAnsi="仿宋" w:eastAsia="仿宋" w:cs="仿宋"/>
          <w:b/>
          <w:bCs/>
          <w:color w:val="000000" w:themeColor="text1"/>
          <w:kern w:val="2"/>
          <w:sz w:val="36"/>
          <w:szCs w:val="36"/>
          <w14:textFill>
            <w14:solidFill>
              <w14:schemeClr w14:val="tx1"/>
            </w14:solidFill>
          </w14:textFill>
        </w:rPr>
        <w:t>判过程中可能实质性变动的内容</w:t>
      </w:r>
      <w:bookmarkEnd w:id="40"/>
      <w:bookmarkEnd w:id="41"/>
      <w:bookmarkEnd w:id="42"/>
      <w:bookmarkEnd w:id="43"/>
      <w:bookmarkEnd w:id="44"/>
      <w:bookmarkEnd w:id="45"/>
    </w:p>
    <w:p>
      <w:pPr>
        <w:widowControl/>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w:t>
      </w: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pPr>
        <w:widowControl/>
        <w:spacing w:line="360" w:lineRule="auto"/>
        <w:jc w:val="left"/>
        <w:rPr>
          <w:rFonts w:ascii="仿宋" w:hAnsi="仿宋" w:eastAsia="仿宋" w:cs="仿宋"/>
          <w:color w:val="000000" w:themeColor="text1"/>
          <w:sz w:val="24"/>
          <w14:textFill>
            <w14:solidFill>
              <w14:schemeClr w14:val="tx1"/>
            </w14:solidFill>
          </w14:textFill>
        </w:rPr>
      </w:pPr>
    </w:p>
    <w:p>
      <w:pPr>
        <w:pStyle w:val="23"/>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3"/>
        <w:keepNext w:val="0"/>
        <w:keepLines w:val="0"/>
        <w:pageBreakBefore w:val="0"/>
        <w:widowControl/>
        <w:kinsoku/>
        <w:wordWrap/>
        <w:overflowPunct/>
        <w:topLinePunct w:val="0"/>
        <w:autoSpaceDE/>
        <w:autoSpaceDN/>
        <w:bidi w:val="0"/>
        <w:adjustRightInd/>
        <w:snapToGrid/>
        <w:spacing w:before="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46" w:name="_Toc7612"/>
      <w:bookmarkStart w:id="47" w:name="_Toc2502"/>
      <w:bookmarkStart w:id="48" w:name="_Toc27659"/>
      <w:bookmarkStart w:id="49" w:name="_Toc20997"/>
      <w:bookmarkStart w:id="50" w:name="_Toc24582"/>
      <w:bookmarkStart w:id="51" w:name="_Toc4706"/>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46"/>
      <w:bookmarkEnd w:id="47"/>
      <w:bookmarkEnd w:id="48"/>
      <w:bookmarkEnd w:id="49"/>
      <w:bookmarkEnd w:id="50"/>
      <w:bookmarkEnd w:id="51"/>
    </w:p>
    <w:p>
      <w:pPr>
        <w:tabs>
          <w:tab w:val="left" w:pos="426"/>
          <w:tab w:val="left" w:pos="851"/>
        </w:tabs>
        <w:spacing w:line="360" w:lineRule="auto"/>
        <w:ind w:firstLine="504" w:firstLineChars="200"/>
        <w:rPr>
          <w:rFonts w:hint="eastAsia" w:ascii="仿宋" w:hAnsi="仿宋" w:eastAsia="仿宋" w:cs="仿宋"/>
          <w:color w:val="auto"/>
          <w:spacing w:val="6"/>
          <w:sz w:val="24"/>
        </w:rPr>
      </w:pPr>
    </w:p>
    <w:p>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bookmarkStart w:id="52" w:name="_Toc13336"/>
      <w:bookmarkStart w:id="53" w:name="_Toc21231"/>
      <w:bookmarkStart w:id="54" w:name="_Toc17149"/>
      <w:bookmarkStart w:id="55" w:name="_Toc26560"/>
      <w:bookmarkStart w:id="56" w:name="_Toc22320"/>
      <w:bookmarkStart w:id="57" w:name="_Toc16494"/>
      <w:bookmarkStart w:id="58" w:name="_Toc26124"/>
      <w:r>
        <w:rPr>
          <w:rFonts w:hint="eastAsia" w:ascii="仿宋" w:hAnsi="仿宋" w:eastAsia="仿宋" w:cs="仿宋"/>
          <w:color w:val="000000"/>
          <w:spacing w:val="6"/>
          <w:sz w:val="24"/>
          <w:highlight w:val="none"/>
          <w:lang w:eastAsia="zh-CN"/>
        </w:rPr>
        <w:t>一、</w:t>
      </w:r>
      <w:r>
        <w:rPr>
          <w:rFonts w:hint="eastAsia" w:ascii="仿宋" w:hAnsi="仿宋" w:eastAsia="仿宋" w:cs="仿宋"/>
          <w:color w:val="000000"/>
          <w:spacing w:val="6"/>
          <w:sz w:val="24"/>
          <w:highlight w:val="none"/>
        </w:rPr>
        <w:t>本章所</w:t>
      </w:r>
      <w:r>
        <w:rPr>
          <w:rFonts w:hint="eastAsia" w:ascii="仿宋" w:hAnsi="仿宋" w:eastAsia="仿宋" w:cs="仿宋"/>
          <w:color w:val="000000"/>
          <w:spacing w:val="6"/>
          <w:sz w:val="24"/>
          <w:highlight w:val="none"/>
          <w:lang w:eastAsia="zh-CN"/>
        </w:rPr>
        <w:t>列示的响应</w:t>
      </w:r>
      <w:r>
        <w:rPr>
          <w:rFonts w:hint="eastAsia" w:ascii="仿宋" w:hAnsi="仿宋" w:eastAsia="仿宋" w:cs="仿宋"/>
          <w:color w:val="000000"/>
          <w:spacing w:val="6"/>
          <w:sz w:val="24"/>
          <w:highlight w:val="none"/>
        </w:rPr>
        <w:t>文件格式</w:t>
      </w:r>
      <w:r>
        <w:rPr>
          <w:rFonts w:hint="eastAsia" w:ascii="仿宋" w:hAnsi="仿宋" w:eastAsia="仿宋" w:cs="仿宋"/>
          <w:color w:val="000000"/>
          <w:spacing w:val="6"/>
          <w:sz w:val="24"/>
          <w:highlight w:val="none"/>
          <w:lang w:eastAsia="zh-CN"/>
        </w:rPr>
        <w:t>由采购代理机构依规制订，并具有解释权。</w:t>
      </w:r>
    </w:p>
    <w:p>
      <w:pPr>
        <w:pStyle w:val="12"/>
        <w:numPr>
          <w:ilvl w:val="0"/>
          <w:numId w:val="0"/>
        </w:numPr>
        <w:spacing w:line="360" w:lineRule="auto"/>
        <w:ind w:firstLine="504" w:firstLineChars="200"/>
        <w:rPr>
          <w:rFonts w:hint="eastAsia" w:ascii="仿宋" w:hAnsi="仿宋" w:eastAsia="仿宋" w:cs="仿宋"/>
          <w:color w:val="000000"/>
          <w:spacing w:val="6"/>
          <w:sz w:val="24"/>
          <w:highlight w:val="none"/>
          <w:lang w:val="en-US" w:eastAsia="zh-CN"/>
        </w:rPr>
      </w:pPr>
      <w:r>
        <w:rPr>
          <w:rFonts w:hint="eastAsia" w:ascii="仿宋" w:hAnsi="仿宋" w:eastAsia="仿宋" w:cs="仿宋"/>
          <w:color w:val="000000"/>
          <w:spacing w:val="6"/>
          <w:sz w:val="24"/>
          <w:highlight w:val="none"/>
          <w:lang w:val="en-US" w:eastAsia="zh-CN"/>
        </w:rPr>
        <w:t>1、响应文件格式中以“括号”方式标注“实质性要求”的，是指供应商不能擅自对此项格式文件内容作实质性更改，否则将会导致其响应无效。</w:t>
      </w:r>
    </w:p>
    <w:p>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val="en-US" w:eastAsia="zh-CN"/>
        </w:rPr>
        <w:t>2、</w:t>
      </w:r>
      <w:r>
        <w:rPr>
          <w:rFonts w:hint="eastAsia" w:ascii="仿宋" w:hAnsi="仿宋" w:eastAsia="仿宋" w:cs="仿宋"/>
          <w:color w:val="000000"/>
          <w:spacing w:val="6"/>
          <w:sz w:val="24"/>
          <w:highlight w:val="none"/>
          <w:lang w:eastAsia="zh-CN"/>
        </w:rPr>
        <w:t>供应商响应</w:t>
      </w:r>
      <w:r>
        <w:rPr>
          <w:rFonts w:hint="eastAsia" w:ascii="仿宋" w:hAnsi="仿宋" w:eastAsia="仿宋" w:cs="仿宋"/>
          <w:color w:val="000000"/>
          <w:spacing w:val="6"/>
          <w:sz w:val="24"/>
          <w:highlight w:val="none"/>
        </w:rPr>
        <w:t>文件相关资料和本章所制格式不一致的，需涵盖所有要求内容，未按要求</w:t>
      </w:r>
      <w:r>
        <w:rPr>
          <w:rFonts w:hint="eastAsia" w:ascii="仿宋" w:hAnsi="仿宋" w:eastAsia="仿宋" w:cs="仿宋"/>
          <w:color w:val="000000"/>
          <w:spacing w:val="6"/>
          <w:sz w:val="24"/>
          <w:highlight w:val="none"/>
          <w:lang w:eastAsia="zh-CN"/>
        </w:rPr>
        <w:t>正确填写、</w:t>
      </w:r>
      <w:r>
        <w:rPr>
          <w:rFonts w:hint="eastAsia" w:ascii="仿宋" w:hAnsi="仿宋" w:eastAsia="仿宋" w:cs="仿宋"/>
          <w:color w:val="000000"/>
          <w:spacing w:val="6"/>
          <w:sz w:val="24"/>
          <w:highlight w:val="none"/>
        </w:rPr>
        <w:t>提供导致</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文件被认定为无效</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w:t>
      </w:r>
      <w:r>
        <w:rPr>
          <w:rFonts w:hint="eastAsia" w:ascii="仿宋" w:hAnsi="仿宋" w:eastAsia="仿宋" w:cs="仿宋"/>
          <w:color w:val="000000"/>
          <w:spacing w:val="6"/>
          <w:sz w:val="24"/>
          <w:highlight w:val="none"/>
          <w:lang w:eastAsia="zh-CN"/>
        </w:rPr>
        <w:t>的</w:t>
      </w:r>
      <w:r>
        <w:rPr>
          <w:rFonts w:hint="eastAsia" w:ascii="仿宋" w:hAnsi="仿宋" w:eastAsia="仿宋" w:cs="仿宋"/>
          <w:color w:val="000000"/>
          <w:spacing w:val="6"/>
          <w:sz w:val="24"/>
          <w:highlight w:val="none"/>
        </w:rPr>
        <w:t>，后果由供应商自行承担。</w:t>
      </w:r>
    </w:p>
    <w:p>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r>
        <w:rPr>
          <w:rFonts w:hint="eastAsia" w:ascii="仿宋" w:hAnsi="仿宋" w:eastAsia="仿宋" w:cs="仿宋"/>
          <w:color w:val="000000"/>
          <w:spacing w:val="6"/>
          <w:sz w:val="24"/>
          <w:highlight w:val="none"/>
        </w:rPr>
        <w:t>二、本章所制</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文件格式有关表格中的备注栏，由</w:t>
      </w:r>
      <w:r>
        <w:rPr>
          <w:rFonts w:hint="eastAsia" w:ascii="仿宋" w:hAnsi="仿宋" w:eastAsia="仿宋" w:cs="仿宋"/>
          <w:color w:val="000000"/>
          <w:spacing w:val="6"/>
          <w:sz w:val="24"/>
          <w:highlight w:val="none"/>
          <w:lang w:eastAsia="zh-CN"/>
        </w:rPr>
        <w:t>供应商</w:t>
      </w:r>
      <w:r>
        <w:rPr>
          <w:rFonts w:hint="eastAsia" w:ascii="仿宋" w:hAnsi="仿宋" w:eastAsia="仿宋" w:cs="仿宋"/>
          <w:color w:val="000000"/>
          <w:spacing w:val="6"/>
          <w:sz w:val="24"/>
          <w:highlight w:val="none"/>
        </w:rPr>
        <w:t>根据自身</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情况作解释性说明，不作为必填项</w:t>
      </w:r>
      <w:r>
        <w:rPr>
          <w:rFonts w:hint="eastAsia" w:ascii="仿宋" w:hAnsi="仿宋" w:eastAsia="仿宋" w:cs="仿宋"/>
          <w:color w:val="000000"/>
          <w:spacing w:val="6"/>
          <w:sz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pacing w:val="6"/>
          <w:sz w:val="24"/>
          <w:highlight w:val="none"/>
        </w:rPr>
        <w:t>三、</w:t>
      </w:r>
      <w:r>
        <w:rPr>
          <w:rFonts w:hint="eastAsia" w:ascii="仿宋" w:hAnsi="仿宋" w:eastAsia="仿宋" w:cs="仿宋"/>
          <w:color w:val="000000"/>
          <w:spacing w:val="6"/>
          <w:sz w:val="24"/>
          <w:highlight w:val="none"/>
          <w:lang w:eastAsia="zh-CN"/>
        </w:rPr>
        <w:t>未提供格式的由供应商自拟。</w:t>
      </w:r>
    </w:p>
    <w:p>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pPr>
        <w:pStyle w:val="12"/>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cs="仿宋"/>
          <w:b/>
          <w:bCs/>
          <w:color w:val="auto"/>
          <w:sz w:val="24"/>
        </w:rPr>
        <w:t>:</w:t>
      </w:r>
      <w:r>
        <w:rPr>
          <w:rFonts w:hint="eastAsia" w:ascii="仿宋" w:hAnsi="仿宋" w:eastAsia="仿宋" w:cs="仿宋"/>
          <w:b/>
          <w:bCs/>
          <w:color w:val="auto"/>
          <w:sz w:val="24"/>
          <w:szCs w:val="24"/>
        </w:rPr>
        <w:t>资格性响应文件封面</w:t>
      </w:r>
    </w:p>
    <w:p>
      <w:pPr>
        <w:rPr>
          <w:rFonts w:hint="eastAsia" w:ascii="仿宋" w:hAnsi="仿宋" w:eastAsia="仿宋" w:cs="仿宋"/>
          <w:color w:val="auto"/>
        </w:rPr>
      </w:pPr>
    </w:p>
    <w:p>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pPr>
                        <w:jc w:val="center"/>
                        <w:rPr>
                          <w:b/>
                          <w:sz w:val="36"/>
                          <w:szCs w:val="36"/>
                        </w:rPr>
                      </w:pPr>
                      <w:r>
                        <w:rPr>
                          <w:rFonts w:hint="eastAsia"/>
                          <w:b/>
                          <w:sz w:val="36"/>
                          <w:szCs w:val="36"/>
                        </w:rPr>
                        <w:t>正本或副本</w:t>
                      </w:r>
                    </w:p>
                  </w:txbxContent>
                </v:textbox>
              </v:rect>
            </w:pict>
          </mc:Fallback>
        </mc:AlternateContent>
      </w:r>
    </w:p>
    <w:p>
      <w:pPr>
        <w:pStyle w:val="23"/>
        <w:tabs>
          <w:tab w:val="left" w:leader="dot" w:pos="7380"/>
        </w:tabs>
        <w:spacing w:before="100" w:beforeAutospacing="1" w:after="50" w:line="380" w:lineRule="exac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pStyle w:val="12"/>
        <w:rPr>
          <w:rFonts w:hint="eastAsia" w:ascii="仿宋" w:hAnsi="仿宋" w:eastAsia="仿宋" w:cs="仿宋"/>
          <w:color w:val="auto"/>
        </w:rPr>
      </w:pPr>
    </w:p>
    <w:p>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pStyle w:val="12"/>
        <w:rPr>
          <w:rFonts w:hint="eastAsia" w:ascii="仿宋" w:hAnsi="仿宋" w:eastAsia="仿宋" w:cs="仿宋"/>
          <w:color w:val="auto"/>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tabs>
          <w:tab w:val="left" w:leader="dot" w:pos="7380"/>
        </w:tabs>
        <w:snapToGrid w:val="0"/>
        <w:spacing w:line="324" w:lineRule="auto"/>
        <w:ind w:firstLine="643" w:firstLineChars="200"/>
        <w:jc w:val="left"/>
        <w:rPr>
          <w:rFonts w:hint="default" w:ascii="宋体" w:hAnsi="宋体" w:eastAsia="宋体" w:cs="宋体"/>
          <w:b/>
          <w:bCs/>
          <w:color w:val="auto"/>
          <w:sz w:val="32"/>
          <w:szCs w:val="32"/>
          <w:lang w:val="en-US" w:eastAsia="zh-CN"/>
        </w:rPr>
      </w:pPr>
    </w:p>
    <w:p>
      <w:pPr>
        <w:tabs>
          <w:tab w:val="left" w:leader="dot" w:pos="7380"/>
        </w:tabs>
        <w:snapToGrid w:val="0"/>
        <w:spacing w:line="324" w:lineRule="auto"/>
        <w:jc w:val="center"/>
        <w:rPr>
          <w:rFonts w:hint="eastAsia" w:ascii="宋体" w:hAnsi="宋体" w:eastAsia="宋体" w:cs="宋体"/>
          <w:b/>
          <w:bCs/>
          <w:color w:val="auto"/>
          <w:sz w:val="32"/>
          <w:szCs w:val="32"/>
        </w:rPr>
      </w:pPr>
    </w:p>
    <w:p>
      <w:pPr>
        <w:tabs>
          <w:tab w:val="left" w:leader="dot" w:pos="7380"/>
        </w:tabs>
        <w:snapToGrid w:val="0"/>
        <w:spacing w:line="324" w:lineRule="auto"/>
        <w:jc w:val="center"/>
        <w:rPr>
          <w:rFonts w:hint="eastAsia" w:ascii="宋体" w:hAnsi="宋体" w:eastAsia="宋体" w:cs="宋体"/>
          <w:b/>
          <w:bCs/>
          <w:color w:val="auto"/>
          <w:sz w:val="32"/>
          <w:szCs w:val="32"/>
        </w:rPr>
      </w:pPr>
    </w:p>
    <w:p>
      <w:pPr>
        <w:pStyle w:val="12"/>
        <w:rPr>
          <w:rFonts w:hint="eastAsia" w:ascii="宋体" w:hAnsi="宋体" w:eastAsia="宋体" w:cs="宋体"/>
          <w:b/>
          <w:bCs/>
          <w:color w:val="auto"/>
          <w:sz w:val="32"/>
          <w:szCs w:val="32"/>
        </w:rPr>
      </w:pPr>
    </w:p>
    <w:p>
      <w:pPr>
        <w:pStyle w:val="9"/>
        <w:rPr>
          <w:rFonts w:hint="eastAsia" w:ascii="宋体" w:hAnsi="宋体" w:eastAsia="宋体" w:cs="宋体"/>
          <w:b/>
          <w:bCs/>
          <w:color w:val="auto"/>
          <w:sz w:val="32"/>
          <w:szCs w:val="32"/>
        </w:rPr>
      </w:pPr>
    </w:p>
    <w:p>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59" w:name="_Toc4357"/>
      <w:r>
        <w:rPr>
          <w:rFonts w:hint="eastAsia" w:ascii="仿宋" w:hAnsi="仿宋" w:eastAsia="仿宋" w:cs="仿宋"/>
          <w:b/>
          <w:bCs/>
          <w:color w:val="auto"/>
          <w:kern w:val="2"/>
          <w:sz w:val="24"/>
          <w:szCs w:val="24"/>
          <w:highlight w:val="none"/>
          <w:lang w:val="en-US" w:eastAsia="zh-CN" w:bidi="ar-SA"/>
        </w:rPr>
        <w:br w:type="page"/>
      </w:r>
    </w:p>
    <w:p>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cs="仿宋"/>
          <w:b/>
          <w:bCs/>
          <w:color w:val="auto"/>
          <w:sz w:val="24"/>
        </w:rPr>
        <w:t>:</w:t>
      </w:r>
      <w:r>
        <w:rPr>
          <w:rFonts w:hint="eastAsia" w:ascii="仿宋" w:hAnsi="仿宋" w:eastAsia="仿宋" w:cs="仿宋"/>
          <w:b/>
          <w:color w:val="auto"/>
          <w:sz w:val="24"/>
          <w:szCs w:val="24"/>
          <w:highlight w:val="none"/>
        </w:rPr>
        <w:t>法定代表人身份证明</w:t>
      </w:r>
      <w:bookmarkEnd w:id="59"/>
    </w:p>
    <w:p>
      <w:pPr>
        <w:widowControl/>
        <w:spacing w:line="360" w:lineRule="auto"/>
        <w:jc w:val="center"/>
        <w:outlineLvl w:val="9"/>
        <w:rPr>
          <w:rFonts w:hint="eastAsia" w:ascii="仿宋" w:hAnsi="仿宋" w:eastAsia="仿宋" w:cs="仿宋"/>
          <w:b/>
          <w:color w:val="auto"/>
          <w:sz w:val="36"/>
          <w:szCs w:val="36"/>
          <w:highlight w:val="none"/>
        </w:rPr>
      </w:pPr>
      <w:bookmarkStart w:id="60" w:name="_Toc12389"/>
      <w:r>
        <w:rPr>
          <w:rFonts w:hint="eastAsia" w:ascii="仿宋" w:hAnsi="仿宋" w:eastAsia="仿宋" w:cs="仿宋"/>
          <w:b/>
          <w:color w:val="auto"/>
          <w:sz w:val="36"/>
          <w:szCs w:val="36"/>
          <w:highlight w:val="none"/>
        </w:rPr>
        <w:t>法定代表人身份证明</w:t>
      </w:r>
      <w:bookmarkEnd w:id="60"/>
    </w:p>
    <w:p>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pPr>
        <w:spacing w:line="360" w:lineRule="auto"/>
        <w:ind w:left="0" w:leftChars="0" w:firstLine="480" w:firstLineChars="200"/>
        <w:rPr>
          <w:rFonts w:hint="eastAsia" w:ascii="仿宋" w:hAnsi="仿宋" w:eastAsia="仿宋" w:cs="仿宋"/>
          <w:color w:val="auto"/>
          <w:sz w:val="24"/>
          <w:szCs w:val="24"/>
          <w:highlight w:val="none"/>
          <w:lang w:eastAsia="zh-CN"/>
        </w:rPr>
      </w:pPr>
    </w:p>
    <w:p>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spacing w:line="360" w:lineRule="auto"/>
        <w:rPr>
          <w:rFonts w:hint="eastAsia" w:ascii="仿宋" w:hAnsi="仿宋" w:eastAsia="仿宋" w:cs="仿宋"/>
          <w:color w:val="auto"/>
          <w:szCs w:val="21"/>
          <w:highlight w:val="none"/>
        </w:rPr>
      </w:pPr>
    </w:p>
    <w:p>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r>
        <w:rPr>
          <w:rFonts w:hint="eastAsia" w:ascii="仿宋" w:hAnsi="仿宋" w:eastAsia="仿宋" w:cs="仿宋"/>
          <w:b/>
          <w:bCs/>
          <w:color w:val="auto"/>
          <w:kern w:val="2"/>
          <w:sz w:val="36"/>
          <w:szCs w:val="36"/>
          <w:highlight w:val="none"/>
          <w:lang w:val="en-US" w:eastAsia="zh-CN" w:bidi="ar-SA"/>
        </w:rPr>
        <w:t xml:space="preserve">  </w:t>
      </w:r>
    </w:p>
    <w:p>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r>
        <w:rPr>
          <w:rFonts w:hint="eastAsia" w:ascii="仿宋" w:hAnsi="仿宋" w:eastAsia="仿宋" w:cs="仿宋"/>
          <w:b w:val="0"/>
          <w:bCs/>
          <w:color w:val="auto"/>
          <w:spacing w:val="0"/>
          <w:sz w:val="24"/>
          <w:szCs w:val="24"/>
          <w:highlight w:val="none"/>
          <w:lang w:val="en-US" w:eastAsia="zh-CN"/>
        </w:rPr>
        <w:t xml:space="preserve"> </w:t>
      </w:r>
    </w:p>
    <w:p>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p>
      <w:pPr>
        <w:widowControl/>
        <w:spacing w:line="360" w:lineRule="auto"/>
        <w:ind w:firstLine="0" w:firstLineChars="0"/>
        <w:jc w:val="left"/>
        <w:outlineLvl w:val="9"/>
        <w:rPr>
          <w:rFonts w:hint="eastAsia" w:ascii="宋体" w:hAnsi="宋体" w:eastAsia="宋体" w:cs="宋体"/>
          <w:b/>
          <w:bCs/>
          <w:color w:val="auto"/>
          <w:sz w:val="24"/>
          <w:szCs w:val="24"/>
        </w:rPr>
      </w:pPr>
    </w:p>
    <w:p>
      <w:pPr>
        <w:widowControl/>
        <w:spacing w:line="360" w:lineRule="auto"/>
        <w:ind w:firstLine="0" w:firstLineChars="0"/>
        <w:jc w:val="left"/>
        <w:outlineLvl w:val="9"/>
        <w:rPr>
          <w:rFonts w:hint="eastAsia" w:ascii="宋体" w:hAnsi="宋体" w:eastAsia="宋体" w:cs="宋体"/>
          <w:b/>
          <w:bCs/>
          <w:color w:val="auto"/>
          <w:sz w:val="24"/>
          <w:szCs w:val="24"/>
        </w:rPr>
      </w:pPr>
    </w:p>
    <w:p>
      <w:pPr>
        <w:widowControl/>
        <w:spacing w:line="360" w:lineRule="auto"/>
        <w:ind w:firstLine="0" w:firstLineChars="0"/>
        <w:jc w:val="left"/>
        <w:outlineLvl w:val="9"/>
        <w:rPr>
          <w:rFonts w:hint="eastAsia" w:ascii="宋体" w:hAnsi="宋体" w:eastAsia="宋体" w:cs="宋体"/>
          <w:b/>
          <w:bCs/>
          <w:color w:val="auto"/>
          <w:sz w:val="24"/>
          <w:szCs w:val="24"/>
        </w:rPr>
      </w:pPr>
    </w:p>
    <w:p>
      <w:pPr>
        <w:widowControl/>
        <w:spacing w:line="360" w:lineRule="auto"/>
        <w:ind w:firstLine="0" w:firstLineChars="0"/>
        <w:jc w:val="left"/>
        <w:outlineLvl w:val="9"/>
        <w:rPr>
          <w:rFonts w:hint="eastAsia" w:ascii="宋体" w:hAnsi="宋体" w:eastAsia="宋体" w:cs="宋体"/>
          <w:b/>
          <w:bCs/>
          <w:color w:val="auto"/>
          <w:sz w:val="24"/>
          <w:szCs w:val="24"/>
        </w:rPr>
      </w:pPr>
    </w:p>
    <w:bookmarkEnd w:id="52"/>
    <w:bookmarkEnd w:id="53"/>
    <w:bookmarkEnd w:id="54"/>
    <w:bookmarkEnd w:id="55"/>
    <w:bookmarkEnd w:id="56"/>
    <w:bookmarkEnd w:id="57"/>
    <w:bookmarkEnd w:id="58"/>
    <w:p>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1" w:name="_Toc19094"/>
      <w:bookmarkStart w:id="62" w:name="_Toc30155"/>
      <w:r>
        <w:rPr>
          <w:rFonts w:hint="eastAsia" w:ascii="仿宋" w:hAnsi="仿宋" w:eastAsia="仿宋" w:cs="仿宋"/>
          <w:b/>
          <w:bCs/>
          <w:color w:val="auto"/>
          <w:kern w:val="2"/>
          <w:sz w:val="24"/>
          <w:szCs w:val="24"/>
          <w:highlight w:val="none"/>
          <w:lang w:val="en-US" w:eastAsia="zh-CN" w:bidi="ar-SA"/>
        </w:rPr>
        <w:br w:type="page"/>
      </w:r>
    </w:p>
    <w:p>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pPr>
        <w:spacing w:line="360" w:lineRule="auto"/>
        <w:ind w:left="0" w:leftChars="0" w:firstLine="0" w:firstLineChars="0"/>
        <w:jc w:val="center"/>
        <w:outlineLvl w:val="9"/>
        <w:rPr>
          <w:rFonts w:ascii="仿宋" w:hAnsi="仿宋" w:eastAsia="仿宋" w:cs="仿宋"/>
          <w:b/>
          <w:color w:val="auto"/>
          <w:sz w:val="24"/>
          <w:highlight w:val="none"/>
        </w:rPr>
      </w:pPr>
      <w:bookmarkStart w:id="63"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63"/>
    </w:p>
    <w:p>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pPr>
        <w:pStyle w:val="17"/>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本授权声明:___________（供应商名称）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rPr>
        <w:t>___________（法定代表人姓名、职务）授权_________（被授权人姓名、职务）为我方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rPr>
        <w:t xml:space="preserve"> ___________</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pPr>
        <w:pStyle w:val="17"/>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pPr>
        <w:pStyle w:val="17"/>
        <w:snapToGrid w:val="0"/>
        <w:spacing w:line="360" w:lineRule="auto"/>
        <w:ind w:left="0" w:leftChars="0" w:firstLine="480" w:firstLineChars="200"/>
        <w:rPr>
          <w:rFonts w:ascii="仿宋" w:hAnsi="仿宋" w:eastAsia="仿宋" w:cs="仿宋"/>
          <w:bCs/>
          <w:color w:val="auto"/>
          <w:sz w:val="24"/>
          <w:highlight w:val="none"/>
        </w:rPr>
      </w:pPr>
    </w:p>
    <w:p>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pPr>
        <w:pStyle w:val="17"/>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r>
        <w:rPr>
          <w:rFonts w:hint="eastAsia" w:ascii="仿宋" w:hAnsi="仿宋" w:eastAsia="仿宋" w:cs="仿宋"/>
          <w:bCs/>
          <w:color w:val="auto"/>
          <w:sz w:val="24"/>
          <w:szCs w:val="22"/>
          <w:highlight w:val="none"/>
        </w:rPr>
        <w:t xml:space="preserve">      </w:t>
      </w:r>
    </w:p>
    <w:p>
      <w:pPr>
        <w:pStyle w:val="17"/>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pPr>
        <w:pStyle w:val="17"/>
        <w:snapToGrid w:val="0"/>
        <w:spacing w:line="360" w:lineRule="auto"/>
        <w:ind w:left="0" w:leftChars="0" w:firstLine="480" w:firstLineChars="200"/>
        <w:rPr>
          <w:rFonts w:hint="eastAsia" w:ascii="仿宋" w:hAnsi="仿宋" w:eastAsia="仿宋" w:cs="仿宋"/>
          <w:bCs/>
          <w:color w:val="auto"/>
          <w:sz w:val="24"/>
          <w:szCs w:val="22"/>
          <w:highlight w:val="none"/>
        </w:rPr>
      </w:pPr>
    </w:p>
    <w:p>
      <w:pPr>
        <w:pStyle w:val="17"/>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 xml:space="preserve">说明： </w:t>
      </w:r>
      <w:r>
        <w:rPr>
          <w:rFonts w:hint="eastAsia" w:ascii="仿宋" w:hAnsi="仿宋" w:eastAsia="仿宋" w:cs="仿宋"/>
          <w:b w:val="0"/>
          <w:bCs/>
          <w:color w:val="auto"/>
          <w:spacing w:val="0"/>
          <w:sz w:val="24"/>
          <w:szCs w:val="24"/>
          <w:highlight w:val="none"/>
          <w:lang w:eastAsia="zh-CN"/>
        </w:rPr>
        <w:t>供应商代表为非法定代表人时提供。</w:t>
      </w:r>
    </w:p>
    <w:bookmarkEnd w:id="61"/>
    <w:bookmarkEnd w:id="62"/>
    <w:p>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szCs w:val="24"/>
          <w:highlight w:val="none"/>
          <w:lang w:eastAsia="zh-CN"/>
        </w:rPr>
        <w:t>资格声明函</w:t>
      </w:r>
    </w:p>
    <w:p>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pPr>
        <w:widowControl/>
        <w:spacing w:line="360" w:lineRule="auto"/>
        <w:jc w:val="left"/>
        <w:outlineLvl w:val="9"/>
        <w:rPr>
          <w:rFonts w:ascii="仿宋" w:hAnsi="仿宋" w:eastAsia="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sz w:val="24"/>
        </w:rPr>
        <w:t>具有独立承担民事责任的能力</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sz w:val="24"/>
        </w:rPr>
        <w:t>具有良好的商业信誉和健全的财务会计制度</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sz w:val="24"/>
        </w:rPr>
        <w:t>具有履行合同所必需的设备和专业技术能力</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sz w:val="24"/>
        </w:rPr>
        <w:t>有依法缴纳税收和社会保障资金的良好记录</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sz w:val="24"/>
        </w:rPr>
        <w:t>参加本次采购活动前三年内，在经营活动中没有重大违法记录；</w:t>
      </w:r>
    </w:p>
    <w:p>
      <w:pPr>
        <w:spacing w:line="360" w:lineRule="auto"/>
        <w:ind w:firstLine="480"/>
        <w:rPr>
          <w:rFonts w:hint="eastAsia" w:ascii="仿宋" w:hAnsi="仿宋" w:eastAsia="仿宋" w:cs="仿宋"/>
          <w:bCs/>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sz w:val="24"/>
        </w:rPr>
        <w:t>法律、行政法规规定的其他条件。</w:t>
      </w:r>
    </w:p>
    <w:p>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pPr>
        <w:widowControl/>
        <w:spacing w:line="360" w:lineRule="auto"/>
        <w:ind w:firstLine="480" w:firstLineChars="200"/>
        <w:jc w:val="left"/>
        <w:outlineLvl w:val="9"/>
        <w:rPr>
          <w:rFonts w:hint="eastAsia" w:ascii="仿宋" w:hAnsi="Times New Roman" w:eastAsia="仿宋" w:cs="仿宋"/>
          <w:bCs/>
          <w:color w:val="auto"/>
          <w:sz w:val="24"/>
          <w:highlight w:val="none"/>
          <w:lang w:eastAsia="zh-CN"/>
        </w:rPr>
      </w:pPr>
      <w:r>
        <w:rPr>
          <w:rFonts w:hint="eastAsia" w:ascii="仿宋" w:hAnsi="Times New Roman" w:eastAsia="仿宋" w:cs="仿宋"/>
          <w:bCs/>
          <w:color w:val="auto"/>
          <w:sz w:val="24"/>
          <w:highlight w:val="none"/>
          <w:lang w:eastAsia="zh-CN"/>
        </w:rPr>
        <w:t>八、</w:t>
      </w:r>
      <w:r>
        <w:rPr>
          <w:rFonts w:hint="eastAsia" w:ascii="仿宋" w:hAnsi="Times New Roman" w:eastAsia="仿宋" w:cs="仿宋"/>
          <w:bCs/>
          <w:color w:val="auto"/>
          <w:sz w:val="24"/>
          <w:highlight w:val="none"/>
        </w:rPr>
        <w:t>我单位及其现任法定代表人、主要负责人在参加本次</w:t>
      </w:r>
      <w:r>
        <w:rPr>
          <w:rFonts w:hint="eastAsia" w:ascii="仿宋" w:hAnsi="仿宋" w:eastAsia="仿宋" w:cs="仿宋"/>
          <w:color w:val="auto"/>
          <w:sz w:val="24"/>
          <w:szCs w:val="24"/>
        </w:rPr>
        <w:t>政府</w:t>
      </w:r>
      <w:r>
        <w:rPr>
          <w:rFonts w:hint="eastAsia" w:ascii="仿宋" w:hAnsi="Times New Roman" w:eastAsia="仿宋" w:cs="仿宋"/>
          <w:bCs/>
          <w:color w:val="auto"/>
          <w:sz w:val="24"/>
          <w:highlight w:val="none"/>
        </w:rPr>
        <w:t>采购活动前三年内无行贿犯罪记录</w:t>
      </w:r>
      <w:r>
        <w:rPr>
          <w:rFonts w:hint="eastAsia" w:ascii="仿宋" w:hAnsi="Times New Roman" w:eastAsia="仿宋" w:cs="仿宋"/>
          <w:bCs/>
          <w:color w:val="auto"/>
          <w:sz w:val="24"/>
          <w:highlight w:val="none"/>
          <w:lang w:eastAsia="zh-CN"/>
        </w:rPr>
        <w:t>。</w:t>
      </w:r>
    </w:p>
    <w:p>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九、我方符合第二章供应商须知前附表“充分、公平竞争保障措施”的规定。</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十、</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pPr>
        <w:widowControl/>
        <w:spacing w:line="360" w:lineRule="auto"/>
        <w:ind w:firstLine="480" w:firstLineChars="200"/>
        <w:jc w:val="left"/>
        <w:outlineLvl w:val="9"/>
        <w:rPr>
          <w:rFonts w:ascii="仿宋" w:hAnsi="仿宋" w:eastAsia="仿宋"/>
          <w:color w:val="auto"/>
          <w:sz w:val="24"/>
          <w:szCs w:val="24"/>
        </w:rPr>
      </w:pPr>
    </w:p>
    <w:p>
      <w:pPr>
        <w:widowControl/>
        <w:wordWrap w:val="0"/>
        <w:spacing w:line="360" w:lineRule="auto"/>
        <w:jc w:val="both"/>
        <w:outlineLvl w:val="9"/>
        <w:rPr>
          <w:rFonts w:hint="eastAsia" w:ascii="仿宋" w:hAnsi="仿宋" w:eastAsia="仿宋" w:cs="仿宋"/>
          <w:color w:val="auto"/>
          <w:sz w:val="24"/>
          <w:szCs w:val="24"/>
        </w:rPr>
      </w:pPr>
    </w:p>
    <w:p>
      <w:pPr>
        <w:widowControl/>
        <w:wordWrap w:val="0"/>
        <w:spacing w:line="360" w:lineRule="auto"/>
        <w:jc w:val="both"/>
        <w:outlineLvl w:val="9"/>
        <w:rPr>
          <w:rFonts w:hint="eastAsia" w:ascii="仿宋" w:hAnsi="仿宋" w:eastAsia="仿宋" w:cs="仿宋"/>
          <w:color w:val="auto"/>
          <w:sz w:val="24"/>
          <w:szCs w:val="24"/>
        </w:rPr>
      </w:pPr>
    </w:p>
    <w:p>
      <w:pPr>
        <w:widowControl/>
        <w:wordWrap w:val="0"/>
        <w:spacing w:line="360" w:lineRule="auto"/>
        <w:jc w:val="both"/>
        <w:outlineLvl w:val="9"/>
        <w:rPr>
          <w:rFonts w:hint="eastAsia" w:ascii="仿宋" w:hAnsi="仿宋" w:eastAsia="仿宋" w:cs="仿宋"/>
          <w:color w:val="auto"/>
          <w:sz w:val="24"/>
          <w:szCs w:val="24"/>
        </w:rPr>
      </w:pPr>
    </w:p>
    <w:p>
      <w:pPr>
        <w:widowControl/>
        <w:wordWrap w:val="0"/>
        <w:spacing w:line="360" w:lineRule="auto"/>
        <w:ind w:firstLine="480" w:firstLineChars="200"/>
        <w:jc w:val="both"/>
        <w:outlineLvl w:val="9"/>
        <w:rPr>
          <w:rFonts w:ascii="仿宋" w:hAnsi="仿宋" w:eastAsia="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r>
        <w:rPr>
          <w:rFonts w:ascii="仿宋" w:hAnsi="仿宋" w:eastAsia="仿宋" w:cs="仿宋"/>
          <w:color w:val="auto"/>
          <w:sz w:val="24"/>
          <w:szCs w:val="24"/>
        </w:rPr>
        <w:t xml:space="preserve">  </w:t>
      </w:r>
    </w:p>
    <w:p>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64" w:name="_Toc28757"/>
      <w:bookmarkStart w:id="65" w:name="_Toc28015"/>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highlight w:val="none"/>
          <w:lang w:eastAsia="zh-CN"/>
        </w:rPr>
        <w:t>供应商应提供的其他资格相关证明材料</w:t>
      </w:r>
    </w:p>
    <w:p>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64"/>
    <w:bookmarkEnd w:id="65"/>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66" w:name="_Toc21416"/>
      <w:bookmarkStart w:id="67" w:name="_Toc14975"/>
      <w:r>
        <w:rPr>
          <w:rFonts w:hint="eastAsia" w:ascii="仿宋" w:hAnsi="仿宋" w:eastAsia="仿宋" w:cs="仿宋"/>
          <w:b/>
          <w:bCs w:val="0"/>
          <w:color w:val="auto"/>
          <w:sz w:val="36"/>
          <w:szCs w:val="36"/>
          <w:highlight w:val="none"/>
          <w:lang w:eastAsia="zh-CN"/>
        </w:rPr>
        <w:br w:type="page"/>
      </w:r>
    </w:p>
    <w:bookmarkEnd w:id="66"/>
    <w:bookmarkEnd w:id="67"/>
    <w:p>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pPr>
        <w:pStyle w:val="12"/>
        <w:rPr>
          <w:rFonts w:hint="eastAsia"/>
          <w:color w:val="auto"/>
        </w:rPr>
      </w:pPr>
    </w:p>
    <w:p>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cs="仿宋"/>
          <w:b/>
          <w:bCs/>
          <w:color w:val="auto"/>
          <w:sz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pPr>
        <w:pStyle w:val="12"/>
        <w:rPr>
          <w:rFonts w:hint="eastAsia" w:ascii="仿宋" w:hAnsi="仿宋" w:eastAsia="仿宋" w:cs="仿宋"/>
          <w:b/>
          <w:bCs/>
          <w:color w:val="auto"/>
          <w:sz w:val="30"/>
          <w:szCs w:val="30"/>
        </w:rPr>
      </w:pPr>
    </w:p>
    <w:p>
      <w:pPr>
        <w:rPr>
          <w:rFonts w:hint="eastAsia" w:ascii="仿宋" w:hAnsi="仿宋" w:eastAsia="仿宋" w:cs="仿宋"/>
          <w:color w:val="auto"/>
        </w:rPr>
      </w:pPr>
    </w:p>
    <w:p>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pPr>
                        <w:spacing w:line="360" w:lineRule="auto"/>
                        <w:jc w:val="center"/>
                        <w:rPr>
                          <w:b/>
                          <w:sz w:val="36"/>
                          <w:szCs w:val="36"/>
                        </w:rPr>
                      </w:pPr>
                      <w:r>
                        <w:rPr>
                          <w:rFonts w:hint="eastAsia"/>
                          <w:b/>
                          <w:sz w:val="36"/>
                          <w:szCs w:val="36"/>
                        </w:rPr>
                        <w:t>正本或副本</w:t>
                      </w:r>
                    </w:p>
                  </w:txbxContent>
                </v:textbox>
              </v:rect>
            </w:pict>
          </mc:Fallback>
        </mc:AlternateContent>
      </w:r>
    </w:p>
    <w:p>
      <w:pPr>
        <w:pStyle w:val="23"/>
        <w:tabs>
          <w:tab w:val="left" w:leader="dot" w:pos="7380"/>
        </w:tabs>
        <w:spacing w:before="100" w:beforeAutospacing="1" w:after="50" w:line="380" w:lineRule="exact"/>
        <w:rPr>
          <w:rFonts w:hint="eastAsia" w:ascii="仿宋" w:hAnsi="仿宋" w:eastAsia="仿宋" w:cs="仿宋"/>
          <w:b/>
          <w:bCs/>
          <w:color w:val="auto"/>
          <w:sz w:val="32"/>
          <w:szCs w:val="32"/>
        </w:rPr>
      </w:pPr>
    </w:p>
    <w:p>
      <w:pPr>
        <w:tabs>
          <w:tab w:val="left" w:leader="dot" w:pos="7380"/>
        </w:tabs>
        <w:snapToGrid w:val="0"/>
        <w:jc w:val="center"/>
        <w:rPr>
          <w:rFonts w:hint="eastAsia" w:ascii="仿宋" w:hAnsi="仿宋" w:eastAsia="仿宋" w:cs="仿宋"/>
          <w:b/>
          <w:bCs/>
          <w:color w:val="auto"/>
          <w:sz w:val="84"/>
          <w:szCs w:val="84"/>
          <w:lang w:eastAsia="zh-CN"/>
        </w:rPr>
      </w:pPr>
    </w:p>
    <w:p>
      <w:pPr>
        <w:pStyle w:val="12"/>
        <w:rPr>
          <w:rFonts w:hint="eastAsia" w:ascii="仿宋" w:hAnsi="仿宋" w:eastAsia="仿宋" w:cs="仿宋"/>
          <w:color w:val="auto"/>
          <w:lang w:eastAsia="zh-CN"/>
        </w:rPr>
      </w:pPr>
    </w:p>
    <w:p>
      <w:pPr>
        <w:pStyle w:val="12"/>
        <w:rPr>
          <w:rFonts w:hint="eastAsia" w:ascii="仿宋" w:hAnsi="仿宋" w:eastAsia="仿宋" w:cs="仿宋"/>
          <w:color w:val="auto"/>
          <w:lang w:eastAsia="zh-CN"/>
        </w:rPr>
      </w:pPr>
    </w:p>
    <w:p>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pStyle w:val="12"/>
        <w:rPr>
          <w:rFonts w:hint="eastAsia" w:ascii="仿宋" w:hAnsi="仿宋" w:eastAsia="仿宋" w:cs="仿宋"/>
          <w:color w:val="auto"/>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68" w:name="_Toc31804"/>
      <w:bookmarkStart w:id="69" w:name="_Toc4383"/>
      <w:r>
        <w:rPr>
          <w:rFonts w:hint="eastAsia" w:ascii="仿宋" w:hAnsi="仿宋" w:eastAsia="仿宋" w:cs="仿宋"/>
          <w:b/>
          <w:bCs/>
          <w:color w:val="auto"/>
          <w:kern w:val="2"/>
          <w:sz w:val="24"/>
          <w:szCs w:val="24"/>
          <w:highlight w:val="none"/>
          <w:lang w:val="en-US" w:eastAsia="zh-CN" w:bidi="ar-SA"/>
        </w:rPr>
        <w:br w:type="page"/>
      </w:r>
    </w:p>
    <w:bookmarkEnd w:id="68"/>
    <w:bookmarkEnd w:id="69"/>
    <w:p>
      <w:pPr>
        <w:pStyle w:val="6"/>
        <w:rPr>
          <w:rStyle w:val="78"/>
          <w:rFonts w:hint="eastAsia" w:ascii="仿宋" w:hAnsi="仿宋" w:eastAsia="仿宋" w:cs="仿宋"/>
          <w:b/>
          <w:color w:val="auto"/>
          <w:sz w:val="32"/>
          <w:szCs w:val="32"/>
        </w:rPr>
      </w:pPr>
      <w:bookmarkStart w:id="70" w:name="_Toc28170"/>
      <w:bookmarkStart w:id="71" w:name="_Toc21273"/>
      <w:bookmarkStart w:id="72" w:name="_Toc4608"/>
      <w:r>
        <w:rPr>
          <w:rStyle w:val="118"/>
          <w:rFonts w:hint="eastAsia" w:ascii="仿宋" w:hAnsi="仿宋" w:cs="仿宋"/>
          <w:b/>
          <w:color w:val="auto"/>
          <w:sz w:val="24"/>
          <w:szCs w:val="24"/>
          <w:highlight w:val="none"/>
        </w:rPr>
        <w:t>格式</w:t>
      </w:r>
      <w:r>
        <w:rPr>
          <w:rStyle w:val="118"/>
          <w:rFonts w:hint="eastAsia" w:ascii="仿宋" w:hAnsi="仿宋" w:cs="仿宋"/>
          <w:b/>
          <w:color w:val="auto"/>
          <w:sz w:val="24"/>
          <w:szCs w:val="24"/>
          <w:highlight w:val="none"/>
          <w:lang w:val="en-US" w:eastAsia="zh-CN"/>
        </w:rPr>
        <w:t>2-2</w:t>
      </w:r>
      <w:r>
        <w:rPr>
          <w:rFonts w:hint="eastAsia" w:ascii="仿宋" w:hAnsi="仿宋" w:cs="仿宋"/>
          <w:b/>
          <w:bCs/>
          <w:color w:val="auto"/>
          <w:sz w:val="24"/>
          <w:szCs w:val="24"/>
          <w:highlight w:val="none"/>
          <w:lang w:val="en-US" w:eastAsia="zh-CN"/>
        </w:rPr>
        <w:t>:</w:t>
      </w:r>
      <w:r>
        <w:rPr>
          <w:rStyle w:val="118"/>
          <w:rFonts w:hint="eastAsia" w:ascii="仿宋" w:hAnsi="仿宋" w:cs="仿宋"/>
          <w:b/>
          <w:color w:val="auto"/>
          <w:sz w:val="24"/>
          <w:szCs w:val="24"/>
          <w:highlight w:val="none"/>
          <w:lang w:val="en-US" w:eastAsia="zh-CN"/>
        </w:rPr>
        <w:t>技术服务偏离表</w:t>
      </w:r>
    </w:p>
    <w:p>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技术服务偏离表</w:t>
      </w:r>
    </w:p>
    <w:p>
      <w:pPr>
        <w:pStyle w:val="12"/>
        <w:rPr>
          <w:rFonts w:hint="eastAsia"/>
        </w:rPr>
      </w:pP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pPr>
        <w:pStyle w:val="20"/>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pPr>
              <w:snapToGrid w:val="0"/>
              <w:spacing w:line="360" w:lineRule="auto"/>
              <w:ind w:left="317" w:hanging="316" w:hangingChars="132"/>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bl>
    <w:p>
      <w:pPr>
        <w:snapToGrid w:val="0"/>
        <w:spacing w:line="360" w:lineRule="auto"/>
        <w:ind w:left="480" w:hanging="480" w:hangingChars="200"/>
        <w:rPr>
          <w:rFonts w:ascii="仿宋" w:hAnsi="仿宋" w:eastAsia="仿宋" w:cs="仿宋"/>
          <w:color w:val="auto"/>
          <w:sz w:val="24"/>
        </w:rPr>
      </w:pPr>
    </w:p>
    <w:p>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“技术参数要求”逐条进行应答</w:t>
      </w:r>
      <w:r>
        <w:rPr>
          <w:rFonts w:hint="eastAsia" w:ascii="仿宋" w:hAnsi="仿宋" w:eastAsia="仿宋" w:cs="仿宋"/>
          <w:bCs/>
          <w:color w:val="auto"/>
          <w:sz w:val="24"/>
        </w:rPr>
        <w:t>。</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pPr>
        <w:snapToGrid w:val="0"/>
        <w:spacing w:line="360" w:lineRule="auto"/>
        <w:ind w:firstLine="480" w:firstLineChars="200"/>
        <w:rPr>
          <w:rFonts w:ascii="仿宋" w:hAnsi="仿宋" w:eastAsia="仿宋" w:cs="仿宋"/>
          <w:bCs/>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Style w:val="118"/>
          <w:rFonts w:ascii="仿宋" w:hAnsi="仿宋" w:eastAsia="仿宋" w:cs="仿宋"/>
          <w:b/>
          <w:color w:val="auto"/>
          <w:sz w:val="24"/>
          <w:szCs w:val="24"/>
          <w:highlight w:val="none"/>
        </w:rPr>
      </w:pPr>
      <w:r>
        <w:rPr>
          <w:rStyle w:val="118"/>
          <w:rFonts w:ascii="仿宋" w:hAnsi="仿宋" w:eastAsia="仿宋" w:cs="仿宋"/>
          <w:b/>
          <w:color w:val="auto"/>
          <w:sz w:val="24"/>
          <w:szCs w:val="24"/>
          <w:highlight w:val="none"/>
        </w:rPr>
        <w:br w:type="page"/>
      </w:r>
    </w:p>
    <w:p>
      <w:pPr>
        <w:pStyle w:val="6"/>
        <w:rPr>
          <w:rFonts w:ascii="仿宋" w:hAnsi="仿宋" w:eastAsia="仿宋" w:cs="仿宋"/>
          <w:color w:val="auto"/>
        </w:rPr>
      </w:pPr>
      <w:bookmarkStart w:id="73" w:name="_Toc11475"/>
      <w:bookmarkStart w:id="74" w:name="_Toc10055"/>
      <w:bookmarkStart w:id="75" w:name="_Toc29373"/>
      <w:bookmarkStart w:id="76" w:name="_Toc32720"/>
      <w:bookmarkStart w:id="77" w:name="_Toc2644"/>
      <w:bookmarkStart w:id="78" w:name="_Toc9203"/>
      <w:bookmarkStart w:id="79" w:name="_Toc13871"/>
      <w:bookmarkStart w:id="80" w:name="_Toc14958"/>
      <w:bookmarkStart w:id="81" w:name="_Toc16062"/>
      <w:bookmarkStart w:id="82" w:name="_Toc28456"/>
      <w:bookmarkStart w:id="83" w:name="_Toc5274"/>
      <w:r>
        <w:rPr>
          <w:rStyle w:val="118"/>
          <w:rFonts w:ascii="仿宋" w:hAnsi="仿宋" w:eastAsia="仿宋" w:cs="仿宋"/>
          <w:b/>
          <w:color w:val="auto"/>
          <w:sz w:val="24"/>
          <w:szCs w:val="24"/>
          <w:highlight w:val="none"/>
        </w:rPr>
        <w:t>格式</w:t>
      </w:r>
      <w:bookmarkEnd w:id="73"/>
      <w:r>
        <w:rPr>
          <w:rStyle w:val="118"/>
          <w:rFonts w:hint="eastAsia" w:ascii="仿宋" w:hAnsi="仿宋" w:cs="仿宋"/>
          <w:b/>
          <w:color w:val="auto"/>
          <w:sz w:val="24"/>
          <w:szCs w:val="24"/>
          <w:highlight w:val="none"/>
          <w:lang w:val="en-US" w:eastAsia="zh-CN"/>
        </w:rPr>
        <w:t>2-3</w:t>
      </w:r>
      <w:r>
        <w:rPr>
          <w:rFonts w:hint="eastAsia" w:ascii="仿宋" w:hAnsi="仿宋" w:cs="仿宋"/>
          <w:b/>
          <w:bCs/>
          <w:color w:val="auto"/>
          <w:sz w:val="24"/>
          <w:szCs w:val="24"/>
          <w:highlight w:val="none"/>
          <w:lang w:val="en-US" w:eastAsia="zh-CN"/>
        </w:rPr>
        <w:t>:</w:t>
      </w:r>
      <w:bookmarkEnd w:id="74"/>
      <w:bookmarkEnd w:id="75"/>
      <w:bookmarkEnd w:id="76"/>
      <w:bookmarkEnd w:id="77"/>
      <w:bookmarkEnd w:id="78"/>
      <w:bookmarkEnd w:id="79"/>
      <w:bookmarkEnd w:id="80"/>
      <w:bookmarkEnd w:id="81"/>
      <w:bookmarkEnd w:id="82"/>
      <w:bookmarkEnd w:id="83"/>
      <w:r>
        <w:rPr>
          <w:rFonts w:hint="eastAsia" w:ascii="仿宋" w:hAnsi="仿宋" w:eastAsia="仿宋" w:cs="仿宋"/>
          <w:b/>
          <w:bCs/>
          <w:color w:val="auto"/>
          <w:spacing w:val="-2"/>
          <w:sz w:val="24"/>
          <w:szCs w:val="24"/>
          <w:highlight w:val="none"/>
          <w:lang w:eastAsia="zh-CN"/>
        </w:rPr>
        <w:t>商务服务应答表</w:t>
      </w:r>
    </w:p>
    <w:p>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pPr>
        <w:pStyle w:val="12"/>
        <w:jc w:val="center"/>
        <w:rPr>
          <w:rFonts w:hint="default" w:ascii="Times New Roman" w:hAnsi="Times New Roman" w:eastAsia="宋体" w:cs="Times New Roman"/>
          <w:color w:val="auto"/>
          <w:sz w:val="18"/>
          <w:lang w:eastAsia="zh-CN"/>
        </w:rPr>
      </w:pP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pPr>
        <w:pStyle w:val="20"/>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pPr>
              <w:snapToGrid w:val="0"/>
              <w:spacing w:line="360" w:lineRule="auto"/>
              <w:ind w:left="317" w:hanging="316" w:hangingChars="132"/>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bl>
    <w:p>
      <w:pPr>
        <w:snapToGrid w:val="0"/>
        <w:spacing w:line="360" w:lineRule="auto"/>
        <w:ind w:left="480" w:hanging="480" w:hangingChars="200"/>
        <w:rPr>
          <w:rFonts w:ascii="仿宋" w:hAnsi="仿宋" w:eastAsia="仿宋" w:cs="仿宋"/>
          <w:bCs/>
          <w:color w:val="auto"/>
          <w:sz w:val="24"/>
        </w:rPr>
      </w:pPr>
    </w:p>
    <w:p>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“商务要求”逐条进行应答</w:t>
      </w:r>
      <w:r>
        <w:rPr>
          <w:rFonts w:hint="eastAsia" w:ascii="仿宋" w:hAnsi="仿宋" w:eastAsia="仿宋" w:cs="仿宋"/>
          <w:bCs/>
          <w:color w:val="auto"/>
          <w:sz w:val="24"/>
        </w:rPr>
        <w:t>。</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w:t>
      </w:r>
      <w:r>
        <w:rPr>
          <w:rFonts w:hint="eastAsia" w:ascii="仿宋" w:hAnsi="仿宋" w:eastAsia="仿宋" w:cs="仿宋"/>
          <w:bCs/>
          <w:color w:val="000000" w:themeColor="text1"/>
          <w:sz w:val="24"/>
          <w14:textFill>
            <w14:solidFill>
              <w14:schemeClr w14:val="tx1"/>
            </w14:solidFill>
          </w14:textFill>
        </w:rPr>
        <w:t>判</w:t>
      </w:r>
      <w:r>
        <w:rPr>
          <w:rFonts w:hint="eastAsia" w:ascii="仿宋" w:hAnsi="仿宋" w:eastAsia="仿宋" w:cs="仿宋"/>
          <w:bCs/>
          <w:color w:val="000000" w:themeColor="text1"/>
          <w:sz w:val="24"/>
          <w:lang w:eastAsia="zh-CN"/>
          <w14:textFill>
            <w14:solidFill>
              <w14:schemeClr w14:val="tx1"/>
            </w14:solidFill>
          </w14:textFill>
        </w:rPr>
        <w:t>文件</w:t>
      </w:r>
      <w:r>
        <w:rPr>
          <w:rFonts w:hint="eastAsia" w:ascii="仿宋" w:hAnsi="仿宋" w:eastAsia="仿宋" w:cs="仿宋"/>
          <w:bCs/>
          <w:color w:val="000000" w:themeColor="text1"/>
          <w:sz w:val="24"/>
          <w14:textFill>
            <w14:solidFill>
              <w14:schemeClr w14:val="tx1"/>
            </w14:solidFill>
          </w14:textFill>
        </w:rPr>
        <w:t>商</w:t>
      </w:r>
      <w:r>
        <w:rPr>
          <w:rFonts w:hint="eastAsia" w:ascii="仿宋" w:hAnsi="仿宋" w:eastAsia="仿宋" w:cs="仿宋"/>
          <w:bCs/>
          <w:color w:val="auto"/>
          <w:sz w:val="24"/>
        </w:rPr>
        <w:t>务要求的顺序对应填写。</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pPr>
        <w:snapToGrid w:val="0"/>
        <w:spacing w:line="360" w:lineRule="auto"/>
        <w:ind w:firstLine="480" w:firstLineChars="200"/>
        <w:rPr>
          <w:rFonts w:ascii="仿宋" w:hAnsi="仿宋" w:eastAsia="仿宋" w:cs="仿宋"/>
          <w:bCs/>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pStyle w:val="6"/>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pPr>
        <w:pStyle w:val="12"/>
        <w:jc w:val="center"/>
        <w:rPr>
          <w:rFonts w:hint="eastAsia" w:ascii="仿宋" w:hAnsi="仿宋" w:eastAsia="仿宋" w:cs="仿宋"/>
          <w:b/>
          <w:bCs/>
          <w:color w:val="auto"/>
          <w:sz w:val="36"/>
          <w:szCs w:val="36"/>
        </w:rPr>
      </w:pPr>
    </w:p>
    <w:p>
      <w:pPr>
        <w:jc w:val="center"/>
        <w:rPr>
          <w:rFonts w:hint="default" w:ascii="Times New Roman" w:hAnsi="Times New Roman" w:eastAsia="宋体" w:cs="Times New Roman"/>
          <w:color w:val="auto"/>
          <w:sz w:val="21"/>
          <w:szCs w:val="24"/>
        </w:rPr>
      </w:pPr>
    </w:p>
    <w:tbl>
      <w:tblPr>
        <w:tblStyle w:val="2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bl>
    <w:p>
      <w:pPr>
        <w:snapToGrid w:val="0"/>
        <w:spacing w:line="360" w:lineRule="auto"/>
        <w:ind w:firstLine="480" w:firstLineChars="200"/>
        <w:rPr>
          <w:rFonts w:ascii="仿宋" w:hAnsi="仿宋" w:eastAsia="仿宋" w:cs="仿宋"/>
          <w:color w:val="auto"/>
          <w:sz w:val="24"/>
        </w:rPr>
      </w:pPr>
    </w:p>
    <w:p>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bCs/>
          <w:color w:val="auto"/>
          <w:sz w:val="24"/>
        </w:rPr>
      </w:pPr>
      <w:bookmarkStart w:id="84" w:name="_Toc9098_WPSOffice_Level2"/>
      <w:bookmarkStart w:id="85" w:name="_Toc7155"/>
      <w:bookmarkStart w:id="86" w:name="_Toc22168"/>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pStyle w:val="23"/>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pPr>
        <w:rPr>
          <w:rFonts w:ascii="仿宋" w:hAnsi="仿宋" w:eastAsia="仿宋" w:cs="仿宋"/>
          <w:color w:val="auto"/>
        </w:rPr>
      </w:pPr>
      <w:r>
        <w:rPr>
          <w:rFonts w:hint="eastAsia" w:ascii="仿宋" w:hAnsi="仿宋" w:eastAsia="仿宋" w:cs="仿宋"/>
          <w:color w:val="auto"/>
        </w:rPr>
        <w:br w:type="page"/>
      </w:r>
    </w:p>
    <w:bookmarkEnd w:id="84"/>
    <w:bookmarkEnd w:id="85"/>
    <w:bookmarkEnd w:id="86"/>
    <w:p>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87" w:name="_Toc23168"/>
      <w:bookmarkStart w:id="88" w:name="_Toc32408"/>
      <w:bookmarkStart w:id="89" w:name="_Toc10907_WPSOffice_Level2"/>
      <w:bookmarkStart w:id="90" w:name="_Toc5095"/>
      <w:bookmarkStart w:id="91" w:name="_Toc1227"/>
      <w:bookmarkStart w:id="92" w:name="_Toc22748"/>
      <w:bookmarkStart w:id="93" w:name="_Toc226877196"/>
      <w:bookmarkStart w:id="94" w:name="_Toc18047"/>
      <w:bookmarkStart w:id="95" w:name="_Toc27414"/>
      <w:bookmarkStart w:id="96" w:name="_Toc32510"/>
      <w:bookmarkStart w:id="97" w:name="_Toc12168"/>
      <w:bookmarkStart w:id="98" w:name="_Toc32367"/>
      <w:bookmarkStart w:id="99" w:name="_Toc3253"/>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cs="仿宋"/>
          <w:b/>
          <w:bCs/>
          <w:color w:val="auto"/>
          <w:sz w:val="24"/>
        </w:rPr>
        <w:t>:</w:t>
      </w:r>
      <w:r>
        <w:rPr>
          <w:rFonts w:hint="eastAsia" w:ascii="仿宋" w:hAnsi="仿宋" w:eastAsia="仿宋" w:cs="仿宋"/>
          <w:b/>
          <w:bCs/>
          <w:color w:val="auto"/>
          <w:spacing w:val="-2"/>
          <w:kern w:val="0"/>
          <w:sz w:val="24"/>
          <w:szCs w:val="24"/>
          <w:highlight w:val="none"/>
          <w:lang w:val="en-US" w:eastAsia="zh-CN" w:bidi="ar-SA"/>
        </w:rPr>
        <w:t>项目实施及售后服务方案</w:t>
      </w:r>
    </w:p>
    <w:p>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pPr>
        <w:jc w:val="center"/>
        <w:outlineLvl w:val="9"/>
        <w:rPr>
          <w:rFonts w:ascii="仿宋" w:hAnsi="仿宋" w:eastAsia="仿宋" w:cs="仿宋"/>
          <w:color w:val="auto"/>
          <w:spacing w:val="-2"/>
          <w:sz w:val="36"/>
          <w:szCs w:val="36"/>
        </w:rPr>
      </w:pPr>
      <w:bookmarkStart w:id="100" w:name="_Toc14948"/>
      <w:bookmarkStart w:id="101" w:name="_Toc31522"/>
      <w:r>
        <w:rPr>
          <w:rFonts w:hint="eastAsia" w:ascii="仿宋" w:hAnsi="仿宋" w:eastAsia="仿宋" w:cs="仿宋"/>
          <w:b/>
          <w:bCs/>
          <w:color w:val="000000"/>
          <w:spacing w:val="-2"/>
          <w:sz w:val="36"/>
          <w:szCs w:val="36"/>
          <w:highlight w:val="none"/>
        </w:rPr>
        <w:t>项目实施及售后服务方案</w:t>
      </w:r>
      <w:bookmarkEnd w:id="100"/>
      <w:bookmarkEnd w:id="101"/>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pPr>
        <w:rPr>
          <w:rFonts w:hint="eastAsia" w:ascii="仿宋" w:hAnsi="仿宋" w:eastAsia="仿宋" w:cs="仿宋"/>
          <w:bCs/>
          <w:color w:val="auto"/>
        </w:rPr>
      </w:pPr>
      <w:r>
        <w:rPr>
          <w:rFonts w:hint="eastAsia" w:ascii="仿宋" w:hAnsi="仿宋" w:eastAsia="仿宋" w:cs="仿宋"/>
          <w:bCs/>
          <w:color w:val="auto"/>
        </w:rPr>
        <w:br w:type="page"/>
      </w:r>
    </w:p>
    <w:bookmarkEnd w:id="87"/>
    <w:bookmarkEnd w:id="88"/>
    <w:bookmarkEnd w:id="89"/>
    <w:bookmarkEnd w:id="90"/>
    <w:bookmarkEnd w:id="91"/>
    <w:bookmarkEnd w:id="92"/>
    <w:bookmarkEnd w:id="93"/>
    <w:bookmarkEnd w:id="94"/>
    <w:bookmarkEnd w:id="95"/>
    <w:bookmarkEnd w:id="96"/>
    <w:bookmarkEnd w:id="97"/>
    <w:bookmarkEnd w:id="98"/>
    <w:bookmarkEnd w:id="99"/>
    <w:p>
      <w:pPr>
        <w:pStyle w:val="12"/>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供应商基本情况表</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pPr>
        <w:autoSpaceDE w:val="0"/>
        <w:autoSpaceDN w:val="0"/>
        <w:snapToGrid w:val="0"/>
        <w:spacing w:line="360" w:lineRule="auto"/>
        <w:jc w:val="center"/>
        <w:rPr>
          <w:rFonts w:ascii="仿宋" w:hAnsi="仿宋" w:eastAsia="仿宋" w:cs="仿宋"/>
          <w:color w:val="auto"/>
          <w:sz w:val="20"/>
        </w:rPr>
      </w:pPr>
    </w:p>
    <w:tbl>
      <w:tblPr>
        <w:tblStyle w:val="26"/>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pPr>
              <w:autoSpaceDE w:val="0"/>
              <w:autoSpaceDN w:val="0"/>
              <w:snapToGrid w:val="0"/>
              <w:jc w:val="center"/>
              <w:rPr>
                <w:rFonts w:ascii="仿宋" w:hAnsi="仿宋" w:eastAsia="仿宋" w:cs="仿宋"/>
                <w:color w:val="auto"/>
                <w:sz w:val="24"/>
              </w:rPr>
            </w:pPr>
          </w:p>
        </w:tc>
        <w:tc>
          <w:tcPr>
            <w:tcW w:w="1120"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pPr>
              <w:autoSpaceDE w:val="0"/>
              <w:autoSpaceDN w:val="0"/>
              <w:snapToGrid w:val="0"/>
              <w:jc w:val="center"/>
              <w:rPr>
                <w:rFonts w:ascii="仿宋" w:hAnsi="仿宋" w:eastAsia="仿宋" w:cs="仿宋"/>
                <w:color w:val="auto"/>
                <w:sz w:val="24"/>
              </w:rPr>
            </w:pPr>
          </w:p>
        </w:tc>
        <w:tc>
          <w:tcPr>
            <w:tcW w:w="1335"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pPr>
              <w:autoSpaceDE w:val="0"/>
              <w:autoSpaceDN w:val="0"/>
              <w:snapToGrid w:val="0"/>
              <w:jc w:val="center"/>
              <w:rPr>
                <w:rFonts w:ascii="仿宋" w:hAnsi="仿宋" w:eastAsia="仿宋" w:cs="仿宋"/>
                <w:color w:val="auto"/>
                <w:sz w:val="24"/>
              </w:rPr>
            </w:pPr>
          </w:p>
        </w:tc>
        <w:tc>
          <w:tcPr>
            <w:tcW w:w="1187"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pPr>
              <w:autoSpaceDE w:val="0"/>
              <w:autoSpaceDN w:val="0"/>
              <w:snapToGrid w:val="0"/>
              <w:jc w:val="center"/>
              <w:rPr>
                <w:rFonts w:ascii="仿宋" w:hAnsi="仿宋" w:eastAsia="仿宋" w:cs="仿宋"/>
                <w:color w:val="auto"/>
                <w:sz w:val="24"/>
              </w:rPr>
            </w:pPr>
          </w:p>
        </w:tc>
        <w:tc>
          <w:tcPr>
            <w:tcW w:w="1335"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pPr>
              <w:autoSpaceDE w:val="0"/>
              <w:autoSpaceDN w:val="0"/>
              <w:snapToGrid w:val="0"/>
              <w:jc w:val="center"/>
              <w:rPr>
                <w:rFonts w:ascii="仿宋" w:hAnsi="仿宋" w:eastAsia="仿宋" w:cs="仿宋"/>
                <w:color w:val="auto"/>
                <w:sz w:val="24"/>
              </w:rPr>
            </w:pPr>
          </w:p>
        </w:tc>
        <w:tc>
          <w:tcPr>
            <w:tcW w:w="1187"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5807" w:type="dxa"/>
            <w:gridSpan w:val="6"/>
            <w:vAlign w:val="center"/>
          </w:tcPr>
          <w:p>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restart"/>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pPr>
              <w:autoSpaceDE w:val="0"/>
              <w:autoSpaceDN w:val="0"/>
              <w:snapToGrid w:val="0"/>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pPr>
              <w:autoSpaceDE w:val="0"/>
              <w:autoSpaceDN w:val="0"/>
              <w:snapToGrid w:val="0"/>
              <w:jc w:val="left"/>
              <w:rPr>
                <w:rFonts w:ascii="仿宋" w:hAnsi="仿宋" w:eastAsia="仿宋" w:cs="仿宋"/>
                <w:color w:val="auto"/>
                <w:sz w:val="24"/>
              </w:rPr>
            </w:pPr>
          </w:p>
        </w:tc>
      </w:tr>
    </w:tbl>
    <w:p>
      <w:pPr>
        <w:snapToGrid w:val="0"/>
        <w:spacing w:line="360" w:lineRule="auto"/>
        <w:rPr>
          <w:rFonts w:ascii="仿宋" w:hAnsi="仿宋" w:eastAsia="仿宋" w:cs="仿宋"/>
          <w:b/>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pPr>
        <w:outlineLvl w:val="2"/>
        <w:rPr>
          <w:rFonts w:hint="eastAsia" w:ascii="仿宋" w:hAnsi="仿宋" w:eastAsia="仿宋" w:cs="仿宋"/>
          <w:b/>
          <w:bCs/>
          <w:color w:val="auto"/>
          <w:sz w:val="24"/>
          <w:lang w:eastAsia="zh-CN"/>
        </w:rPr>
      </w:pPr>
      <w:bookmarkStart w:id="102" w:name="_Toc24697"/>
      <w:bookmarkStart w:id="103" w:name="_Toc32072"/>
      <w:bookmarkStart w:id="104" w:name="_Toc20691"/>
      <w:bookmarkStart w:id="105" w:name="_Toc959"/>
      <w:bookmarkStart w:id="106" w:name="_Toc4738"/>
      <w:bookmarkStart w:id="107" w:name="_Toc17041"/>
      <w:bookmarkStart w:id="108" w:name="_Toc9892"/>
      <w:bookmarkStart w:id="109" w:name="_Toc29119"/>
      <w:bookmarkStart w:id="110" w:name="_Toc16554"/>
      <w:bookmarkStart w:id="111" w:name="_Toc32011"/>
      <w:bookmarkStart w:id="112" w:name="_Toc12453"/>
      <w:r>
        <w:rPr>
          <w:rStyle w:val="118"/>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cs="仿宋"/>
          <w:b/>
          <w:bCs/>
          <w:color w:val="auto"/>
          <w:sz w:val="24"/>
        </w:rPr>
        <w:t>:</w:t>
      </w:r>
      <w:r>
        <w:rPr>
          <w:rFonts w:hint="eastAsia" w:ascii="仿宋" w:hAnsi="仿宋" w:eastAsia="仿宋" w:cs="仿宋"/>
          <w:b/>
          <w:bCs/>
          <w:color w:val="auto"/>
          <w:sz w:val="24"/>
          <w:lang w:eastAsia="zh-CN"/>
        </w:rPr>
        <w:t>首轮报价一览表</w:t>
      </w: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spacing w:val="-2"/>
          <w:sz w:val="36"/>
          <w:szCs w:val="36"/>
          <w:highlight w:val="none"/>
          <w:lang w:eastAsia="zh-CN"/>
        </w:rPr>
        <w:t>首轮报价一览表</w:t>
      </w:r>
    </w:p>
    <w:p>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（实质性要求）</w:t>
      </w:r>
    </w:p>
    <w:p>
      <w:pPr>
        <w:spacing w:after="120" w:line="240" w:lineRule="auto"/>
        <w:jc w:val="both"/>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000000" w:themeColor="text1"/>
          <w:sz w:val="21"/>
          <w:szCs w:val="21"/>
          <w:highlight w:val="none"/>
          <w14:textFill>
            <w14:solidFill>
              <w14:schemeClr w14:val="tx1"/>
            </w14:solidFill>
          </w14:textFill>
        </w:rPr>
        <w:t>项目编号：JRZB-2024-Q066</w:t>
      </w:r>
    </w:p>
    <w:p>
      <w:pPr>
        <w:spacing w:after="120" w:line="240" w:lineRule="auto"/>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项目名称：富顺县中医医院CT袋、DR袋、药袋、黄色医疗垃圾袋等采购项目</w:t>
      </w:r>
    </w:p>
    <w:p>
      <w:pPr>
        <w:pStyle w:val="24"/>
        <w:ind w:left="0" w:leftChars="0" w:firstLine="0" w:firstLineChars="0"/>
        <w:rPr>
          <w:rFonts w:hint="eastAsia" w:ascii="仿宋" w:hAnsi="仿宋" w:eastAsia="仿宋" w:cs="仿宋"/>
        </w:rPr>
      </w:pPr>
    </w:p>
    <w:tbl>
      <w:tblPr>
        <w:tblStyle w:val="26"/>
        <w:tblpPr w:leftFromText="180" w:rightFromText="180" w:vertAnchor="text" w:horzAnchor="margin" w:tblpXSpec="center" w:tblpY="-11"/>
        <w:tblOverlap w:val="never"/>
        <w:tblW w:w="10261" w:type="dxa"/>
        <w:jc w:val="center"/>
        <w:tblLayout w:type="fixed"/>
        <w:tblCellMar>
          <w:top w:w="15" w:type="dxa"/>
          <w:left w:w="15" w:type="dxa"/>
          <w:bottom w:w="15" w:type="dxa"/>
          <w:right w:w="15" w:type="dxa"/>
        </w:tblCellMar>
      </w:tblPr>
      <w:tblGrid>
        <w:gridCol w:w="510"/>
        <w:gridCol w:w="2685"/>
        <w:gridCol w:w="1215"/>
        <w:gridCol w:w="1560"/>
        <w:gridCol w:w="1095"/>
        <w:gridCol w:w="885"/>
        <w:gridCol w:w="1125"/>
        <w:gridCol w:w="1186"/>
      </w:tblGrid>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标的号</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标的名称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袋子厚度</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型号（mm）</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预计数量</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（份）</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每份限价</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（元）</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每份单价</w:t>
            </w:r>
          </w:p>
          <w:p>
            <w:pPr>
              <w:pStyle w:val="12"/>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单项总价</w:t>
            </w:r>
          </w:p>
          <w:p>
            <w:pPr>
              <w:pStyle w:val="12"/>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（元）</w:t>
            </w: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CT片袋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390×510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DR片袋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310×480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210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煎药袋（大）</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450×320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780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煎药袋（中）</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350×250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16*1000个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486</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煎药袋（小）</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200×150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295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药房袋子（小号）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(200+55*2)×330（±2%）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47</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药房袋子（大号）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（300+75*2）×480（±2%）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149.84*1000个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中号白色垃圾袋（48#）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220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小号黄色医疗垃圾袋（34#）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500*520（±2%）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33*1000个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中号黄色医疗垃圾袋（48#）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82*1000个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平口大号黄色医疗垃圾袋（90#）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小号黑色垃圾袋（34#）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500*520（±2%）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中号黑色垃圾袋（48#）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700*730（±2%）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大号黑色垃圾袋（55#）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750*800（±2%）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平口大号黑色垃圾袋（90#）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中号橘红色垃圾袋（48#）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650*650（±2%）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平口大号橘红色垃圾袋（90#）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平口特大号白色垃圾袋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平口特大号黄色医废垃圾袋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平口特大号黑色垃圾袋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8.2*1000个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1400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超市食品包装袋（小号）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(250+60*2)×380（±2%）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超市食品包装袋（大号）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（300+75*2）×480（±2%）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1020" w:hRule="exact"/>
          <w:jc w:val="center"/>
        </w:trPr>
        <w:tc>
          <w:tcPr>
            <w:tcW w:w="1026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18"/>
                <w:szCs w:val="18"/>
                <w:highlight w:val="none"/>
                <w:u w:val="none"/>
                <w:lang w:val="en-US" w:eastAsia="zh-CN"/>
              </w:rPr>
            </w:pPr>
            <w:r>
              <w:rPr>
                <w:rFonts w:hint="eastAsia" w:ascii="仿宋" w:hAnsi="仿宋" w:eastAsia="仿宋" w:cs="仿宋"/>
                <w:color w:val="auto"/>
                <w:sz w:val="18"/>
                <w:szCs w:val="18"/>
                <w:highlight w:val="none"/>
              </w:rPr>
              <w:t>报价总价（小写金额）</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元；下浮比例</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（保留小数点后两位数）</w:t>
            </w:r>
          </w:p>
          <w:p>
            <w:pPr>
              <w:pStyle w:val="12"/>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auto"/>
                <w:sz w:val="18"/>
                <w:szCs w:val="18"/>
                <w:highlight w:val="none"/>
              </w:rPr>
            </w:pPr>
          </w:p>
          <w:p>
            <w:pPr>
              <w:pStyle w:val="12"/>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sz w:val="18"/>
                <w:szCs w:val="18"/>
                <w:highlight w:val="none"/>
                <w:lang w:val="en-US" w:eastAsia="zh-CN"/>
              </w:rPr>
            </w:pPr>
            <w:r>
              <w:rPr>
                <w:rFonts w:hint="eastAsia" w:ascii="仿宋" w:hAnsi="仿宋" w:eastAsia="仿宋" w:cs="仿宋"/>
                <w:color w:val="auto"/>
                <w:sz w:val="18"/>
                <w:szCs w:val="18"/>
                <w:highlight w:val="none"/>
              </w:rPr>
              <w:t>报价总价（大写金额）：</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 xml:space="preserve">    </w:t>
            </w:r>
          </w:p>
        </w:tc>
      </w:tr>
    </w:tbl>
    <w:p>
      <w:pPr>
        <w:spacing w:line="360" w:lineRule="auto"/>
        <w:ind w:firstLine="0" w:firstLineChars="0"/>
        <w:rPr>
          <w:rFonts w:hint="eastAsia" w:ascii="仿宋" w:hAnsi="仿宋" w:eastAsia="仿宋" w:cs="仿宋"/>
          <w:color w:val="auto"/>
          <w:sz w:val="24"/>
        </w:rPr>
      </w:pPr>
    </w:p>
    <w:p>
      <w:pPr>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3.单价为每份报价，1份为1000个袋子。</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4.单价：每份单价按照同比例下浮报价，保留小数点后两位。</w:t>
      </w:r>
    </w:p>
    <w:p>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5.报价总价不保留小数。</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6.未按以上要求报价无效。</w:t>
      </w:r>
    </w:p>
    <w:p>
      <w:pPr>
        <w:spacing w:line="360" w:lineRule="auto"/>
        <w:ind w:firstLine="0" w:firstLineChars="0"/>
        <w:rPr>
          <w:rFonts w:hint="eastAsia" w:ascii="仿宋" w:hAnsi="仿宋" w:eastAsia="仿宋" w:cs="仿宋"/>
          <w:color w:val="auto"/>
          <w:sz w:val="24"/>
        </w:rPr>
      </w:pP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13" w:name="_Toc4463"/>
      <w:bookmarkStart w:id="114" w:name="_Toc21989"/>
    </w:p>
    <w:p>
      <w:pPr>
        <w:rPr>
          <w:rFonts w:hint="eastAsia" w:ascii="仿宋" w:hAnsi="仿宋" w:eastAsia="仿宋" w:cs="仿宋"/>
          <w:b/>
          <w:bCs/>
          <w:color w:val="auto"/>
          <w:sz w:val="24"/>
        </w:rPr>
      </w:pPr>
      <w:r>
        <w:rPr>
          <w:rFonts w:hint="eastAsia" w:ascii="仿宋" w:hAnsi="仿宋" w:eastAsia="仿宋" w:cs="仿宋"/>
          <w:b/>
          <w:bCs/>
          <w:color w:val="auto"/>
          <w:sz w:val="24"/>
        </w:rPr>
        <w:br w:type="page"/>
      </w:r>
    </w:p>
    <w:p>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cs="仿宋"/>
          <w:b/>
          <w:bCs/>
          <w:color w:val="auto"/>
          <w:sz w:val="24"/>
        </w:rPr>
        <w:t>:</w:t>
      </w:r>
      <w:r>
        <w:rPr>
          <w:rFonts w:hint="eastAsia" w:ascii="仿宋" w:hAnsi="仿宋" w:eastAsia="仿宋" w:cs="仿宋"/>
          <w:b/>
          <w:bCs/>
          <w:color w:val="auto"/>
          <w:sz w:val="24"/>
        </w:rPr>
        <w:t>承诺函</w:t>
      </w:r>
      <w:bookmarkEnd w:id="113"/>
      <w:bookmarkEnd w:id="114"/>
      <w:bookmarkStart w:id="115" w:name="_Toc6183_WPSOffice_Level2"/>
    </w:p>
    <w:p>
      <w:pPr>
        <w:pStyle w:val="17"/>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16" w:name="_Toc9407"/>
      <w:bookmarkStart w:id="117" w:name="_Toc31555"/>
      <w:r>
        <w:rPr>
          <w:rFonts w:hint="eastAsia" w:ascii="仿宋" w:hAnsi="仿宋" w:eastAsia="仿宋" w:cs="仿宋"/>
          <w:b/>
          <w:bCs/>
          <w:color w:val="auto"/>
          <w:sz w:val="36"/>
          <w:szCs w:val="36"/>
        </w:rPr>
        <w:t>承诺函</w:t>
      </w:r>
      <w:bookmarkEnd w:id="115"/>
      <w:bookmarkEnd w:id="116"/>
      <w:bookmarkEnd w:id="117"/>
    </w:p>
    <w:p>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pPr>
        <w:widowControl/>
        <w:spacing w:line="360" w:lineRule="auto"/>
        <w:jc w:val="left"/>
        <w:rPr>
          <w:rFonts w:hint="eastAsia"/>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pPr>
        <w:pStyle w:val="17"/>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pPr>
        <w:pStyle w:val="17"/>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pPr>
        <w:pStyle w:val="17"/>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auto"/>
          <w:sz w:val="24"/>
          <w:szCs w:val="24"/>
        </w:rPr>
        <w:t>我方承诺按照</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文件规定的金额和方式向采购人缴纳履约保证金。</w:t>
      </w:r>
    </w:p>
    <w:p>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pPr>
        <w:pStyle w:val="12"/>
        <w:spacing w:line="360" w:lineRule="auto"/>
        <w:rPr>
          <w:color w:val="auto"/>
        </w:rPr>
      </w:pPr>
    </w:p>
    <w:p>
      <w:pPr>
        <w:spacing w:line="360" w:lineRule="auto"/>
        <w:ind w:firstLine="480" w:firstLineChars="200"/>
        <w:rPr>
          <w:rFonts w:hint="eastAsia" w:ascii="仿宋" w:hAnsi="仿宋" w:eastAsia="仿宋" w:cs="仿宋"/>
          <w:bCs/>
          <w:color w:val="auto"/>
          <w:sz w:val="24"/>
        </w:rPr>
      </w:pPr>
    </w:p>
    <w:p>
      <w:pPr>
        <w:spacing w:line="360" w:lineRule="auto"/>
        <w:ind w:firstLine="480" w:firstLineChars="200"/>
        <w:rPr>
          <w:rFonts w:hint="eastAsia" w:ascii="仿宋" w:hAnsi="仿宋" w:eastAsia="仿宋" w:cs="仿宋"/>
          <w:bCs/>
          <w:color w:val="auto"/>
          <w:sz w:val="24"/>
        </w:rPr>
      </w:pP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pPr>
        <w:rPr>
          <w:rStyle w:val="118"/>
          <w:rFonts w:hint="eastAsia" w:ascii="仿宋" w:hAnsi="仿宋" w:cs="仿宋"/>
          <w:b/>
          <w:color w:val="auto"/>
          <w:sz w:val="24"/>
          <w:szCs w:val="24"/>
          <w:highlight w:val="none"/>
        </w:rPr>
      </w:pPr>
      <w:r>
        <w:rPr>
          <w:rStyle w:val="118"/>
          <w:rFonts w:hint="eastAsia" w:ascii="仿宋" w:hAnsi="仿宋" w:cs="仿宋"/>
          <w:b/>
          <w:color w:val="auto"/>
          <w:sz w:val="24"/>
          <w:szCs w:val="24"/>
          <w:highlight w:val="none"/>
        </w:rPr>
        <w:br w:type="page"/>
      </w:r>
    </w:p>
    <w:bookmarkEnd w:id="102"/>
    <w:bookmarkEnd w:id="103"/>
    <w:bookmarkEnd w:id="104"/>
    <w:bookmarkEnd w:id="105"/>
    <w:bookmarkEnd w:id="106"/>
    <w:bookmarkEnd w:id="107"/>
    <w:bookmarkEnd w:id="108"/>
    <w:bookmarkEnd w:id="109"/>
    <w:bookmarkEnd w:id="110"/>
    <w:bookmarkEnd w:id="111"/>
    <w:bookmarkEnd w:id="112"/>
    <w:p>
      <w:pPr>
        <w:numPr>
          <w:ilvl w:val="0"/>
          <w:numId w:val="0"/>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第三部分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pPr>
        <w:pStyle w:val="12"/>
        <w:numPr>
          <w:ilvl w:val="0"/>
          <w:numId w:val="0"/>
        </w:numPr>
        <w:rPr>
          <w:rFonts w:hint="eastAsia"/>
          <w:color w:val="auto"/>
        </w:rPr>
      </w:pPr>
    </w:p>
    <w:p>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cs="仿宋"/>
          <w:b/>
          <w:bCs/>
          <w:color w:val="auto"/>
          <w:sz w:val="24"/>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pPr>
        <w:tabs>
          <w:tab w:val="left" w:leader="dot" w:pos="7380"/>
        </w:tabs>
        <w:snapToGrid w:val="0"/>
        <w:spacing w:line="324" w:lineRule="auto"/>
        <w:jc w:val="left"/>
        <w:rPr>
          <w:rFonts w:hint="eastAsia" w:ascii="仿宋" w:hAnsi="仿宋" w:eastAsia="仿宋" w:cs="仿宋"/>
          <w:b/>
          <w:bCs/>
          <w:color w:val="auto"/>
          <w:sz w:val="32"/>
          <w:szCs w:val="32"/>
        </w:rPr>
      </w:pPr>
    </w:p>
    <w:p>
      <w:pPr>
        <w:pStyle w:val="12"/>
        <w:rPr>
          <w:rFonts w:hint="eastAsia"/>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pos="4005"/>
          <w:tab w:val="left" w:leader="dot" w:pos="7380"/>
        </w:tabs>
        <w:snapToGrid w:val="0"/>
        <w:spacing w:line="360" w:lineRule="auto"/>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pStyle w:val="12"/>
        <w:rPr>
          <w:rFonts w:hint="eastAsia" w:ascii="仿宋" w:hAnsi="仿宋" w:eastAsia="仿宋" w:cs="仿宋"/>
          <w:b/>
          <w:bCs/>
          <w:color w:val="auto"/>
          <w:sz w:val="32"/>
          <w:szCs w:val="32"/>
        </w:rPr>
      </w:pPr>
    </w:p>
    <w:p>
      <w:pPr>
        <w:widowControl/>
        <w:spacing w:line="360" w:lineRule="atLeast"/>
        <w:jc w:val="both"/>
        <w:rPr>
          <w:rFonts w:hint="eastAsia" w:ascii="宋体" w:hAnsi="宋体" w:eastAsia="宋体" w:cs="宋体"/>
          <w:b/>
          <w:bCs/>
          <w:color w:val="auto"/>
          <w:sz w:val="32"/>
          <w:szCs w:val="32"/>
        </w:rPr>
      </w:pPr>
    </w:p>
    <w:p>
      <w:pPr>
        <w:pStyle w:val="12"/>
        <w:rPr>
          <w:rFonts w:hint="eastAsia"/>
          <w:color w:val="auto"/>
        </w:rPr>
      </w:pPr>
    </w:p>
    <w:p>
      <w:pPr>
        <w:pStyle w:val="9"/>
        <w:rPr>
          <w:rFonts w:hint="eastAsia"/>
          <w:color w:val="auto"/>
        </w:rPr>
      </w:pPr>
    </w:p>
    <w:p>
      <w:pPr>
        <w:rPr>
          <w:rFonts w:hint="eastAsia"/>
          <w:color w:val="auto"/>
        </w:rPr>
      </w:pPr>
    </w:p>
    <w:p>
      <w:pPr>
        <w:pStyle w:val="12"/>
        <w:rPr>
          <w:rFonts w:hint="eastAsia"/>
          <w:color w:val="auto"/>
        </w:rPr>
      </w:pPr>
    </w:p>
    <w:p>
      <w:pPr>
        <w:pStyle w:val="12"/>
        <w:rPr>
          <w:rFonts w:hint="eastAsia"/>
          <w:color w:val="auto"/>
        </w:rPr>
      </w:pPr>
    </w:p>
    <w:p>
      <w:pPr>
        <w:rPr>
          <w:rFonts w:hint="eastAsia"/>
          <w:color w:val="auto"/>
        </w:rPr>
      </w:pPr>
    </w:p>
    <w:p>
      <w:pPr>
        <w:snapToGrid/>
        <w:spacing w:line="240" w:lineRule="auto"/>
        <w:jc w:val="left"/>
        <w:rPr>
          <w:rFonts w:hint="eastAsia" w:ascii="仿宋" w:hAnsi="仿宋" w:eastAsia="仿宋" w:cs="仿宋"/>
          <w:b/>
          <w:bCs/>
          <w:color w:val="auto"/>
          <w:sz w:val="24"/>
          <w:szCs w:val="24"/>
          <w:highlight w:val="none"/>
        </w:rPr>
      </w:pPr>
      <w:bookmarkStart w:id="118" w:name="_Toc14228"/>
      <w:bookmarkStart w:id="119" w:name="_Toc30261"/>
      <w:r>
        <w:rPr>
          <w:rFonts w:hint="eastAsia" w:ascii="仿宋" w:hAnsi="仿宋" w:eastAsia="仿宋" w:cs="仿宋"/>
          <w:b/>
          <w:bCs/>
          <w:color w:val="auto"/>
          <w:sz w:val="24"/>
          <w:szCs w:val="24"/>
          <w:highlight w:val="none"/>
        </w:rPr>
        <w:br w:type="page"/>
      </w:r>
    </w:p>
    <w:p>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cs="仿宋"/>
          <w:b/>
          <w:bCs/>
          <w:color w:val="auto"/>
          <w:sz w:val="24"/>
        </w:rPr>
        <w:t>:</w:t>
      </w:r>
      <w:r>
        <w:rPr>
          <w:rFonts w:hint="eastAsia" w:ascii="仿宋" w:hAnsi="仿宋" w:eastAsia="仿宋" w:cs="仿宋"/>
          <w:b/>
          <w:bCs/>
          <w:color w:val="auto"/>
          <w:sz w:val="24"/>
          <w:lang w:eastAsia="zh-CN"/>
        </w:rPr>
        <w:t>多轮报价一览表</w:t>
      </w:r>
    </w:p>
    <w:p>
      <w:pPr>
        <w:snapToGrid w:val="0"/>
        <w:spacing w:line="24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pPr>
        <w:widowControl/>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p>
      <w:pPr>
        <w:spacing w:after="120" w:line="240" w:lineRule="auto"/>
        <w:jc w:val="both"/>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000000" w:themeColor="text1"/>
          <w:sz w:val="21"/>
          <w:szCs w:val="21"/>
          <w:highlight w:val="none"/>
          <w14:textFill>
            <w14:solidFill>
              <w14:schemeClr w14:val="tx1"/>
            </w14:solidFill>
          </w14:textFill>
        </w:rPr>
        <w:t>项目编号：JRZB-2024-Q066</w:t>
      </w:r>
    </w:p>
    <w:p>
      <w:pPr>
        <w:spacing w:after="120" w:line="240" w:lineRule="auto"/>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项目名称：富顺县中医医院CT袋、DR袋、药袋、黄色医疗垃圾袋等采购项目</w:t>
      </w:r>
    </w:p>
    <w:p>
      <w:pPr>
        <w:pStyle w:val="24"/>
        <w:ind w:left="0" w:leftChars="0" w:firstLine="0" w:firstLineChars="0"/>
        <w:rPr>
          <w:rFonts w:hint="eastAsia"/>
        </w:rPr>
      </w:pPr>
    </w:p>
    <w:tbl>
      <w:tblPr>
        <w:tblStyle w:val="26"/>
        <w:tblpPr w:leftFromText="180" w:rightFromText="180" w:vertAnchor="text" w:horzAnchor="margin" w:tblpXSpec="center" w:tblpY="-11"/>
        <w:tblOverlap w:val="never"/>
        <w:tblW w:w="10261" w:type="dxa"/>
        <w:jc w:val="center"/>
        <w:tblLayout w:type="fixed"/>
        <w:tblCellMar>
          <w:top w:w="15" w:type="dxa"/>
          <w:left w:w="15" w:type="dxa"/>
          <w:bottom w:w="15" w:type="dxa"/>
          <w:right w:w="15" w:type="dxa"/>
        </w:tblCellMar>
      </w:tblPr>
      <w:tblGrid>
        <w:gridCol w:w="510"/>
        <w:gridCol w:w="2685"/>
        <w:gridCol w:w="1215"/>
        <w:gridCol w:w="1560"/>
        <w:gridCol w:w="1095"/>
        <w:gridCol w:w="885"/>
        <w:gridCol w:w="1125"/>
        <w:gridCol w:w="1186"/>
      </w:tblGrid>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标的号</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标的名称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袋子厚度</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型号（mm）</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预计数量</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（份）</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每份限价</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（元）</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每份单价</w:t>
            </w:r>
          </w:p>
          <w:p>
            <w:pPr>
              <w:pStyle w:val="12"/>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单项总价</w:t>
            </w:r>
          </w:p>
          <w:p>
            <w:pPr>
              <w:pStyle w:val="12"/>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（元）</w:t>
            </w: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CT片袋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390×510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DR片袋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310×480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210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煎药袋（大）</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450×320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780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煎药袋（中）</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350×250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16*1000个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486</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煎药袋（小）</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200×150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295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药房袋子（小号）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(200+55*2)×330（±2%）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47</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药房袋子（大号）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（300+75*2）×480（±2%）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149.84*1000个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中号白色垃圾袋（48#）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220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小号黄色医疗垃圾袋（34#）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500*520（±2%）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33*1000个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中号黄色医疗垃圾袋（48#）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82*1000个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平口大号黄色医疗垃圾袋（90#）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小号黑色垃圾袋（34#）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500*520（±2%）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中号黑色垃圾袋（48#）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700*730（±2%）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大号黑色垃圾袋（55#）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750*800（±2%）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平口大号黑色垃圾袋（90#）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中号橘红色垃圾袋（48#）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650*650（±2%）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平口大号橘红色垃圾袋（90#）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平口特大号白色垃圾袋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平口特大号黄色医废垃圾袋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平口特大号黑色垃圾袋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8.2*1000个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1400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超市食品包装袋（小号）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(250+60*2)×380（±2%）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超市食品包装袋（大号）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（300+75*2）×480（±2%）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1020" w:hRule="exact"/>
          <w:jc w:val="center"/>
        </w:trPr>
        <w:tc>
          <w:tcPr>
            <w:tcW w:w="1026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18"/>
                <w:szCs w:val="18"/>
                <w:highlight w:val="none"/>
                <w:u w:val="none"/>
                <w:lang w:val="en-US" w:eastAsia="zh-CN"/>
              </w:rPr>
            </w:pPr>
            <w:r>
              <w:rPr>
                <w:rFonts w:hint="eastAsia" w:ascii="仿宋" w:hAnsi="仿宋" w:eastAsia="仿宋" w:cs="仿宋"/>
                <w:color w:val="auto"/>
                <w:sz w:val="18"/>
                <w:szCs w:val="18"/>
                <w:highlight w:val="none"/>
              </w:rPr>
              <w:t>报价总价（小写金额）</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元；下浮比例</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（保留小数点后两位数）</w:t>
            </w:r>
          </w:p>
          <w:p>
            <w:pPr>
              <w:pStyle w:val="12"/>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auto"/>
                <w:sz w:val="18"/>
                <w:szCs w:val="18"/>
                <w:highlight w:val="none"/>
              </w:rPr>
            </w:pPr>
          </w:p>
          <w:p>
            <w:pPr>
              <w:pStyle w:val="12"/>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sz w:val="18"/>
                <w:szCs w:val="18"/>
                <w:highlight w:val="none"/>
                <w:lang w:val="en-US" w:eastAsia="zh-CN"/>
              </w:rPr>
            </w:pPr>
            <w:r>
              <w:rPr>
                <w:rFonts w:hint="eastAsia" w:ascii="仿宋" w:hAnsi="仿宋" w:eastAsia="仿宋" w:cs="仿宋"/>
                <w:color w:val="auto"/>
                <w:sz w:val="18"/>
                <w:szCs w:val="18"/>
                <w:highlight w:val="none"/>
              </w:rPr>
              <w:t>报价总价（大写金额）：</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 xml:space="preserve">    </w:t>
            </w:r>
          </w:p>
        </w:tc>
      </w:tr>
    </w:tbl>
    <w:p>
      <w:pPr>
        <w:spacing w:line="360" w:lineRule="auto"/>
        <w:ind w:firstLine="0" w:firstLineChars="0"/>
        <w:rPr>
          <w:rFonts w:hint="eastAsia" w:ascii="仿宋" w:hAnsi="仿宋" w:eastAsia="仿宋" w:cs="仿宋"/>
          <w:color w:val="auto"/>
          <w:sz w:val="24"/>
        </w:rPr>
      </w:pPr>
    </w:p>
    <w:p>
      <w:pPr>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3.单价为每份报价，1份为1000个袋子。</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4.单价：每份单价按照同比例下浮报价，保留小数点后两位。</w:t>
      </w:r>
    </w:p>
    <w:p>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5.报价总价不保留小数。</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6.未按以上要求报价无效。</w:t>
      </w:r>
    </w:p>
    <w:p>
      <w:pPr>
        <w:spacing w:line="360" w:lineRule="auto"/>
        <w:ind w:firstLine="0" w:firstLineChars="0"/>
        <w:rPr>
          <w:rFonts w:hint="eastAsia" w:ascii="仿宋" w:hAnsi="仿宋" w:eastAsia="仿宋" w:cs="仿宋"/>
          <w:color w:val="auto"/>
          <w:sz w:val="24"/>
        </w:rPr>
      </w:pP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pPr>
        <w:rPr>
          <w:rFonts w:hint="eastAsia" w:ascii="仿宋" w:hAnsi="仿宋" w:eastAsia="仿宋" w:cs="仿宋"/>
          <w:bCs/>
          <w:color w:val="auto"/>
          <w:sz w:val="24"/>
        </w:rPr>
      </w:pPr>
      <w:r>
        <w:rPr>
          <w:rFonts w:hint="eastAsia" w:ascii="仿宋" w:hAnsi="仿宋" w:eastAsia="仿宋" w:cs="仿宋"/>
          <w:bCs/>
          <w:color w:val="auto"/>
          <w:sz w:val="24"/>
        </w:rPr>
        <w:br w:type="page"/>
      </w:r>
    </w:p>
    <w:p>
      <w:pPr>
        <w:snapToGrid w:val="0"/>
        <w:spacing w:line="360" w:lineRule="auto"/>
        <w:jc w:val="left"/>
        <w:outlineLvl w:val="2"/>
        <w:rPr>
          <w:rFonts w:ascii="仿宋" w:hAnsi="仿宋" w:eastAsia="仿宋" w:cs="仿宋"/>
          <w:bCs/>
          <w:sz w:val="24"/>
          <w:szCs w:val="22"/>
        </w:rPr>
      </w:pPr>
      <w:r>
        <w:rPr>
          <w:rFonts w:hint="eastAsia" w:ascii="仿宋" w:hAnsi="仿宋" w:eastAsia="仿宋" w:cs="仿宋"/>
          <w:b/>
          <w:bCs/>
          <w:sz w:val="24"/>
        </w:rPr>
        <w:t>格式3-3:最后报价一览表</w:t>
      </w:r>
    </w:p>
    <w:p>
      <w:pPr>
        <w:widowControl/>
        <w:snapToGrid w:val="0"/>
        <w:spacing w:line="360" w:lineRule="auto"/>
        <w:jc w:val="center"/>
        <w:rPr>
          <w:rFonts w:ascii="仿宋" w:hAnsi="仿宋" w:eastAsia="仿宋" w:cs="仿宋"/>
          <w:b/>
          <w:bCs/>
          <w:sz w:val="24"/>
        </w:rPr>
      </w:pPr>
      <w:r>
        <w:rPr>
          <w:rFonts w:hint="eastAsia" w:ascii="仿宋" w:hAnsi="仿宋" w:eastAsia="仿宋" w:cs="仿宋"/>
          <w:b/>
          <w:bCs/>
          <w:sz w:val="36"/>
          <w:szCs w:val="36"/>
        </w:rPr>
        <w:t>最后报价一览表</w:t>
      </w:r>
    </w:p>
    <w:p>
      <w:pPr>
        <w:pStyle w:val="116"/>
        <w:widowControl/>
        <w:spacing w:line="480" w:lineRule="auto"/>
        <w:ind w:firstLine="0"/>
        <w:jc w:val="center"/>
        <w:rPr>
          <w:rFonts w:hint="eastAsia" w:ascii="仿宋" w:hAnsi="仿宋" w:eastAsia="仿宋" w:cs="仿宋"/>
          <w:sz w:val="24"/>
          <w:szCs w:val="24"/>
        </w:rPr>
      </w:pPr>
      <w:r>
        <w:rPr>
          <w:rFonts w:hint="eastAsia" w:ascii="仿宋" w:hAnsi="仿宋" w:eastAsia="仿宋" w:cs="仿宋"/>
          <w:sz w:val="24"/>
          <w:szCs w:val="24"/>
        </w:rPr>
        <w:t>（实质性要求）</w:t>
      </w:r>
    </w:p>
    <w:p>
      <w:pPr>
        <w:spacing w:after="120" w:line="240" w:lineRule="auto"/>
        <w:jc w:val="both"/>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000000" w:themeColor="text1"/>
          <w:sz w:val="21"/>
          <w:szCs w:val="21"/>
          <w:highlight w:val="none"/>
          <w14:textFill>
            <w14:solidFill>
              <w14:schemeClr w14:val="tx1"/>
            </w14:solidFill>
          </w14:textFill>
        </w:rPr>
        <w:t>项目编号：JRZB-2024-Q066</w:t>
      </w:r>
    </w:p>
    <w:p>
      <w:pPr>
        <w:spacing w:after="120" w:line="240" w:lineRule="auto"/>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项目名称：富顺县中医医院CT袋、DR袋、药袋、黄色医疗垃圾袋等采购项目</w:t>
      </w:r>
    </w:p>
    <w:p>
      <w:pPr>
        <w:pStyle w:val="24"/>
        <w:ind w:left="0" w:leftChars="0" w:firstLine="0" w:firstLineChars="0"/>
        <w:rPr>
          <w:rFonts w:hint="eastAsia"/>
        </w:rPr>
      </w:pPr>
    </w:p>
    <w:tbl>
      <w:tblPr>
        <w:tblStyle w:val="26"/>
        <w:tblpPr w:leftFromText="180" w:rightFromText="180" w:vertAnchor="text" w:horzAnchor="margin" w:tblpXSpec="center" w:tblpY="-11"/>
        <w:tblOverlap w:val="never"/>
        <w:tblW w:w="10261" w:type="dxa"/>
        <w:jc w:val="center"/>
        <w:tblLayout w:type="fixed"/>
        <w:tblCellMar>
          <w:top w:w="15" w:type="dxa"/>
          <w:left w:w="15" w:type="dxa"/>
          <w:bottom w:w="15" w:type="dxa"/>
          <w:right w:w="15" w:type="dxa"/>
        </w:tblCellMar>
      </w:tblPr>
      <w:tblGrid>
        <w:gridCol w:w="510"/>
        <w:gridCol w:w="2685"/>
        <w:gridCol w:w="1215"/>
        <w:gridCol w:w="1560"/>
        <w:gridCol w:w="1095"/>
        <w:gridCol w:w="885"/>
        <w:gridCol w:w="1125"/>
        <w:gridCol w:w="1186"/>
      </w:tblGrid>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标的号</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标的名称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袋子厚度</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型号（mm）</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预计数量</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（份）</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
                <w:bCs/>
                <w:i w:val="0"/>
                <w:iCs w:val="0"/>
                <w:color w:val="000000"/>
                <w:kern w:val="0"/>
                <w:sz w:val="18"/>
                <w:szCs w:val="18"/>
                <w:highlight w:val="none"/>
                <w:u w:val="none"/>
                <w:lang w:val="en-US" w:eastAsia="zh-CN" w:bidi="ar"/>
              </w:rPr>
              <w:t>每份限价</w:t>
            </w:r>
            <w:r>
              <w:rPr>
                <w:rFonts w:hint="eastAsia" w:ascii="仿宋" w:hAnsi="仿宋" w:eastAsia="仿宋" w:cs="仿宋"/>
                <w:b/>
                <w:bCs/>
                <w:i w:val="0"/>
                <w:iCs w:val="0"/>
                <w:color w:val="000000"/>
                <w:kern w:val="0"/>
                <w:sz w:val="18"/>
                <w:szCs w:val="18"/>
                <w:highlight w:val="none"/>
                <w:u w:val="none"/>
                <w:lang w:val="en-US" w:eastAsia="zh-CN" w:bidi="ar"/>
              </w:rPr>
              <w:br w:type="textWrapping"/>
            </w:r>
            <w:r>
              <w:rPr>
                <w:rFonts w:hint="eastAsia" w:ascii="仿宋" w:hAnsi="仿宋" w:eastAsia="仿宋" w:cs="仿宋"/>
                <w:b/>
                <w:bCs/>
                <w:i w:val="0"/>
                <w:iCs w:val="0"/>
                <w:color w:val="000000"/>
                <w:kern w:val="0"/>
                <w:sz w:val="18"/>
                <w:szCs w:val="18"/>
                <w:highlight w:val="none"/>
                <w:u w:val="none"/>
                <w:lang w:val="en-US" w:eastAsia="zh-CN" w:bidi="ar"/>
              </w:rPr>
              <w:t>（元）</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每份单价</w:t>
            </w:r>
          </w:p>
          <w:p>
            <w:pPr>
              <w:pStyle w:val="12"/>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000000"/>
                <w:kern w:val="0"/>
                <w:sz w:val="18"/>
                <w:szCs w:val="18"/>
                <w:highlight w:val="none"/>
                <w:u w:val="none"/>
                <w:lang w:val="en-US" w:eastAsia="zh-CN" w:bidi="ar"/>
              </w:rPr>
            </w:pPr>
            <w:r>
              <w:rPr>
                <w:rFonts w:hint="eastAsia" w:ascii="仿宋" w:hAnsi="仿宋" w:eastAsia="仿宋" w:cs="仿宋"/>
                <w:b/>
                <w:bCs/>
                <w:i w:val="0"/>
                <w:iCs w:val="0"/>
                <w:color w:val="000000"/>
                <w:kern w:val="0"/>
                <w:sz w:val="18"/>
                <w:szCs w:val="18"/>
                <w:highlight w:val="none"/>
                <w:u w:val="none"/>
                <w:lang w:val="en-US" w:eastAsia="zh-CN" w:bidi="ar"/>
              </w:rPr>
              <w:t>单项总价</w:t>
            </w:r>
          </w:p>
          <w:p>
            <w:pPr>
              <w:pStyle w:val="12"/>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sz w:val="18"/>
                <w:szCs w:val="18"/>
                <w:highlight w:val="none"/>
                <w:lang w:val="en-US" w:eastAsia="zh-CN"/>
              </w:rPr>
            </w:pPr>
            <w:r>
              <w:rPr>
                <w:rFonts w:hint="eastAsia" w:ascii="仿宋" w:hAnsi="仿宋" w:eastAsia="仿宋" w:cs="仿宋"/>
                <w:b/>
                <w:bCs/>
                <w:i w:val="0"/>
                <w:iCs w:val="0"/>
                <w:color w:val="000000"/>
                <w:kern w:val="0"/>
                <w:sz w:val="18"/>
                <w:szCs w:val="18"/>
                <w:highlight w:val="none"/>
                <w:u w:val="none"/>
                <w:lang w:val="en-US" w:eastAsia="zh-CN" w:bidi="ar"/>
              </w:rPr>
              <w:t>（元）</w:t>
            </w: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CT片袋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390×510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DR片袋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310×480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210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煎药袋（大）</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450×320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780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煎药袋（中）</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350×250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16*1000个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486</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煎药袋（小）</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40g每平方米及以上无纺布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200×150</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295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药房袋子（小号）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(200+55*2)×330（±2%）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47</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药房袋子（大号）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（300+75*2）×480（±2%）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149.84*1000个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中号白色垃圾袋（48#）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220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小号黄色医疗垃圾袋（34#）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500*520（±2%）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33*1000个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中号黄色医疗垃圾袋（48#）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82*1000个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平口大号黄色医疗垃圾袋（90#）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小号黑色垃圾袋（34#）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500*520（±2%）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500*1000个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13</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中号黑色垃圾袋（48#）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700*730（±2%）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大号黑色垃圾袋（55#）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750*800（±2%）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平口大号黑色垃圾袋（90#）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中号橘红色垃圾袋（48#）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4丝及以上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650*650（±2%）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17</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平口大号橘红色垃圾袋（90#）</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900*1100（±2%）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900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18</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平口特大号白色垃圾袋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19</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平口特大号黄色医废垃圾袋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平口特大号黑色垃圾袋</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7丝及以上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1200*1400</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8.2*1000个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1400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21</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超市食品包装袋（小号）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(250+60*2)×380（±2%）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60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454" w:hRule="exac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超市食品包装袋（大号）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2.8丝及以上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（300+75*2）×480（±2%）</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15*1000个</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120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CellMar>
            <w:top w:w="15" w:type="dxa"/>
            <w:left w:w="15" w:type="dxa"/>
            <w:bottom w:w="15" w:type="dxa"/>
            <w:right w:w="15" w:type="dxa"/>
          </w:tblCellMar>
        </w:tblPrEx>
        <w:trPr>
          <w:trHeight w:val="1020" w:hRule="exact"/>
          <w:jc w:val="center"/>
        </w:trPr>
        <w:tc>
          <w:tcPr>
            <w:tcW w:w="1026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18"/>
                <w:szCs w:val="18"/>
                <w:highlight w:val="none"/>
              </w:rPr>
            </w:pP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sz w:val="18"/>
                <w:szCs w:val="18"/>
                <w:highlight w:val="none"/>
                <w:u w:val="none"/>
                <w:lang w:val="en-US" w:eastAsia="zh-CN"/>
              </w:rPr>
            </w:pPr>
            <w:r>
              <w:rPr>
                <w:rFonts w:hint="eastAsia" w:ascii="仿宋" w:hAnsi="仿宋" w:eastAsia="仿宋" w:cs="仿宋"/>
                <w:color w:val="auto"/>
                <w:sz w:val="18"/>
                <w:szCs w:val="18"/>
                <w:highlight w:val="none"/>
              </w:rPr>
              <w:t>报价总价（小写金额）</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元；下浮比例</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（保留小数点后两位数）</w:t>
            </w:r>
          </w:p>
          <w:p>
            <w:pPr>
              <w:pStyle w:val="12"/>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auto"/>
                <w:sz w:val="18"/>
                <w:szCs w:val="18"/>
                <w:highlight w:val="none"/>
              </w:rPr>
            </w:pPr>
          </w:p>
          <w:p>
            <w:pPr>
              <w:pStyle w:val="12"/>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sz w:val="18"/>
                <w:szCs w:val="18"/>
                <w:highlight w:val="none"/>
                <w:lang w:val="en-US" w:eastAsia="zh-CN"/>
              </w:rPr>
            </w:pPr>
            <w:r>
              <w:rPr>
                <w:rFonts w:hint="eastAsia" w:ascii="仿宋" w:hAnsi="仿宋" w:eastAsia="仿宋" w:cs="仿宋"/>
                <w:color w:val="auto"/>
                <w:sz w:val="18"/>
                <w:szCs w:val="18"/>
                <w:highlight w:val="none"/>
              </w:rPr>
              <w:t>报价总价（大写金额）：</w:t>
            </w:r>
            <w:r>
              <w:rPr>
                <w:rFonts w:hint="eastAsia" w:ascii="仿宋" w:hAnsi="仿宋" w:eastAsia="仿宋" w:cs="仿宋"/>
                <w:color w:val="auto"/>
                <w:sz w:val="18"/>
                <w:szCs w:val="18"/>
                <w:highlight w:val="none"/>
                <w:u w:val="single"/>
                <w:lang w:val="en-US" w:eastAsia="zh-CN"/>
              </w:rPr>
              <w:t xml:space="preserve">                                                                                        </w:t>
            </w:r>
            <w:r>
              <w:rPr>
                <w:rFonts w:hint="eastAsia" w:ascii="仿宋" w:hAnsi="仿宋" w:eastAsia="仿宋" w:cs="仿宋"/>
                <w:color w:val="auto"/>
                <w:sz w:val="18"/>
                <w:szCs w:val="18"/>
                <w:highlight w:val="none"/>
                <w:u w:val="none"/>
                <w:lang w:val="en-US" w:eastAsia="zh-CN"/>
              </w:rPr>
              <w:t xml:space="preserve">    </w:t>
            </w:r>
          </w:p>
        </w:tc>
      </w:tr>
    </w:tbl>
    <w:p>
      <w:pPr>
        <w:spacing w:line="360" w:lineRule="auto"/>
        <w:ind w:firstLine="0" w:firstLineChars="0"/>
        <w:rPr>
          <w:rFonts w:hint="eastAsia" w:ascii="仿宋" w:hAnsi="仿宋" w:eastAsia="仿宋" w:cs="仿宋"/>
          <w:color w:val="auto"/>
          <w:sz w:val="24"/>
        </w:rPr>
      </w:pPr>
    </w:p>
    <w:p>
      <w:pPr>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注：</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3.单价为每份报价，1份为1000个袋子。</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4.单价：每份单价按照同比例下浮报价，保留小数点后两位。</w:t>
      </w:r>
    </w:p>
    <w:p>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5.报价总价不保留小数。</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6.未按以上要求报价无效。</w:t>
      </w:r>
    </w:p>
    <w:p>
      <w:pPr>
        <w:pStyle w:val="116"/>
        <w:widowControl/>
        <w:spacing w:line="480" w:lineRule="auto"/>
        <w:ind w:firstLine="0"/>
        <w:jc w:val="center"/>
        <w:rPr>
          <w:rFonts w:hint="eastAsia" w:ascii="仿宋" w:hAnsi="仿宋" w:eastAsia="仿宋" w:cs="仿宋"/>
          <w:sz w:val="24"/>
          <w:szCs w:val="24"/>
        </w:rPr>
      </w:pPr>
    </w:p>
    <w:p>
      <w:pPr>
        <w:pStyle w:val="12"/>
        <w:rPr>
          <w:rFonts w:hint="eastAsia"/>
        </w:rPr>
      </w:pPr>
    </w:p>
    <w:p>
      <w:pPr>
        <w:rPr>
          <w:rFonts w:hint="eastAsia" w:ascii="仿宋" w:hAnsi="仿宋" w:eastAsia="仿宋" w:cs="仿宋"/>
          <w:b/>
          <w:bCs/>
          <w:color w:val="auto"/>
          <w:sz w:val="24"/>
        </w:rPr>
      </w:pPr>
      <w:r>
        <w:rPr>
          <w:rFonts w:hint="eastAsia" w:ascii="仿宋" w:hAnsi="仿宋" w:eastAsia="仿宋" w:cs="仿宋"/>
          <w:b/>
          <w:bCs/>
          <w:color w:val="auto"/>
          <w:sz w:val="24"/>
        </w:rPr>
        <w:br w:type="page"/>
      </w:r>
    </w:p>
    <w:bookmarkEnd w:id="118"/>
    <w:bookmarkEnd w:id="119"/>
    <w:p>
      <w:pPr>
        <w:snapToGrid w:val="0"/>
        <w:spacing w:line="360" w:lineRule="auto"/>
        <w:jc w:val="center"/>
        <w:outlineLvl w:val="1"/>
        <w:rPr>
          <w:rFonts w:hint="eastAsia" w:ascii="仿宋" w:hAnsi="仿宋" w:eastAsia="仿宋" w:cs="仿宋"/>
          <w:b/>
          <w:bCs/>
          <w:color w:val="auto"/>
          <w:sz w:val="30"/>
          <w:szCs w:val="30"/>
        </w:rPr>
      </w:pPr>
      <w:bookmarkStart w:id="120" w:name="_Toc14104"/>
      <w:bookmarkStart w:id="121" w:name="_Toc25789"/>
      <w:bookmarkStart w:id="122" w:name="_Toc17388"/>
      <w:bookmarkStart w:id="123" w:name="_Toc25006"/>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pPr>
        <w:pStyle w:val="12"/>
        <w:numPr>
          <w:ilvl w:val="0"/>
          <w:numId w:val="0"/>
        </w:numPr>
        <w:ind w:leftChars="0"/>
        <w:rPr>
          <w:rFonts w:hint="eastAsia"/>
          <w:color w:val="auto"/>
        </w:rPr>
      </w:pPr>
    </w:p>
    <w:p>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pPr>
        <w:tabs>
          <w:tab w:val="left" w:leader="dot" w:pos="7380"/>
        </w:tabs>
        <w:snapToGrid w:val="0"/>
        <w:spacing w:line="324" w:lineRule="auto"/>
        <w:jc w:val="left"/>
        <w:rPr>
          <w:rFonts w:hint="eastAsia" w:ascii="仿宋" w:hAnsi="仿宋" w:eastAsia="仿宋" w:cs="仿宋"/>
          <w:b/>
          <w:bCs/>
          <w:color w:val="auto"/>
          <w:sz w:val="32"/>
          <w:szCs w:val="32"/>
        </w:rPr>
      </w:pPr>
    </w:p>
    <w:p>
      <w:pPr>
        <w:pStyle w:val="12"/>
        <w:rPr>
          <w:rFonts w:hint="eastAsia"/>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spacing w:before="0" w:beforeLines="0" w:after="313" w:afterLines="100" w:line="240" w:lineRule="auto"/>
        <w:jc w:val="center"/>
        <w:outlineLvl w:val="0"/>
        <w:rPr>
          <w:rFonts w:ascii="仿宋" w:hAnsi="仿宋" w:eastAsia="仿宋" w:cs="仿宋"/>
          <w:b/>
          <w:color w:val="auto"/>
          <w:sz w:val="36"/>
          <w:szCs w:val="36"/>
        </w:rPr>
      </w:pPr>
      <w:bookmarkStart w:id="124" w:name="_Toc5293"/>
      <w:bookmarkStart w:id="125" w:name="_Toc26224"/>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20"/>
      <w:bookmarkEnd w:id="121"/>
      <w:bookmarkEnd w:id="122"/>
      <w:bookmarkEnd w:id="123"/>
      <w:bookmarkEnd w:id="124"/>
      <w:bookmarkEnd w:id="125"/>
    </w:p>
    <w:p>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评审委员会评价响应文件的实质性，对于供应商人而言，除评审委员会要求其澄清、说明或者更正而提供的资料外，仅依据响应文件本身的内容，不寻求其他外部证据。</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26" w:name="_Toc2492_WPSOffice_Level2"/>
      <w:bookmarkStart w:id="127" w:name="_Toc26115_WPSOffice_Level2"/>
      <w:bookmarkStart w:id="128" w:name="_Toc2136"/>
      <w:r>
        <w:rPr>
          <w:rFonts w:hint="eastAsia" w:ascii="仿宋" w:hAnsi="仿宋" w:eastAsia="仿宋" w:cs="仿宋"/>
          <w:b/>
          <w:color w:val="auto"/>
          <w:sz w:val="30"/>
          <w:szCs w:val="30"/>
        </w:rPr>
        <w:t>评审方法</w:t>
      </w:r>
      <w:bookmarkEnd w:id="126"/>
      <w:bookmarkEnd w:id="127"/>
      <w:bookmarkEnd w:id="128"/>
    </w:p>
    <w:p>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仿宋" w:hAnsi="仿宋" w:eastAsia="仿宋"/>
          <w:color w:val="auto"/>
          <w:sz w:val="30"/>
          <w:szCs w:val="30"/>
        </w:rPr>
      </w:pPr>
      <w:r>
        <w:rPr>
          <w:rFonts w:hint="eastAsia" w:ascii="仿宋" w:hAnsi="仿宋" w:eastAsia="仿宋" w:cs="仿宋"/>
          <w:color w:val="auto"/>
          <w:sz w:val="30"/>
          <w:szCs w:val="30"/>
        </w:rPr>
        <w:t>三、谈判程序</w:t>
      </w:r>
    </w:p>
    <w:p>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谈判小组正式评审前，应当对谈判文件进行熟悉和理解，内容主要包括谈判文件中供应商资格条件要求、采购项目技术、服务和商务要求、谈判办法和标准、政府采购政策要求以及政府采购合同主要条款等。</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）采购项目属于政府采购促进中小企业发展的范围，但是谈判文件未依法体现促进中小企业发展相关规定的；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）谈判文件载明的成交原则不合法的；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6</w:t>
      </w:r>
      <w:r>
        <w:rPr>
          <w:rFonts w:hint="eastAsia" w:ascii="仿宋" w:hAnsi="仿宋" w:eastAsia="仿宋" w:cs="仿宋"/>
          <w:b w:val="0"/>
          <w:color w:val="auto"/>
          <w:sz w:val="24"/>
        </w:rPr>
        <w:t>）谈判文件有违反国家其他有关强制性规定的情形。</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规定应当停止评审情形的，谈判小组应当向采购组织单位书面书面说明情况。除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pPr>
        <w:pStyle w:val="12"/>
        <w:spacing w:line="360" w:lineRule="auto"/>
        <w:rPr>
          <w:color w:val="auto"/>
        </w:rPr>
      </w:pPr>
    </w:p>
    <w:p>
      <w:pPr>
        <w:widowControl/>
        <w:spacing w:line="360" w:lineRule="auto"/>
        <w:ind w:firstLine="482" w:firstLineChars="200"/>
        <w:jc w:val="left"/>
        <w:rPr>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.4采购人或者采购代理机构宣布未通过资格性审查的供应商名单时，应当告知供应商未通过审查的原因。 </w:t>
      </w:r>
    </w:p>
    <w:p>
      <w:pPr>
        <w:pStyle w:val="12"/>
        <w:spacing w:line="360" w:lineRule="auto"/>
        <w:rPr>
          <w:color w:val="auto"/>
        </w:rPr>
      </w:pPr>
    </w:p>
    <w:p>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pPr>
        <w:widowControl/>
        <w:spacing w:line="360" w:lineRule="auto"/>
        <w:ind w:firstLine="480" w:firstLineChars="200"/>
        <w:jc w:val="left"/>
        <w:rPr>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）响应文件仍中有规定的其他无效响应情形的。</w:t>
      </w:r>
    </w:p>
    <w:p>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pPr>
        <w:keepNext w:val="0"/>
        <w:spacing w:line="360" w:lineRule="auto"/>
        <w:ind w:firstLine="480" w:firstLineChars="200"/>
        <w:outlineLvl w:val="9"/>
        <w:rPr>
          <w:rFonts w:ascii="仿宋" w:hAnsi="仿宋" w:eastAsia="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pPr>
        <w:spacing w:line="360" w:lineRule="auto"/>
        <w:rPr>
          <w:color w:val="auto"/>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pPr>
        <w:pStyle w:val="1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pPr>
        <w:pStyle w:val="1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pPr>
        <w:pStyle w:val="1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pPr>
        <w:spacing w:line="360" w:lineRule="auto"/>
        <w:ind w:firstLine="480" w:firstLineChars="200"/>
        <w:rPr>
          <w:rFonts w:ascii="仿宋" w:hAnsi="仿宋" w:eastAsia="仿宋" w:cs="仿宋"/>
          <w:color w:val="auto"/>
          <w:sz w:val="24"/>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pPr>
        <w:pStyle w:val="12"/>
        <w:spacing w:line="360" w:lineRule="auto"/>
        <w:rPr>
          <w:color w:val="auto"/>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pPr>
        <w:spacing w:line="360" w:lineRule="auto"/>
        <w:ind w:firstLine="482" w:firstLineChars="200"/>
        <w:rPr>
          <w:rFonts w:hint="eastAsia" w:ascii="仿宋" w:hAnsi="仿宋" w:eastAsia="仿宋" w:cs="仿宋"/>
          <w:b/>
          <w:bCs/>
          <w:color w:val="auto"/>
          <w:sz w:val="24"/>
          <w:lang w:val="en-US" w:eastAsia="zh-CN"/>
        </w:rPr>
      </w:pPr>
    </w:p>
    <w:p>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pPr>
        <w:pStyle w:val="12"/>
        <w:rPr>
          <w:rFonts w:hint="eastAsia"/>
          <w:lang w:val="en-US" w:eastAsia="zh-CN"/>
        </w:rPr>
      </w:pPr>
    </w:p>
    <w:p>
      <w:pPr>
        <w:pStyle w:val="12"/>
        <w:rPr>
          <w:rFonts w:hint="eastAsia"/>
          <w:lang w:val="en-US" w:eastAsia="zh-CN"/>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pPr>
        <w:tabs>
          <w:tab w:val="left" w:pos="851"/>
        </w:tabs>
        <w:spacing w:line="360" w:lineRule="auto"/>
        <w:ind w:firstLine="480" w:firstLineChars="200"/>
        <w:rPr>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pPr>
        <w:spacing w:line="360" w:lineRule="auto"/>
        <w:ind w:firstLine="480" w:firstLineChars="200"/>
        <w:rPr>
          <w:rFonts w:ascii="仿宋" w:hAnsi="仿宋" w:eastAsia="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法律、法规和规章规定的其他义务。</w:t>
      </w:r>
    </w:p>
    <w:p>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pPr>
        <w:pStyle w:val="112"/>
        <w:tabs>
          <w:tab w:val="left" w:pos="7665"/>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pPr>
        <w:pStyle w:val="112"/>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pPr>
        <w:pStyle w:val="112"/>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pPr>
        <w:pStyle w:val="112"/>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29" w:name="_Toc31949"/>
      <w:bookmarkStart w:id="130" w:name="_Toc2688"/>
      <w:bookmarkStart w:id="131" w:name="_Toc4895"/>
      <w:bookmarkStart w:id="132" w:name="_Toc3219"/>
      <w:bookmarkStart w:id="133" w:name="_Toc19182"/>
      <w:bookmarkStart w:id="134" w:name="_Toc27128"/>
      <w:r>
        <w:rPr>
          <w:rFonts w:hint="eastAsia" w:ascii="仿宋" w:hAnsi="仿宋" w:eastAsia="仿宋" w:cs="仿宋"/>
          <w:color w:val="auto"/>
          <w:sz w:val="24"/>
          <w:lang w:eastAsia="zh-CN"/>
        </w:rPr>
        <w:t>。</w:t>
      </w:r>
    </w:p>
    <w:p>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0"/>
        <w:rPr>
          <w:rFonts w:ascii="仿宋" w:hAnsi="仿宋" w:eastAsia="仿宋" w:cs="仿宋"/>
          <w:color w:val="auto"/>
          <w:sz w:val="36"/>
          <w:szCs w:val="36"/>
        </w:rPr>
      </w:pPr>
      <w:r>
        <w:rPr>
          <w:rStyle w:val="73"/>
          <w:rFonts w:hint="eastAsia" w:ascii="仿宋" w:hAnsi="仿宋" w:eastAsia="仿宋" w:cs="仿宋"/>
          <w:color w:val="auto"/>
          <w:sz w:val="36"/>
          <w:szCs w:val="36"/>
        </w:rPr>
        <w:t>第九章 采购合同（样例</w:t>
      </w:r>
      <w:bookmarkEnd w:id="129"/>
      <w:r>
        <w:rPr>
          <w:rFonts w:hint="eastAsia" w:ascii="仿宋" w:hAnsi="仿宋" w:eastAsia="仿宋" w:cs="仿宋"/>
          <w:color w:val="auto"/>
          <w:sz w:val="36"/>
          <w:szCs w:val="36"/>
        </w:rPr>
        <w:t>）</w:t>
      </w:r>
      <w:bookmarkEnd w:id="130"/>
      <w:bookmarkEnd w:id="131"/>
      <w:bookmarkEnd w:id="132"/>
      <w:bookmarkEnd w:id="133"/>
      <w:bookmarkEnd w:id="134"/>
      <w:bookmarkStart w:id="135" w:name="_Hlt101846155"/>
      <w:bookmarkEnd w:id="135"/>
    </w:p>
    <w:p>
      <w:pPr>
        <w:spacing w:line="360" w:lineRule="auto"/>
        <w:ind w:firstLine="0" w:firstLineChars="0"/>
        <w:rPr>
          <w:rFonts w:hint="eastAsia" w:ascii="仿宋" w:hAnsi="仿宋" w:eastAsia="仿宋"/>
          <w:b/>
          <w:color w:val="000000" w:themeColor="text1"/>
          <w:sz w:val="24"/>
          <w14:textFill>
            <w14:solidFill>
              <w14:schemeClr w14:val="tx1"/>
            </w14:solidFill>
          </w14:textFill>
        </w:rPr>
      </w:pPr>
      <w:bookmarkStart w:id="136" w:name="_Toc11954"/>
      <w:bookmarkStart w:id="137" w:name="_Toc18227"/>
      <w:bookmarkStart w:id="138" w:name="_Toc28018"/>
      <w:bookmarkStart w:id="139" w:name="_Toc20043"/>
    </w:p>
    <w:p>
      <w:pPr>
        <w:spacing w:line="360" w:lineRule="auto"/>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本合同仅供参考，主要内容可根据实际情况自行拟定，但采购文件要约及响应文件承诺的实质性内容不得有任何负偏离。</w:t>
      </w:r>
    </w:p>
    <w:p>
      <w:pPr>
        <w:spacing w:line="360" w:lineRule="auto"/>
        <w:ind w:firstLine="480" w:firstLineChars="200"/>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合同编号：</w:t>
      </w:r>
      <w:r>
        <w:rPr>
          <w:rFonts w:hint="eastAsia" w:ascii="仿宋" w:hAnsi="仿宋" w:eastAsia="仿宋" w:cs="仿宋"/>
          <w:color w:val="auto"/>
          <w:sz w:val="24"/>
        </w:rPr>
        <w:t>JRZB-202</w:t>
      </w:r>
      <w:r>
        <w:rPr>
          <w:rFonts w:hint="eastAsia" w:ascii="仿宋" w:hAnsi="仿宋" w:eastAsia="仿宋" w:cs="仿宋"/>
          <w:color w:val="auto"/>
          <w:sz w:val="24"/>
          <w:lang w:val="en-US" w:eastAsia="zh-CN"/>
        </w:rPr>
        <w:t>4</w:t>
      </w:r>
      <w:r>
        <w:rPr>
          <w:rFonts w:hint="eastAsia" w:ascii="仿宋" w:hAnsi="仿宋" w:eastAsia="仿宋" w:cs="仿宋"/>
          <w:color w:val="auto"/>
          <w:sz w:val="24"/>
        </w:rPr>
        <w:t>-HT</w:t>
      </w:r>
      <w:r>
        <w:rPr>
          <w:rFonts w:hint="eastAsia" w:ascii="仿宋" w:hAnsi="仿宋" w:eastAsia="仿宋" w:cs="仿宋"/>
          <w:color w:val="auto"/>
          <w:sz w:val="24"/>
          <w:u w:val="single"/>
        </w:rPr>
        <w:t xml:space="preserve">   </w:t>
      </w:r>
      <w:r>
        <w:rPr>
          <w:rFonts w:hint="eastAsia" w:ascii="仿宋" w:hAnsi="仿宋" w:eastAsia="仿宋" w:cs="仿宋"/>
          <w:color w:val="auto"/>
          <w:sz w:val="24"/>
        </w:rPr>
        <w:t>号</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签订地点：</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签订时间：</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采购人（甲方）：</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供应商（乙方）：</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根据《中华人民共和国民法典》及（项目名称：</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）（项目编号：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）的《</w:t>
      </w:r>
      <w:r>
        <w:rPr>
          <w:rFonts w:hint="eastAsia" w:ascii="仿宋" w:hAnsi="仿宋" w:eastAsia="仿宋"/>
          <w:bCs/>
          <w:color w:val="000000" w:themeColor="text1"/>
          <w:sz w:val="24"/>
          <w:highlight w:val="none"/>
          <w:lang w:eastAsia="zh-CN"/>
          <w14:textFill>
            <w14:solidFill>
              <w14:schemeClr w14:val="tx1"/>
            </w14:solidFill>
          </w14:textFill>
        </w:rPr>
        <w:t>采购</w:t>
      </w:r>
      <w:r>
        <w:rPr>
          <w:rFonts w:hint="eastAsia" w:ascii="仿宋" w:hAnsi="仿宋" w:eastAsia="仿宋"/>
          <w:bCs/>
          <w:color w:val="000000" w:themeColor="text1"/>
          <w:sz w:val="24"/>
          <w:highlight w:val="none"/>
          <w14:textFill>
            <w14:solidFill>
              <w14:schemeClr w14:val="tx1"/>
            </w14:solidFill>
          </w14:textFill>
        </w:rPr>
        <w:t>文件》、乙方的《响应文件》及《成交通知书》，甲、乙双方同意签订本合同。详细技术说明及其他有关合同项目的特定信息由合同附件予以说明，合同附件及本项目的</w:t>
      </w:r>
      <w:r>
        <w:rPr>
          <w:rFonts w:hint="eastAsia" w:ascii="仿宋" w:hAnsi="仿宋" w:eastAsia="仿宋"/>
          <w:bCs/>
          <w:color w:val="000000" w:themeColor="text1"/>
          <w:sz w:val="24"/>
          <w:highlight w:val="none"/>
          <w:lang w:eastAsia="zh-CN"/>
          <w14:textFill>
            <w14:solidFill>
              <w14:schemeClr w14:val="tx1"/>
            </w14:solidFill>
          </w14:textFill>
        </w:rPr>
        <w:t>《采购文件》</w:t>
      </w:r>
      <w:r>
        <w:rPr>
          <w:rFonts w:hint="eastAsia" w:ascii="仿宋" w:hAnsi="仿宋" w:eastAsia="仿宋"/>
          <w:bCs/>
          <w:color w:val="000000" w:themeColor="text1"/>
          <w:sz w:val="24"/>
          <w:highlight w:val="none"/>
          <w14:textFill>
            <w14:solidFill>
              <w14:schemeClr w14:val="tx1"/>
            </w14:solidFill>
          </w14:textFill>
        </w:rPr>
        <w:t>、</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响应文件</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、《成交通知书》等均为本合同不可分割的部分。双方同意共同遵守如下条款：</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40" w:name="_Toc18566"/>
      <w:bookmarkStart w:id="141" w:name="_Toc19971"/>
      <w:bookmarkStart w:id="142" w:name="_Toc28778_WPSOffice_Level2"/>
      <w:bookmarkStart w:id="143" w:name="_Toc22401"/>
      <w:bookmarkStart w:id="144" w:name="_Toc24568"/>
      <w:bookmarkStart w:id="145" w:name="_Toc13862_WPSOffice_Level2"/>
      <w:bookmarkStart w:id="146" w:name="_Toc5735"/>
      <w:r>
        <w:rPr>
          <w:rFonts w:hint="eastAsia" w:ascii="仿宋" w:hAnsi="仿宋" w:eastAsia="仿宋"/>
          <w:bCs/>
          <w:color w:val="000000" w:themeColor="text1"/>
          <w:sz w:val="24"/>
          <w:highlight w:val="none"/>
          <w14:textFill>
            <w14:solidFill>
              <w14:schemeClr w14:val="tx1"/>
            </w14:solidFill>
          </w14:textFill>
        </w:rPr>
        <w:t>一、合同货物</w:t>
      </w:r>
      <w:bookmarkEnd w:id="140"/>
      <w:bookmarkEnd w:id="141"/>
      <w:bookmarkEnd w:id="142"/>
      <w:bookmarkEnd w:id="143"/>
      <w:bookmarkEnd w:id="144"/>
      <w:bookmarkEnd w:id="145"/>
      <w:bookmarkEnd w:id="146"/>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单价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随机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r>
    </w:tbl>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47" w:name="_Toc28220"/>
      <w:bookmarkStart w:id="148" w:name="_Toc19879"/>
      <w:bookmarkStart w:id="149" w:name="_Toc23002"/>
      <w:bookmarkStart w:id="150" w:name="_Toc15515"/>
      <w:bookmarkStart w:id="151" w:name="_Toc13846_WPSOffice_Level2"/>
      <w:bookmarkStart w:id="152" w:name="_Toc24373"/>
      <w:bookmarkStart w:id="153" w:name="_Toc14596_WPSOffice_Level2"/>
      <w:r>
        <w:rPr>
          <w:rFonts w:hint="eastAsia" w:ascii="仿宋" w:hAnsi="仿宋" w:eastAsia="仿宋"/>
          <w:bCs/>
          <w:color w:val="000000" w:themeColor="text1"/>
          <w:sz w:val="24"/>
          <w:highlight w:val="none"/>
          <w14:textFill>
            <w14:solidFill>
              <w14:schemeClr w14:val="tx1"/>
            </w14:solidFill>
          </w14:textFill>
        </w:rPr>
        <w:t>二、合同总价</w:t>
      </w:r>
      <w:bookmarkEnd w:id="147"/>
      <w:bookmarkEnd w:id="148"/>
      <w:bookmarkEnd w:id="149"/>
      <w:bookmarkEnd w:id="150"/>
      <w:bookmarkEnd w:id="151"/>
      <w:bookmarkEnd w:id="152"/>
      <w:bookmarkEnd w:id="153"/>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合同总价为人民币大写：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元，即￥</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54" w:name="_Toc11500_WPSOffice_Level2"/>
      <w:bookmarkStart w:id="155" w:name="_Toc7072_WPSOffice_Level2"/>
      <w:bookmarkStart w:id="156" w:name="_Toc28116"/>
      <w:bookmarkStart w:id="157" w:name="_Toc3245"/>
      <w:bookmarkStart w:id="158" w:name="_Toc15577"/>
      <w:bookmarkStart w:id="159" w:name="_Toc27619"/>
      <w:bookmarkStart w:id="160" w:name="_Toc10473"/>
      <w:bookmarkStart w:id="161" w:name="_Toc2642"/>
      <w:bookmarkStart w:id="162" w:name="_Toc21909"/>
      <w:bookmarkStart w:id="163" w:name="_Toc20225_WPSOffice_Level2"/>
      <w:bookmarkStart w:id="164" w:name="_Toc26534_WPSOffice_Level2"/>
      <w:bookmarkStart w:id="165" w:name="_Toc7987"/>
      <w:r>
        <w:rPr>
          <w:rFonts w:hint="eastAsia" w:ascii="仿宋" w:hAnsi="仿宋" w:eastAsia="仿宋"/>
          <w:bCs/>
          <w:color w:val="000000" w:themeColor="text1"/>
          <w:sz w:val="24"/>
          <w:highlight w:val="none"/>
          <w14:textFill>
            <w14:solidFill>
              <w14:schemeClr w14:val="tx1"/>
            </w14:solidFill>
          </w14:textFill>
        </w:rPr>
        <w:t>三、质量要求</w:t>
      </w:r>
      <w:bookmarkEnd w:id="154"/>
      <w:bookmarkEnd w:id="155"/>
      <w:bookmarkEnd w:id="156"/>
      <w:bookmarkEnd w:id="157"/>
      <w:bookmarkEnd w:id="158"/>
      <w:bookmarkEnd w:id="159"/>
      <w:bookmarkEnd w:id="160"/>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1、乙方须提供全新的货物（含零部件、配件等），表面无划伤、无碰撞痕迹，且权属清楚，不得侵害他人的知识产权。</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2、货物必须符合或优于国家（行业）</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标准，以及本项目采购文件的质量要求和技术指标与出厂标准。</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3、乙方须在本合同签订之日起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日内送交货物成品样品给甲方确认，在甲方出具样品确认书并封存成品样品外观尺寸后，乙方才能按样生产，并以此样品作为验收样品；每台货物上均应有产品质量检验合格标志。</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4、货物制造质量出现问题，乙方应负责三包（包修、包换、包退），费用由乙方负担，甲方有权到乙方生产场地检查货物质量和生产进度。</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5、货到现场后由于甲方保管不当造成的质量问题，乙方亦应负责修理，但费用由甲方负担。</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66" w:name="_Toc11257"/>
      <w:bookmarkStart w:id="167" w:name="_Toc22055"/>
      <w:r>
        <w:rPr>
          <w:rFonts w:hint="eastAsia" w:ascii="仿宋" w:hAnsi="仿宋" w:eastAsia="仿宋"/>
          <w:bCs/>
          <w:color w:val="000000" w:themeColor="text1"/>
          <w:sz w:val="24"/>
          <w:highlight w:val="none"/>
          <w14:textFill>
            <w14:solidFill>
              <w14:schemeClr w14:val="tx1"/>
            </w14:solidFill>
          </w14:textFill>
        </w:rPr>
        <w:t>四、交货及验收</w:t>
      </w:r>
      <w:bookmarkEnd w:id="161"/>
      <w:bookmarkEnd w:id="162"/>
      <w:bookmarkEnd w:id="163"/>
      <w:bookmarkEnd w:id="164"/>
      <w:bookmarkEnd w:id="165"/>
      <w:bookmarkEnd w:id="166"/>
      <w:bookmarkEnd w:id="167"/>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1、乙方交货期限为合同签订生效后的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日内，在合同签订生效之日起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天内交货到甲方指定地点，随即在</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日内全部完成安装调试验收合格交付使用，并且最迟应在</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年</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月</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日前全部完成安装调试验收合格交付使用(如由于采购人的原因造成合同延迟签订或验收的，时间顺延)。交货验收时须提供产品质检部门从同类产品中抽样检查合格的检测报告。</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2、验收由</w:t>
      </w:r>
      <w:r>
        <w:rPr>
          <w:rFonts w:hint="eastAsia" w:ascii="仿宋" w:hAnsi="仿宋" w:eastAsia="仿宋"/>
          <w:bCs/>
          <w:color w:val="000000" w:themeColor="text1"/>
          <w:sz w:val="24"/>
          <w:highlight w:val="none"/>
          <w:lang w:eastAsia="zh-CN"/>
          <w14:textFill>
            <w14:solidFill>
              <w14:schemeClr w14:val="tx1"/>
            </w14:solidFill>
          </w14:textFill>
        </w:rPr>
        <w:t>甲方</w:t>
      </w:r>
      <w:r>
        <w:rPr>
          <w:rFonts w:hint="eastAsia" w:ascii="仿宋" w:hAnsi="仿宋" w:eastAsia="仿宋"/>
          <w:bCs/>
          <w:color w:val="000000" w:themeColor="text1"/>
          <w:sz w:val="24"/>
          <w:highlight w:val="none"/>
          <w14:textFill>
            <w14:solidFill>
              <w14:schemeClr w14:val="tx1"/>
            </w14:solidFill>
          </w14:textFill>
        </w:rPr>
        <w:t>组织，乙方配合进行：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 货物在乙方通知安装调试完毕后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日内初步验收。初步验收合格后，进入</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试用期；试用期间发生重大质量问题，修复后试用相应顺延；试用期结束后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日内完成最终验收；</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 验收标准：按国家有关规定以及甲方采购文件的质量要求和技术指标、乙方的响应文件及承诺与本合同约定标准进行验收；甲乙双方如对质量要求和技术指标的约定标准有相互抵触或异议的事项，由甲方在采购文件与响应文件中按质量要求和技术指标比较优胜的原则确定该项的约定标准进行验收；</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 如质量验收合格，双方签署质量验收报告。</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3、货物安装完成后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日内，甲方无故不进行验收工作并已使用货物的，视同已安装调试完成并验收合格。</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4、乙方应将所提供货物的装箱清单、配件、随机工具、用户使用手册、原厂保修卡等资料交付给甲方；乙方不能完整交付货物及本款规定的单证和工具的，必须负责补齐，否则视为未按合同约定交货。</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5、如货物经乙方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次维修仍不能达到合同约定的质量标准，甲方有权退货，并视作乙方不能交付货物而须支付违约赔偿金给甲方，甲方还可依法追究乙方的违约责任。 </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68" w:name="_Toc16167"/>
      <w:bookmarkStart w:id="169" w:name="_Toc4150_WPSOffice_Level2"/>
      <w:bookmarkStart w:id="170" w:name="_Toc26995"/>
      <w:bookmarkStart w:id="171" w:name="_Toc13153"/>
      <w:bookmarkStart w:id="172" w:name="_Toc17119"/>
      <w:bookmarkStart w:id="173" w:name="_Toc21433"/>
      <w:bookmarkStart w:id="174" w:name="_Toc12785_WPSOffice_Level2"/>
      <w:r>
        <w:rPr>
          <w:rFonts w:hint="eastAsia" w:ascii="仿宋" w:hAnsi="仿宋" w:eastAsia="仿宋"/>
          <w:bCs/>
          <w:color w:val="000000" w:themeColor="text1"/>
          <w:sz w:val="24"/>
          <w:highlight w:val="none"/>
          <w14:textFill>
            <w14:solidFill>
              <w14:schemeClr w14:val="tx1"/>
            </w14:solidFill>
          </w14:textFill>
        </w:rPr>
        <w:t>五、付款方式</w:t>
      </w:r>
      <w:bookmarkEnd w:id="168"/>
      <w:bookmarkEnd w:id="169"/>
      <w:bookmarkEnd w:id="170"/>
      <w:bookmarkEnd w:id="171"/>
      <w:bookmarkEnd w:id="172"/>
      <w:bookmarkEnd w:id="173"/>
      <w:bookmarkEnd w:id="174"/>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1、甲方在本合同签订生效之日起接到乙方通知和票据凭证资料以及乙方交给甲方的合同履约保证金（按合同总价的百分之</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计算款额￥</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日内支付合同金额百分之     的价款；</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2、全部货物安装调试完毕并验收合格之日起，甲方接到乙方通知与票据凭证资料以后的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日内，提交支付凭证资料给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办理支付手续，并由其向乙方核拨合同总价的百分之</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款项：￥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3、合同履约保证金：在货物验收合格满</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后，甲方财务部门接到乙方通知和支付凭证资料文件，以及由甲方确认本合同货物质量与服务等约定事项已经履行完毕的正式书面文件后的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日内，递交结算凭证资料给银行并由其向乙方支付价款￥</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 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4、乙方须向甲方出具合法有效完整的完税发票及凭证资料进行支付结算。</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75" w:name="_Toc10488_WPSOffice_Level2"/>
      <w:bookmarkStart w:id="176" w:name="_Toc29040"/>
      <w:bookmarkStart w:id="177" w:name="_Toc8403"/>
      <w:bookmarkStart w:id="178" w:name="_Toc9684_WPSOffice_Level2"/>
      <w:bookmarkStart w:id="179" w:name="_Toc2252"/>
      <w:bookmarkStart w:id="180" w:name="_Toc21573"/>
      <w:bookmarkStart w:id="181" w:name="_Toc24545"/>
      <w:r>
        <w:rPr>
          <w:rFonts w:hint="eastAsia" w:ascii="仿宋" w:hAnsi="仿宋" w:eastAsia="仿宋"/>
          <w:bCs/>
          <w:color w:val="000000" w:themeColor="text1"/>
          <w:sz w:val="24"/>
          <w:highlight w:val="none"/>
          <w14:textFill>
            <w14:solidFill>
              <w14:schemeClr w14:val="tx1"/>
            </w14:solidFill>
          </w14:textFill>
        </w:rPr>
        <w:t>六、售后服务</w:t>
      </w:r>
      <w:bookmarkEnd w:id="175"/>
      <w:bookmarkEnd w:id="176"/>
      <w:bookmarkEnd w:id="177"/>
      <w:bookmarkEnd w:id="178"/>
      <w:bookmarkEnd w:id="179"/>
      <w:bookmarkEnd w:id="180"/>
      <w:bookmarkEnd w:id="181"/>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1、质保期为验收合格后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年，质保期内出现质量问题，乙方在接到通知后   小时内响应到场，</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小时内完成维修或更换，并承担修理调换的费用；如货物经乙方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2、乙方须指派专人负责与甲方联系售后服务事宜。 </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82" w:name="_Toc30786_WPSOffice_Level2"/>
      <w:bookmarkStart w:id="183" w:name="_Toc2558"/>
      <w:bookmarkStart w:id="184" w:name="_Toc11246"/>
      <w:bookmarkStart w:id="185" w:name="_Toc4430_WPSOffice_Level2"/>
      <w:bookmarkStart w:id="186" w:name="_Toc20849"/>
      <w:bookmarkStart w:id="187" w:name="_Toc15122"/>
      <w:bookmarkStart w:id="188" w:name="_Toc32134"/>
      <w:r>
        <w:rPr>
          <w:rFonts w:hint="eastAsia" w:ascii="仿宋" w:hAnsi="仿宋" w:eastAsia="仿宋"/>
          <w:bCs/>
          <w:color w:val="000000" w:themeColor="text1"/>
          <w:sz w:val="24"/>
          <w:highlight w:val="none"/>
          <w14:textFill>
            <w14:solidFill>
              <w14:schemeClr w14:val="tx1"/>
            </w14:solidFill>
          </w14:textFill>
        </w:rPr>
        <w:t>七、违约责任</w:t>
      </w:r>
      <w:bookmarkEnd w:id="182"/>
      <w:bookmarkEnd w:id="183"/>
      <w:bookmarkEnd w:id="184"/>
      <w:bookmarkEnd w:id="185"/>
      <w:bookmarkEnd w:id="186"/>
      <w:bookmarkEnd w:id="187"/>
      <w:bookmarkEnd w:id="188"/>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89" w:name="_Toc27"/>
      <w:bookmarkStart w:id="190" w:name="_Toc5071"/>
      <w:bookmarkStart w:id="191" w:name="_Toc14696"/>
      <w:bookmarkStart w:id="192" w:name="_Toc17067_WPSOffice_Level2"/>
      <w:bookmarkStart w:id="193" w:name="_Toc10792_WPSOffice_Level2"/>
      <w:r>
        <w:rPr>
          <w:rFonts w:hint="eastAsia" w:ascii="仿宋" w:hAnsi="仿宋" w:eastAsia="仿宋"/>
          <w:bCs/>
          <w:color w:val="000000" w:themeColor="text1"/>
          <w:sz w:val="24"/>
          <w:highlight w:val="none"/>
          <w14:textFill>
            <w14:solidFill>
              <w14:schemeClr w14:val="tx1"/>
            </w14:solidFill>
          </w14:textFill>
        </w:rPr>
        <w:t>1、任何一方无故终止合同，应按照合同总价的10%向另一方支付违约赔偿金和相关损失。对于损失的赔偿，甲、乙双方将本着诚实信用及互谅互让的原则友好协商解决或提交项目所在地法院诉讼。</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2、如乙方在履约过程中发生重大安全事故，或因乙方责任发生安全事故，甲方将向乙方索赔并终止本合同。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3、乙方在合同期内存在弄虚作假、未按要求完成工作量、未提供应提供的资料等严重违约行为，除承担违约责任外，甲方将有权终止本合同。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4" w:name="_Toc19662"/>
      <w:bookmarkStart w:id="195" w:name="_Toc6915"/>
      <w:r>
        <w:rPr>
          <w:rFonts w:hint="eastAsia" w:ascii="仿宋" w:hAnsi="仿宋" w:eastAsia="仿宋"/>
          <w:bCs/>
          <w:color w:val="000000" w:themeColor="text1"/>
          <w:sz w:val="24"/>
          <w:highlight w:val="none"/>
          <w14:textFill>
            <w14:solidFill>
              <w14:schemeClr w14:val="tx1"/>
            </w14:solidFill>
          </w14:textFill>
        </w:rPr>
        <w:t>八、争议解决办法</w:t>
      </w:r>
      <w:bookmarkEnd w:id="189"/>
      <w:bookmarkEnd w:id="190"/>
      <w:bookmarkEnd w:id="191"/>
      <w:bookmarkEnd w:id="192"/>
      <w:bookmarkEnd w:id="193"/>
      <w:bookmarkEnd w:id="194"/>
      <w:bookmarkEnd w:id="195"/>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1、因货物的质量问题发生争议，由质量技术监督部门或其指定的质量鉴定机构进行质量鉴定。货物符合标准的，鉴定费由甲方承担；货物不符合质量标准的，鉴定费由乙方承担。</w:t>
      </w:r>
    </w:p>
    <w:p>
      <w:pPr>
        <w:spacing w:line="360" w:lineRule="auto"/>
        <w:ind w:firstLine="480" w:firstLineChars="200"/>
        <w:rPr>
          <w:rFonts w:hint="eastAsia" w:ascii="仿宋" w:hAnsi="仿宋" w:eastAsia="仿宋"/>
          <w:bCs/>
          <w:color w:val="000000" w:themeColor="text1"/>
          <w:sz w:val="24"/>
          <w:highlight w:val="magenta"/>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2、合同履行期间,若双方发生争议，可协商或由有关部门调解解决，协商或调解不成的，</w:t>
      </w:r>
      <w:r>
        <w:rPr>
          <w:rFonts w:hint="eastAsia" w:ascii="仿宋" w:hAnsi="仿宋" w:eastAsia="仿宋"/>
          <w:bCs/>
          <w:color w:val="000000" w:themeColor="text1"/>
          <w:sz w:val="24"/>
          <w:highlight w:val="magenta"/>
          <w14:textFill>
            <w14:solidFill>
              <w14:schemeClr w14:val="tx1"/>
            </w14:solidFill>
          </w14:textFill>
        </w:rPr>
        <w:t>向甲方住所地人民法院提起诉讼。</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6" w:name="_Toc16599"/>
      <w:bookmarkStart w:id="197" w:name="_Toc32703"/>
      <w:bookmarkStart w:id="198" w:name="_Toc17213"/>
      <w:bookmarkStart w:id="199" w:name="_Toc17652"/>
      <w:bookmarkStart w:id="200" w:name="_Toc16028_WPSOffice_Level2"/>
      <w:bookmarkStart w:id="201" w:name="_Toc23388"/>
      <w:bookmarkStart w:id="202" w:name="_Toc10471_WPSOffice_Level2"/>
      <w:r>
        <w:rPr>
          <w:rFonts w:hint="eastAsia" w:ascii="仿宋" w:hAnsi="仿宋" w:eastAsia="仿宋"/>
          <w:bCs/>
          <w:color w:val="000000" w:themeColor="text1"/>
          <w:sz w:val="24"/>
          <w:highlight w:val="none"/>
          <w14:textFill>
            <w14:solidFill>
              <w14:schemeClr w14:val="tx1"/>
            </w14:solidFill>
          </w14:textFill>
        </w:rPr>
        <w:t>九、其他</w:t>
      </w:r>
      <w:bookmarkEnd w:id="196"/>
      <w:bookmarkEnd w:id="197"/>
      <w:bookmarkEnd w:id="198"/>
      <w:bookmarkEnd w:id="199"/>
      <w:bookmarkEnd w:id="200"/>
      <w:bookmarkEnd w:id="201"/>
      <w:bookmarkEnd w:id="202"/>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1、如有未尽事宜，由双方依法订立补充合同。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2、本合同一式X份，自双方签章之日起生效。甲方X份、乙方X份、采购代理机构一份。</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tbl>
      <w:tblPr>
        <w:tblStyle w:val="26"/>
        <w:tblpPr w:leftFromText="180" w:rightFromText="180" w:vertAnchor="text" w:horzAnchor="page" w:tblpX="1397" w:tblpY="223"/>
        <w:tblOverlap w:val="never"/>
        <w:tblW w:w="95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63"/>
        <w:gridCol w:w="47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76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甲方（盖章）：</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甲方代表（签字）：</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开户帐号：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c>
          <w:tcPr>
            <w:tcW w:w="476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乙方（盖章）：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乙方代表（签字）：</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地址：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开户帐号：</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r>
    </w:tbl>
    <w:p>
      <w:pPr>
        <w:spacing w:line="360" w:lineRule="auto"/>
        <w:ind w:firstLine="482" w:firstLineChars="200"/>
        <w:rPr>
          <w:rFonts w:hint="eastAsia" w:ascii="仿宋" w:hAnsi="仿宋" w:eastAsia="仿宋"/>
          <w:b/>
          <w:color w:val="auto"/>
          <w:sz w:val="24"/>
        </w:rPr>
      </w:pPr>
    </w:p>
    <w:p>
      <w:pPr>
        <w:pStyle w:val="12"/>
        <w:rPr>
          <w:rFonts w:hint="eastAsia" w:ascii="仿宋" w:hAnsi="仿宋" w:eastAsia="仿宋" w:cs="仿宋"/>
          <w:color w:val="auto"/>
          <w:sz w:val="36"/>
          <w:szCs w:val="36"/>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pPr>
        <w:pStyle w:val="4"/>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203" w:name="_Toc14066"/>
      <w:bookmarkStart w:id="204" w:name="_Toc6079"/>
      <w:r>
        <w:rPr>
          <w:rFonts w:hint="eastAsia" w:ascii="仿宋" w:hAnsi="仿宋" w:eastAsia="仿宋" w:cs="仿宋"/>
          <w:color w:val="auto"/>
          <w:sz w:val="36"/>
          <w:szCs w:val="36"/>
        </w:rPr>
        <w:t>第十章 附件</w:t>
      </w:r>
      <w:bookmarkEnd w:id="136"/>
      <w:bookmarkEnd w:id="137"/>
      <w:bookmarkEnd w:id="138"/>
      <w:bookmarkEnd w:id="139"/>
      <w:bookmarkEnd w:id="203"/>
      <w:bookmarkEnd w:id="204"/>
    </w:p>
    <w:p>
      <w:pPr>
        <w:spacing w:before="170"/>
        <w:ind w:right="0" w:rightChars="0"/>
        <w:jc w:val="center"/>
        <w:outlineLvl w:val="1"/>
        <w:rPr>
          <w:rFonts w:hint="eastAsia" w:ascii="仿宋" w:hAnsi="仿宋" w:eastAsia="仿宋" w:cs="仿宋"/>
          <w:b/>
          <w:bCs/>
          <w:color w:val="auto"/>
          <w:sz w:val="36"/>
          <w:szCs w:val="36"/>
          <w:lang w:eastAsia="zh-CN"/>
        </w:rPr>
      </w:pPr>
      <w:bookmarkStart w:id="205"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205"/>
    </w:p>
    <w:p>
      <w:pPr>
        <w:rPr>
          <w:color w:val="auto"/>
        </w:rPr>
      </w:pPr>
    </w:p>
    <w:tbl>
      <w:tblPr>
        <w:tblStyle w:val="26"/>
        <w:tblW w:w="8820" w:type="dxa"/>
        <w:jc w:val="center"/>
        <w:tblLayout w:type="fixed"/>
        <w:tblCellMar>
          <w:top w:w="0" w:type="dxa"/>
          <w:left w:w="108" w:type="dxa"/>
          <w:bottom w:w="0" w:type="dxa"/>
          <w:right w:w="108" w:type="dxa"/>
        </w:tblCellMar>
      </w:tblPr>
      <w:tblGrid>
        <w:gridCol w:w="2467"/>
        <w:gridCol w:w="6353"/>
      </w:tblGrid>
      <w:tr>
        <w:tblPrEx>
          <w:tblCellMar>
            <w:top w:w="0" w:type="dxa"/>
            <w:left w:w="108" w:type="dxa"/>
            <w:bottom w:w="0" w:type="dxa"/>
            <w:right w:w="108" w:type="dxa"/>
          </w:tblCellMar>
        </w:tblPrEx>
        <w:trPr>
          <w:trHeight w:val="571" w:hRule="atLeast"/>
          <w:jc w:val="center"/>
        </w:trPr>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3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left"/>
              <w:textAlignment w:val="center"/>
              <w:rPr>
                <w:rFonts w:ascii="仿宋" w:hAnsi="仿宋" w:eastAsia="仿宋" w:cs="仿宋"/>
                <w:color w:val="auto"/>
                <w:sz w:val="32"/>
                <w:szCs w:val="32"/>
              </w:rPr>
            </w:pPr>
          </w:p>
        </w:tc>
      </w:tr>
      <w:tr>
        <w:tblPrEx>
          <w:tblCellMar>
            <w:top w:w="0" w:type="dxa"/>
            <w:left w:w="108" w:type="dxa"/>
            <w:bottom w:w="0" w:type="dxa"/>
            <w:right w:w="108" w:type="dxa"/>
          </w:tblCellMar>
        </w:tblPrEx>
        <w:trPr>
          <w:trHeight w:val="530" w:hRule="atLeast"/>
          <w:jc w:val="center"/>
        </w:trPr>
        <w:tc>
          <w:tcPr>
            <w:tcW w:w="2467"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353"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spacing w:line="360" w:lineRule="auto"/>
              <w:jc w:val="left"/>
              <w:textAlignment w:val="center"/>
              <w:rPr>
                <w:rFonts w:ascii="仿宋" w:hAnsi="仿宋" w:eastAsia="仿宋" w:cs="仿宋"/>
                <w:color w:val="auto"/>
                <w:sz w:val="32"/>
                <w:szCs w:val="32"/>
              </w:rPr>
            </w:pPr>
          </w:p>
        </w:tc>
      </w:tr>
      <w:tr>
        <w:tblPrEx>
          <w:tblCellMar>
            <w:top w:w="0" w:type="dxa"/>
            <w:left w:w="108" w:type="dxa"/>
            <w:bottom w:w="0" w:type="dxa"/>
            <w:right w:w="108" w:type="dxa"/>
          </w:tblCellMar>
        </w:tblPrEx>
        <w:trPr>
          <w:trHeight w:val="634" w:hRule="atLeast"/>
          <w:jc w:val="center"/>
        </w:trPr>
        <w:tc>
          <w:tcPr>
            <w:tcW w:w="246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353"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tblPrEx>
          <w:tblCellMar>
            <w:top w:w="0" w:type="dxa"/>
            <w:left w:w="108" w:type="dxa"/>
            <w:bottom w:w="0" w:type="dxa"/>
            <w:right w:w="108" w:type="dxa"/>
          </w:tblCellMar>
        </w:tblPrEx>
        <w:trPr>
          <w:trHeight w:val="611"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66"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74"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64"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94"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19"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22"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38"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3602"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pPr>
        <w:rPr>
          <w:rFonts w:ascii="仿宋" w:hAnsi="仿宋" w:eastAsia="仿宋" w:cs="仿宋"/>
          <w:color w:val="auto"/>
          <w:sz w:val="10"/>
          <w:szCs w:val="10"/>
        </w:rPr>
      </w:pPr>
    </w:p>
    <w:p>
      <w:pPr>
        <w:rPr>
          <w:rFonts w:ascii="仿宋" w:hAnsi="仿宋" w:eastAsia="仿宋" w:cs="仿宋"/>
          <w:color w:val="auto"/>
          <w:sz w:val="10"/>
          <w:szCs w:val="10"/>
        </w:rPr>
      </w:pPr>
    </w:p>
    <w:p>
      <w:pPr>
        <w:rPr>
          <w:rFonts w:ascii="仿宋" w:hAnsi="仿宋" w:eastAsia="仿宋" w:cs="仿宋"/>
          <w:color w:val="auto"/>
          <w:sz w:val="10"/>
          <w:szCs w:val="10"/>
        </w:rPr>
      </w:pPr>
    </w:p>
    <w:p>
      <w:pPr>
        <w:rPr>
          <w:rFonts w:ascii="仿宋" w:hAnsi="仿宋" w:eastAsia="仿宋" w:cs="仿宋"/>
          <w:color w:val="auto"/>
          <w:sz w:val="10"/>
          <w:szCs w:val="10"/>
        </w:rPr>
      </w:pPr>
    </w:p>
    <w:p>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9"/>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- 90 -</w:t>
                    </w:r>
                    <w: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pPr>
      <w:pStyle w:val="20"/>
      <w:jc w:val="left"/>
    </w:pPr>
  </w:p>
  <w:p>
    <w:pPr>
      <w:pStyle w:val="20"/>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FDBB"/>
    <w:multiLevelType w:val="singleLevel"/>
    <w:tmpl w:val="AE90FDBB"/>
    <w:lvl w:ilvl="0" w:tentative="0">
      <w:start w:val="1"/>
      <w:numFmt w:val="chineseCounting"/>
      <w:suff w:val="nothing"/>
      <w:lvlText w:val="%1、"/>
      <w:lvlJc w:val="left"/>
      <w:rPr>
        <w:rFonts w:hint="eastAsia"/>
      </w:rPr>
    </w:lvl>
  </w:abstractNum>
  <w:abstractNum w:abstractNumId="1">
    <w:nsid w:val="E768029D"/>
    <w:multiLevelType w:val="singleLevel"/>
    <w:tmpl w:val="E768029D"/>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YmI2N2MzYjg1MmZhMmM4MzQ1ZWFmODdlM2Y5MTYifQ=="/>
    <w:docVar w:name="KSO_WPS_MARK_KEY" w:val="befd820a-153a-4fa1-86d2-81d158d6e35b"/>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2A03"/>
    <w:rsid w:val="01174A7F"/>
    <w:rsid w:val="011A224F"/>
    <w:rsid w:val="011D2624"/>
    <w:rsid w:val="011F04D2"/>
    <w:rsid w:val="01266564"/>
    <w:rsid w:val="0132019A"/>
    <w:rsid w:val="013553D0"/>
    <w:rsid w:val="01457BCF"/>
    <w:rsid w:val="014F4893"/>
    <w:rsid w:val="01521C8D"/>
    <w:rsid w:val="01581590"/>
    <w:rsid w:val="01587514"/>
    <w:rsid w:val="015E0D27"/>
    <w:rsid w:val="01621B95"/>
    <w:rsid w:val="01703299"/>
    <w:rsid w:val="017B2F92"/>
    <w:rsid w:val="017D293B"/>
    <w:rsid w:val="01991DFB"/>
    <w:rsid w:val="019E59BA"/>
    <w:rsid w:val="019F2C19"/>
    <w:rsid w:val="01A276EA"/>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87300"/>
    <w:rsid w:val="023E21A6"/>
    <w:rsid w:val="024A54F6"/>
    <w:rsid w:val="024B60C0"/>
    <w:rsid w:val="025E7ED2"/>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7070A"/>
    <w:rsid w:val="032B00B4"/>
    <w:rsid w:val="032B3A0E"/>
    <w:rsid w:val="03316B3C"/>
    <w:rsid w:val="03422379"/>
    <w:rsid w:val="034B4CE1"/>
    <w:rsid w:val="035B2B87"/>
    <w:rsid w:val="03610C48"/>
    <w:rsid w:val="03630D87"/>
    <w:rsid w:val="0371289F"/>
    <w:rsid w:val="03717787"/>
    <w:rsid w:val="037310CC"/>
    <w:rsid w:val="03783980"/>
    <w:rsid w:val="038372E1"/>
    <w:rsid w:val="03856FE9"/>
    <w:rsid w:val="03885B72"/>
    <w:rsid w:val="03930D6F"/>
    <w:rsid w:val="03941B37"/>
    <w:rsid w:val="03A35DF6"/>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206073"/>
    <w:rsid w:val="043F5114"/>
    <w:rsid w:val="04440A30"/>
    <w:rsid w:val="04495F6D"/>
    <w:rsid w:val="0450314B"/>
    <w:rsid w:val="045D1D96"/>
    <w:rsid w:val="045F3526"/>
    <w:rsid w:val="0460113B"/>
    <w:rsid w:val="04612647"/>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1C0B"/>
    <w:rsid w:val="056D3391"/>
    <w:rsid w:val="05705C9E"/>
    <w:rsid w:val="0584631F"/>
    <w:rsid w:val="05856FF3"/>
    <w:rsid w:val="059A1CFC"/>
    <w:rsid w:val="059B367B"/>
    <w:rsid w:val="059D487E"/>
    <w:rsid w:val="05A3796D"/>
    <w:rsid w:val="05AA2192"/>
    <w:rsid w:val="05BB3660"/>
    <w:rsid w:val="05C12198"/>
    <w:rsid w:val="05C334FA"/>
    <w:rsid w:val="05C80B80"/>
    <w:rsid w:val="05CE527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42561"/>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5A3DD5"/>
    <w:rsid w:val="096F5333"/>
    <w:rsid w:val="098113D3"/>
    <w:rsid w:val="0983182F"/>
    <w:rsid w:val="098501EF"/>
    <w:rsid w:val="09876665"/>
    <w:rsid w:val="09937924"/>
    <w:rsid w:val="09A84B40"/>
    <w:rsid w:val="09AB4534"/>
    <w:rsid w:val="09C56089"/>
    <w:rsid w:val="09D41776"/>
    <w:rsid w:val="09D83FD7"/>
    <w:rsid w:val="09F0394D"/>
    <w:rsid w:val="09FA2523"/>
    <w:rsid w:val="09FF6440"/>
    <w:rsid w:val="0A026787"/>
    <w:rsid w:val="0A0F7F03"/>
    <w:rsid w:val="0A116B8A"/>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1E30"/>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9663A"/>
    <w:rsid w:val="0D4F3FF5"/>
    <w:rsid w:val="0D673F02"/>
    <w:rsid w:val="0D724D77"/>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41180"/>
    <w:rsid w:val="0EC816AB"/>
    <w:rsid w:val="0ECA0196"/>
    <w:rsid w:val="0ECB39D1"/>
    <w:rsid w:val="0ED068AD"/>
    <w:rsid w:val="0ED778BA"/>
    <w:rsid w:val="0EE228A3"/>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4395A"/>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A6606"/>
    <w:rsid w:val="10BF6E52"/>
    <w:rsid w:val="10C92533"/>
    <w:rsid w:val="10CA1840"/>
    <w:rsid w:val="10CD53F0"/>
    <w:rsid w:val="10CE4270"/>
    <w:rsid w:val="10E14FB0"/>
    <w:rsid w:val="11003E85"/>
    <w:rsid w:val="110F326B"/>
    <w:rsid w:val="111D39A2"/>
    <w:rsid w:val="111D7E14"/>
    <w:rsid w:val="11325410"/>
    <w:rsid w:val="113F277F"/>
    <w:rsid w:val="11463A7A"/>
    <w:rsid w:val="11532B7F"/>
    <w:rsid w:val="1159025B"/>
    <w:rsid w:val="11672856"/>
    <w:rsid w:val="11744F2B"/>
    <w:rsid w:val="117F43E0"/>
    <w:rsid w:val="118026D1"/>
    <w:rsid w:val="118179DA"/>
    <w:rsid w:val="1190799A"/>
    <w:rsid w:val="119B57A1"/>
    <w:rsid w:val="11B72DAD"/>
    <w:rsid w:val="11BB125C"/>
    <w:rsid w:val="11C13B26"/>
    <w:rsid w:val="11C20196"/>
    <w:rsid w:val="11CA186C"/>
    <w:rsid w:val="11CC1613"/>
    <w:rsid w:val="11D27E95"/>
    <w:rsid w:val="11DD461F"/>
    <w:rsid w:val="11DF30C9"/>
    <w:rsid w:val="11E33617"/>
    <w:rsid w:val="11E50954"/>
    <w:rsid w:val="11E64021"/>
    <w:rsid w:val="120355DF"/>
    <w:rsid w:val="120623AA"/>
    <w:rsid w:val="12087BCF"/>
    <w:rsid w:val="12090538"/>
    <w:rsid w:val="120D17A3"/>
    <w:rsid w:val="121413EE"/>
    <w:rsid w:val="12170C15"/>
    <w:rsid w:val="121F70A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828DB"/>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B23C47"/>
    <w:rsid w:val="13BC2E0C"/>
    <w:rsid w:val="13CD64A6"/>
    <w:rsid w:val="13D41328"/>
    <w:rsid w:val="13DB57DE"/>
    <w:rsid w:val="13ED3796"/>
    <w:rsid w:val="13EE3A48"/>
    <w:rsid w:val="13EF6C5A"/>
    <w:rsid w:val="13F26EEF"/>
    <w:rsid w:val="140507E9"/>
    <w:rsid w:val="14170E9C"/>
    <w:rsid w:val="14192869"/>
    <w:rsid w:val="141B6FAE"/>
    <w:rsid w:val="141C7119"/>
    <w:rsid w:val="14232C2E"/>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4F640F1"/>
    <w:rsid w:val="150040A6"/>
    <w:rsid w:val="1503166D"/>
    <w:rsid w:val="150D7FCA"/>
    <w:rsid w:val="15121D0E"/>
    <w:rsid w:val="15211DA6"/>
    <w:rsid w:val="1523615F"/>
    <w:rsid w:val="15262782"/>
    <w:rsid w:val="15277504"/>
    <w:rsid w:val="152D6299"/>
    <w:rsid w:val="1536195E"/>
    <w:rsid w:val="15442A28"/>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E50ECA"/>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8F72C7"/>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E4BEE"/>
    <w:rsid w:val="1A2F3E20"/>
    <w:rsid w:val="1A3603D7"/>
    <w:rsid w:val="1A465DFA"/>
    <w:rsid w:val="1A553AF0"/>
    <w:rsid w:val="1A59596F"/>
    <w:rsid w:val="1A6315A8"/>
    <w:rsid w:val="1A63700A"/>
    <w:rsid w:val="1A666EF9"/>
    <w:rsid w:val="1A6E5F85"/>
    <w:rsid w:val="1A793698"/>
    <w:rsid w:val="1A9418C4"/>
    <w:rsid w:val="1AA27C10"/>
    <w:rsid w:val="1AAB13C1"/>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24FAE"/>
    <w:rsid w:val="1B775075"/>
    <w:rsid w:val="1B7C77EF"/>
    <w:rsid w:val="1B9168E6"/>
    <w:rsid w:val="1B995C5B"/>
    <w:rsid w:val="1BB6762C"/>
    <w:rsid w:val="1BC47DD2"/>
    <w:rsid w:val="1BC972C0"/>
    <w:rsid w:val="1BCF609F"/>
    <w:rsid w:val="1BD01CD5"/>
    <w:rsid w:val="1BD90516"/>
    <w:rsid w:val="1BE933E9"/>
    <w:rsid w:val="1BF3045D"/>
    <w:rsid w:val="1BF82371"/>
    <w:rsid w:val="1BFD6F15"/>
    <w:rsid w:val="1BFF1B15"/>
    <w:rsid w:val="1C001F3E"/>
    <w:rsid w:val="1C1F1E86"/>
    <w:rsid w:val="1C20490B"/>
    <w:rsid w:val="1C3271B2"/>
    <w:rsid w:val="1C3546E9"/>
    <w:rsid w:val="1C403D9E"/>
    <w:rsid w:val="1C4079AA"/>
    <w:rsid w:val="1C534F29"/>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16325"/>
    <w:rsid w:val="1EB44D55"/>
    <w:rsid w:val="1EB5144F"/>
    <w:rsid w:val="1EB677A2"/>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17B14"/>
    <w:rsid w:val="1FA425F3"/>
    <w:rsid w:val="1FAB4AFC"/>
    <w:rsid w:val="1FC4026A"/>
    <w:rsid w:val="1FC4784B"/>
    <w:rsid w:val="1FCF1E36"/>
    <w:rsid w:val="1FEC1933"/>
    <w:rsid w:val="1FF52CDD"/>
    <w:rsid w:val="1FFB4C5A"/>
    <w:rsid w:val="1FFC3FAC"/>
    <w:rsid w:val="1FFE44A5"/>
    <w:rsid w:val="201737F8"/>
    <w:rsid w:val="201804B9"/>
    <w:rsid w:val="2019279F"/>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3029D"/>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239C3"/>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4496F"/>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D2EF1"/>
    <w:rsid w:val="22655DE7"/>
    <w:rsid w:val="22742A27"/>
    <w:rsid w:val="22784192"/>
    <w:rsid w:val="22794142"/>
    <w:rsid w:val="22816A88"/>
    <w:rsid w:val="22830BEC"/>
    <w:rsid w:val="228647EE"/>
    <w:rsid w:val="22873491"/>
    <w:rsid w:val="22877591"/>
    <w:rsid w:val="228820FE"/>
    <w:rsid w:val="229317BB"/>
    <w:rsid w:val="22973B4F"/>
    <w:rsid w:val="229B2296"/>
    <w:rsid w:val="22AB7F87"/>
    <w:rsid w:val="22AF4D3A"/>
    <w:rsid w:val="22B30384"/>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8028A1"/>
    <w:rsid w:val="24841DD0"/>
    <w:rsid w:val="24936B36"/>
    <w:rsid w:val="249A6FF3"/>
    <w:rsid w:val="24A26D90"/>
    <w:rsid w:val="24AB4876"/>
    <w:rsid w:val="24B06EE5"/>
    <w:rsid w:val="24BF4EEA"/>
    <w:rsid w:val="24D457F9"/>
    <w:rsid w:val="24E038B7"/>
    <w:rsid w:val="24E45FB4"/>
    <w:rsid w:val="24E92114"/>
    <w:rsid w:val="24EF7670"/>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946F0E"/>
    <w:rsid w:val="259A64A3"/>
    <w:rsid w:val="25A24847"/>
    <w:rsid w:val="25AD6D3E"/>
    <w:rsid w:val="25C1006B"/>
    <w:rsid w:val="25C22195"/>
    <w:rsid w:val="25C84CB1"/>
    <w:rsid w:val="25D2507E"/>
    <w:rsid w:val="25E03311"/>
    <w:rsid w:val="25E7739E"/>
    <w:rsid w:val="25EB4445"/>
    <w:rsid w:val="25F27BD4"/>
    <w:rsid w:val="26021F02"/>
    <w:rsid w:val="260929B3"/>
    <w:rsid w:val="261D4609"/>
    <w:rsid w:val="26233EDC"/>
    <w:rsid w:val="26235823"/>
    <w:rsid w:val="26307A04"/>
    <w:rsid w:val="264051E9"/>
    <w:rsid w:val="26450116"/>
    <w:rsid w:val="264D1A33"/>
    <w:rsid w:val="26512FF4"/>
    <w:rsid w:val="26710CE8"/>
    <w:rsid w:val="267F03F5"/>
    <w:rsid w:val="26896F5A"/>
    <w:rsid w:val="26897DB3"/>
    <w:rsid w:val="269A1D8A"/>
    <w:rsid w:val="26C039B6"/>
    <w:rsid w:val="26DB0AB2"/>
    <w:rsid w:val="26EC4808"/>
    <w:rsid w:val="26FD42C6"/>
    <w:rsid w:val="271B407C"/>
    <w:rsid w:val="272117B0"/>
    <w:rsid w:val="272E4CB3"/>
    <w:rsid w:val="2731199B"/>
    <w:rsid w:val="274C0B76"/>
    <w:rsid w:val="27520E68"/>
    <w:rsid w:val="276035E5"/>
    <w:rsid w:val="27652F0A"/>
    <w:rsid w:val="276A1229"/>
    <w:rsid w:val="27785213"/>
    <w:rsid w:val="277E07E7"/>
    <w:rsid w:val="27834A1F"/>
    <w:rsid w:val="27930309"/>
    <w:rsid w:val="27995217"/>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1C7A80"/>
    <w:rsid w:val="29201D73"/>
    <w:rsid w:val="292A0128"/>
    <w:rsid w:val="293D3B27"/>
    <w:rsid w:val="29476E5B"/>
    <w:rsid w:val="29502E1E"/>
    <w:rsid w:val="2951552F"/>
    <w:rsid w:val="29526CB6"/>
    <w:rsid w:val="29537975"/>
    <w:rsid w:val="295D46EB"/>
    <w:rsid w:val="296214FF"/>
    <w:rsid w:val="29731770"/>
    <w:rsid w:val="29785E86"/>
    <w:rsid w:val="297D7878"/>
    <w:rsid w:val="29861E98"/>
    <w:rsid w:val="29A14BBA"/>
    <w:rsid w:val="29A4131D"/>
    <w:rsid w:val="29A5292C"/>
    <w:rsid w:val="29A9603F"/>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45DC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EB1353"/>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D55D9D"/>
    <w:rsid w:val="2CDE2AF6"/>
    <w:rsid w:val="2CE56C21"/>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4C2A"/>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7D1030"/>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5E5F31"/>
    <w:rsid w:val="34730E54"/>
    <w:rsid w:val="34776148"/>
    <w:rsid w:val="348B4258"/>
    <w:rsid w:val="348B64AD"/>
    <w:rsid w:val="34922008"/>
    <w:rsid w:val="3496111A"/>
    <w:rsid w:val="34A034F2"/>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426903"/>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C022F"/>
    <w:rsid w:val="39561AEE"/>
    <w:rsid w:val="39596DCE"/>
    <w:rsid w:val="395F6381"/>
    <w:rsid w:val="39606EAB"/>
    <w:rsid w:val="396E3055"/>
    <w:rsid w:val="397B2E60"/>
    <w:rsid w:val="398448EF"/>
    <w:rsid w:val="399522F6"/>
    <w:rsid w:val="39955494"/>
    <w:rsid w:val="399D1B85"/>
    <w:rsid w:val="399F7B47"/>
    <w:rsid w:val="39A51CED"/>
    <w:rsid w:val="39AE1B2D"/>
    <w:rsid w:val="39B346A1"/>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1426A"/>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553EE"/>
    <w:rsid w:val="3FE703C1"/>
    <w:rsid w:val="3FF27D17"/>
    <w:rsid w:val="3FFC55A5"/>
    <w:rsid w:val="40010611"/>
    <w:rsid w:val="40114771"/>
    <w:rsid w:val="40242D1A"/>
    <w:rsid w:val="402E650B"/>
    <w:rsid w:val="40351B99"/>
    <w:rsid w:val="40356427"/>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C0F8C"/>
    <w:rsid w:val="409D0B02"/>
    <w:rsid w:val="409F4105"/>
    <w:rsid w:val="40A725E1"/>
    <w:rsid w:val="40A95132"/>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A13682"/>
    <w:rsid w:val="41C01A1C"/>
    <w:rsid w:val="41D35E10"/>
    <w:rsid w:val="41D60CB4"/>
    <w:rsid w:val="41DB2A61"/>
    <w:rsid w:val="41EB1B1D"/>
    <w:rsid w:val="42023ED6"/>
    <w:rsid w:val="421015D0"/>
    <w:rsid w:val="4214103D"/>
    <w:rsid w:val="421F3E1C"/>
    <w:rsid w:val="423E3B31"/>
    <w:rsid w:val="424A0945"/>
    <w:rsid w:val="4251007E"/>
    <w:rsid w:val="425A3F23"/>
    <w:rsid w:val="425D1D0D"/>
    <w:rsid w:val="426248D9"/>
    <w:rsid w:val="427053F0"/>
    <w:rsid w:val="4278754D"/>
    <w:rsid w:val="427A51DD"/>
    <w:rsid w:val="4280744C"/>
    <w:rsid w:val="428572CF"/>
    <w:rsid w:val="42862F6A"/>
    <w:rsid w:val="42AF3E10"/>
    <w:rsid w:val="42BB7F47"/>
    <w:rsid w:val="42C5072E"/>
    <w:rsid w:val="42C83889"/>
    <w:rsid w:val="42D37716"/>
    <w:rsid w:val="42D54D37"/>
    <w:rsid w:val="42D87D4E"/>
    <w:rsid w:val="42D92A2D"/>
    <w:rsid w:val="42E576E1"/>
    <w:rsid w:val="42E75546"/>
    <w:rsid w:val="42E958A5"/>
    <w:rsid w:val="42ED2FE9"/>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4FEF"/>
    <w:rsid w:val="45383889"/>
    <w:rsid w:val="45404891"/>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201E0"/>
    <w:rsid w:val="46B914AE"/>
    <w:rsid w:val="46C103C7"/>
    <w:rsid w:val="46C2064E"/>
    <w:rsid w:val="46DC70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B3D8F"/>
    <w:rsid w:val="484E7BBC"/>
    <w:rsid w:val="484F4336"/>
    <w:rsid w:val="48536C67"/>
    <w:rsid w:val="48575677"/>
    <w:rsid w:val="485D520F"/>
    <w:rsid w:val="48645CB0"/>
    <w:rsid w:val="48673D41"/>
    <w:rsid w:val="48751F9C"/>
    <w:rsid w:val="4880534E"/>
    <w:rsid w:val="48935DBD"/>
    <w:rsid w:val="48A36EA2"/>
    <w:rsid w:val="48B411AC"/>
    <w:rsid w:val="48BC3E44"/>
    <w:rsid w:val="48CF2936"/>
    <w:rsid w:val="48D2641F"/>
    <w:rsid w:val="48D72AA4"/>
    <w:rsid w:val="48E67B36"/>
    <w:rsid w:val="48E86D71"/>
    <w:rsid w:val="48EB4218"/>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5663F"/>
    <w:rsid w:val="4A2C19BE"/>
    <w:rsid w:val="4A316551"/>
    <w:rsid w:val="4A370ACB"/>
    <w:rsid w:val="4A534060"/>
    <w:rsid w:val="4A5E3F5D"/>
    <w:rsid w:val="4A643048"/>
    <w:rsid w:val="4A6A0409"/>
    <w:rsid w:val="4A6D57C0"/>
    <w:rsid w:val="4A6E29BE"/>
    <w:rsid w:val="4A737F56"/>
    <w:rsid w:val="4A752B39"/>
    <w:rsid w:val="4A7F7333"/>
    <w:rsid w:val="4A8A2AC5"/>
    <w:rsid w:val="4A8C1339"/>
    <w:rsid w:val="4A8C6B66"/>
    <w:rsid w:val="4AB04074"/>
    <w:rsid w:val="4ABA7B9F"/>
    <w:rsid w:val="4AC550CD"/>
    <w:rsid w:val="4AC673F5"/>
    <w:rsid w:val="4AC8143E"/>
    <w:rsid w:val="4AD25391"/>
    <w:rsid w:val="4ADE111E"/>
    <w:rsid w:val="4ADF495F"/>
    <w:rsid w:val="4AE11F68"/>
    <w:rsid w:val="4AE467D4"/>
    <w:rsid w:val="4AF53FC1"/>
    <w:rsid w:val="4AFB4DFA"/>
    <w:rsid w:val="4B047819"/>
    <w:rsid w:val="4B0906B0"/>
    <w:rsid w:val="4B0A2833"/>
    <w:rsid w:val="4B0E4906"/>
    <w:rsid w:val="4B1102E4"/>
    <w:rsid w:val="4B1D10D9"/>
    <w:rsid w:val="4B322F06"/>
    <w:rsid w:val="4B4C6B69"/>
    <w:rsid w:val="4B4F67F4"/>
    <w:rsid w:val="4B59693F"/>
    <w:rsid w:val="4B5A21BE"/>
    <w:rsid w:val="4B616382"/>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1F6B05"/>
    <w:rsid w:val="4C307E7C"/>
    <w:rsid w:val="4C3124E0"/>
    <w:rsid w:val="4C55337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96E19"/>
    <w:rsid w:val="4D3C4892"/>
    <w:rsid w:val="4D424758"/>
    <w:rsid w:val="4D45658C"/>
    <w:rsid w:val="4D534390"/>
    <w:rsid w:val="4D59222C"/>
    <w:rsid w:val="4D5A34F5"/>
    <w:rsid w:val="4D644E80"/>
    <w:rsid w:val="4D793969"/>
    <w:rsid w:val="4D876303"/>
    <w:rsid w:val="4D8A3184"/>
    <w:rsid w:val="4D8D636E"/>
    <w:rsid w:val="4D915F63"/>
    <w:rsid w:val="4D9A74D3"/>
    <w:rsid w:val="4DAE09C3"/>
    <w:rsid w:val="4DAF1D9A"/>
    <w:rsid w:val="4DC33C6A"/>
    <w:rsid w:val="4DD16D74"/>
    <w:rsid w:val="4DD52ABB"/>
    <w:rsid w:val="4DD73812"/>
    <w:rsid w:val="4DDC141C"/>
    <w:rsid w:val="4DE27EAA"/>
    <w:rsid w:val="4DEF149C"/>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77882"/>
    <w:rsid w:val="4F2C2030"/>
    <w:rsid w:val="4F382C48"/>
    <w:rsid w:val="4F383F06"/>
    <w:rsid w:val="4F456E75"/>
    <w:rsid w:val="4F481089"/>
    <w:rsid w:val="4F6416B7"/>
    <w:rsid w:val="4F6E3716"/>
    <w:rsid w:val="4F7051D8"/>
    <w:rsid w:val="4F79486D"/>
    <w:rsid w:val="4F7D163B"/>
    <w:rsid w:val="4F8861C3"/>
    <w:rsid w:val="4F9066D0"/>
    <w:rsid w:val="4F947177"/>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B30C0A"/>
    <w:rsid w:val="50B633C7"/>
    <w:rsid w:val="50BC16ED"/>
    <w:rsid w:val="50BD42C6"/>
    <w:rsid w:val="50C45232"/>
    <w:rsid w:val="50C51D79"/>
    <w:rsid w:val="50D30E43"/>
    <w:rsid w:val="50D46579"/>
    <w:rsid w:val="50DD7010"/>
    <w:rsid w:val="50DE4288"/>
    <w:rsid w:val="50E57F77"/>
    <w:rsid w:val="50E65242"/>
    <w:rsid w:val="50F32905"/>
    <w:rsid w:val="50F63538"/>
    <w:rsid w:val="50FF1BD7"/>
    <w:rsid w:val="510128D5"/>
    <w:rsid w:val="5107016F"/>
    <w:rsid w:val="51157303"/>
    <w:rsid w:val="512A28AD"/>
    <w:rsid w:val="51383C6A"/>
    <w:rsid w:val="513C724C"/>
    <w:rsid w:val="513D7919"/>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37209B"/>
    <w:rsid w:val="523E0931"/>
    <w:rsid w:val="52454DCC"/>
    <w:rsid w:val="52536FBC"/>
    <w:rsid w:val="52637BBA"/>
    <w:rsid w:val="527F092D"/>
    <w:rsid w:val="52830CDC"/>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422EDD"/>
    <w:rsid w:val="53514487"/>
    <w:rsid w:val="535E0361"/>
    <w:rsid w:val="53662428"/>
    <w:rsid w:val="537613C0"/>
    <w:rsid w:val="537B69B7"/>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9E1C70"/>
    <w:rsid w:val="54A12FCC"/>
    <w:rsid w:val="54A32DA9"/>
    <w:rsid w:val="54B23DCF"/>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A6129"/>
    <w:rsid w:val="55AC3575"/>
    <w:rsid w:val="55AF1E43"/>
    <w:rsid w:val="55BC3B9A"/>
    <w:rsid w:val="55C017F8"/>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BF65F2"/>
    <w:rsid w:val="56C001C8"/>
    <w:rsid w:val="56C71151"/>
    <w:rsid w:val="56CE2616"/>
    <w:rsid w:val="56DA0187"/>
    <w:rsid w:val="56F51D9D"/>
    <w:rsid w:val="56FA72BE"/>
    <w:rsid w:val="56FD1FA7"/>
    <w:rsid w:val="570010E5"/>
    <w:rsid w:val="57041F6D"/>
    <w:rsid w:val="5704458D"/>
    <w:rsid w:val="570705DB"/>
    <w:rsid w:val="570C465C"/>
    <w:rsid w:val="570E09FD"/>
    <w:rsid w:val="57193F55"/>
    <w:rsid w:val="57273577"/>
    <w:rsid w:val="573344F6"/>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F7B01"/>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DF7263"/>
    <w:rsid w:val="5AE2644A"/>
    <w:rsid w:val="5AE76244"/>
    <w:rsid w:val="5AEB4D95"/>
    <w:rsid w:val="5AEE10CF"/>
    <w:rsid w:val="5AF77E50"/>
    <w:rsid w:val="5AFC2D50"/>
    <w:rsid w:val="5AFC3A30"/>
    <w:rsid w:val="5AFF0340"/>
    <w:rsid w:val="5AFF25D0"/>
    <w:rsid w:val="5B053AA2"/>
    <w:rsid w:val="5B13665D"/>
    <w:rsid w:val="5B262CA4"/>
    <w:rsid w:val="5B2D21BD"/>
    <w:rsid w:val="5B345184"/>
    <w:rsid w:val="5B3C4687"/>
    <w:rsid w:val="5B3D045E"/>
    <w:rsid w:val="5B3E14A3"/>
    <w:rsid w:val="5B46754A"/>
    <w:rsid w:val="5B4A7E2E"/>
    <w:rsid w:val="5B4F6889"/>
    <w:rsid w:val="5B552D84"/>
    <w:rsid w:val="5B5B6858"/>
    <w:rsid w:val="5B613D25"/>
    <w:rsid w:val="5B6360E6"/>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155E1"/>
    <w:rsid w:val="5D3324D7"/>
    <w:rsid w:val="5D3B3FC2"/>
    <w:rsid w:val="5D3F277F"/>
    <w:rsid w:val="5D402DD3"/>
    <w:rsid w:val="5D4A32B2"/>
    <w:rsid w:val="5D4D7B5E"/>
    <w:rsid w:val="5D4E3B9F"/>
    <w:rsid w:val="5D5424E6"/>
    <w:rsid w:val="5D59128F"/>
    <w:rsid w:val="5D686AED"/>
    <w:rsid w:val="5D7149EC"/>
    <w:rsid w:val="5D755375"/>
    <w:rsid w:val="5D80374B"/>
    <w:rsid w:val="5D835927"/>
    <w:rsid w:val="5D952328"/>
    <w:rsid w:val="5DA73319"/>
    <w:rsid w:val="5DA80DE1"/>
    <w:rsid w:val="5DB032D9"/>
    <w:rsid w:val="5DB61C71"/>
    <w:rsid w:val="5DC6083A"/>
    <w:rsid w:val="5DC869A9"/>
    <w:rsid w:val="5DD225B9"/>
    <w:rsid w:val="5DDB7723"/>
    <w:rsid w:val="5DDD4C8E"/>
    <w:rsid w:val="5DE63230"/>
    <w:rsid w:val="5DE85E1F"/>
    <w:rsid w:val="5DE87042"/>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41CDC"/>
    <w:rsid w:val="5E671FD2"/>
    <w:rsid w:val="5E702017"/>
    <w:rsid w:val="5E906C18"/>
    <w:rsid w:val="5E914D18"/>
    <w:rsid w:val="5E976FC5"/>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C46E8B"/>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60332B"/>
    <w:rsid w:val="626F2346"/>
    <w:rsid w:val="62716123"/>
    <w:rsid w:val="62775127"/>
    <w:rsid w:val="62780BB6"/>
    <w:rsid w:val="6280757E"/>
    <w:rsid w:val="6285108B"/>
    <w:rsid w:val="62852D1B"/>
    <w:rsid w:val="62855577"/>
    <w:rsid w:val="628E0BA3"/>
    <w:rsid w:val="628F3577"/>
    <w:rsid w:val="629735E4"/>
    <w:rsid w:val="629E197F"/>
    <w:rsid w:val="62B46D05"/>
    <w:rsid w:val="62BF11DF"/>
    <w:rsid w:val="62C26C44"/>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B61E78"/>
    <w:rsid w:val="63B84C57"/>
    <w:rsid w:val="63BD4511"/>
    <w:rsid w:val="63D06A68"/>
    <w:rsid w:val="63E74C92"/>
    <w:rsid w:val="63F30DA8"/>
    <w:rsid w:val="63F33E26"/>
    <w:rsid w:val="63FE1B4A"/>
    <w:rsid w:val="64002E0C"/>
    <w:rsid w:val="64007173"/>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E300CE"/>
    <w:rsid w:val="65FD3FFE"/>
    <w:rsid w:val="6603412B"/>
    <w:rsid w:val="660F4461"/>
    <w:rsid w:val="66115155"/>
    <w:rsid w:val="66115188"/>
    <w:rsid w:val="66186D29"/>
    <w:rsid w:val="661C5640"/>
    <w:rsid w:val="66210809"/>
    <w:rsid w:val="66291291"/>
    <w:rsid w:val="662A5DDE"/>
    <w:rsid w:val="66433AEA"/>
    <w:rsid w:val="664B1B60"/>
    <w:rsid w:val="664F2F6E"/>
    <w:rsid w:val="665964A4"/>
    <w:rsid w:val="666D6F81"/>
    <w:rsid w:val="667777DA"/>
    <w:rsid w:val="667805D4"/>
    <w:rsid w:val="667A120E"/>
    <w:rsid w:val="668056EE"/>
    <w:rsid w:val="66845DF8"/>
    <w:rsid w:val="66864CEE"/>
    <w:rsid w:val="668C129A"/>
    <w:rsid w:val="66975912"/>
    <w:rsid w:val="6698425E"/>
    <w:rsid w:val="669C6E29"/>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4493C"/>
    <w:rsid w:val="67120D0B"/>
    <w:rsid w:val="671842C0"/>
    <w:rsid w:val="671F40B4"/>
    <w:rsid w:val="67207113"/>
    <w:rsid w:val="672316BC"/>
    <w:rsid w:val="672524A2"/>
    <w:rsid w:val="67332E10"/>
    <w:rsid w:val="67442B55"/>
    <w:rsid w:val="67515F84"/>
    <w:rsid w:val="6754387B"/>
    <w:rsid w:val="67563C64"/>
    <w:rsid w:val="67641CA6"/>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B4BD0"/>
    <w:rsid w:val="696F2DC2"/>
    <w:rsid w:val="697C2352"/>
    <w:rsid w:val="69872B85"/>
    <w:rsid w:val="698B6B00"/>
    <w:rsid w:val="698D33D7"/>
    <w:rsid w:val="69914C5D"/>
    <w:rsid w:val="699772FD"/>
    <w:rsid w:val="699A7D1E"/>
    <w:rsid w:val="699C1D97"/>
    <w:rsid w:val="69A7020E"/>
    <w:rsid w:val="69C75644"/>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53EEE"/>
    <w:rsid w:val="6A3A7497"/>
    <w:rsid w:val="6A4153D1"/>
    <w:rsid w:val="6A463716"/>
    <w:rsid w:val="6A4B5668"/>
    <w:rsid w:val="6A5B5FCA"/>
    <w:rsid w:val="6A641533"/>
    <w:rsid w:val="6A6D30AE"/>
    <w:rsid w:val="6A8901C5"/>
    <w:rsid w:val="6A9954EF"/>
    <w:rsid w:val="6A9D3B1B"/>
    <w:rsid w:val="6AA067B9"/>
    <w:rsid w:val="6AAA4ACE"/>
    <w:rsid w:val="6AAB2C8A"/>
    <w:rsid w:val="6ABA73A5"/>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F4786"/>
    <w:rsid w:val="6B792615"/>
    <w:rsid w:val="6B7C0742"/>
    <w:rsid w:val="6B824F92"/>
    <w:rsid w:val="6B863716"/>
    <w:rsid w:val="6BA36552"/>
    <w:rsid w:val="6BC50569"/>
    <w:rsid w:val="6BC60E30"/>
    <w:rsid w:val="6BD12C1C"/>
    <w:rsid w:val="6BD47E40"/>
    <w:rsid w:val="6BD550DD"/>
    <w:rsid w:val="6BE66B9A"/>
    <w:rsid w:val="6BE94A92"/>
    <w:rsid w:val="6BEA3CBA"/>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9360FF"/>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CF0318"/>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C20D61"/>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A64A02"/>
    <w:rsid w:val="71B43FF7"/>
    <w:rsid w:val="71C34CB7"/>
    <w:rsid w:val="71C55400"/>
    <w:rsid w:val="71C57011"/>
    <w:rsid w:val="71D40814"/>
    <w:rsid w:val="71E576E0"/>
    <w:rsid w:val="71F52A14"/>
    <w:rsid w:val="72094025"/>
    <w:rsid w:val="7209518F"/>
    <w:rsid w:val="720C61B4"/>
    <w:rsid w:val="720F3617"/>
    <w:rsid w:val="72132382"/>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C29AB"/>
    <w:rsid w:val="73255AB2"/>
    <w:rsid w:val="73293C9E"/>
    <w:rsid w:val="732B0F67"/>
    <w:rsid w:val="73314A31"/>
    <w:rsid w:val="733C7A2B"/>
    <w:rsid w:val="73402F17"/>
    <w:rsid w:val="73477783"/>
    <w:rsid w:val="73742955"/>
    <w:rsid w:val="7387566C"/>
    <w:rsid w:val="73901DAD"/>
    <w:rsid w:val="739C77E2"/>
    <w:rsid w:val="73A46746"/>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613165"/>
    <w:rsid w:val="747B2328"/>
    <w:rsid w:val="747F12CA"/>
    <w:rsid w:val="74823492"/>
    <w:rsid w:val="748550A4"/>
    <w:rsid w:val="749622FF"/>
    <w:rsid w:val="74A05812"/>
    <w:rsid w:val="74A342E9"/>
    <w:rsid w:val="74A37F2E"/>
    <w:rsid w:val="74AD5316"/>
    <w:rsid w:val="74B159F7"/>
    <w:rsid w:val="74B9142B"/>
    <w:rsid w:val="74BE4135"/>
    <w:rsid w:val="74D04C97"/>
    <w:rsid w:val="74DA7AC4"/>
    <w:rsid w:val="74DD032D"/>
    <w:rsid w:val="74F155AB"/>
    <w:rsid w:val="74F1597B"/>
    <w:rsid w:val="74F2435C"/>
    <w:rsid w:val="74F4478A"/>
    <w:rsid w:val="74F73858"/>
    <w:rsid w:val="750E479F"/>
    <w:rsid w:val="750F7A2F"/>
    <w:rsid w:val="752E1C16"/>
    <w:rsid w:val="752E2D4D"/>
    <w:rsid w:val="7538718B"/>
    <w:rsid w:val="754615C4"/>
    <w:rsid w:val="754B3175"/>
    <w:rsid w:val="7561323F"/>
    <w:rsid w:val="756B2B3E"/>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1E2A8F"/>
    <w:rsid w:val="77203427"/>
    <w:rsid w:val="77251941"/>
    <w:rsid w:val="772C0E98"/>
    <w:rsid w:val="772C3C3C"/>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A2A38"/>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E4376"/>
    <w:rsid w:val="79E12882"/>
    <w:rsid w:val="79E31F00"/>
    <w:rsid w:val="79E533D5"/>
    <w:rsid w:val="79E960AE"/>
    <w:rsid w:val="7A010B3C"/>
    <w:rsid w:val="7A0B43FB"/>
    <w:rsid w:val="7A0C6344"/>
    <w:rsid w:val="7A0D484D"/>
    <w:rsid w:val="7A0F6A82"/>
    <w:rsid w:val="7A131E1B"/>
    <w:rsid w:val="7A1F5EA2"/>
    <w:rsid w:val="7A2340F3"/>
    <w:rsid w:val="7A261BF6"/>
    <w:rsid w:val="7A314A00"/>
    <w:rsid w:val="7A4271D5"/>
    <w:rsid w:val="7A4271D8"/>
    <w:rsid w:val="7A4F36BE"/>
    <w:rsid w:val="7A5F5873"/>
    <w:rsid w:val="7A622B64"/>
    <w:rsid w:val="7A630061"/>
    <w:rsid w:val="7A683D20"/>
    <w:rsid w:val="7A6C7F81"/>
    <w:rsid w:val="7A7F1731"/>
    <w:rsid w:val="7A895FBC"/>
    <w:rsid w:val="7A954373"/>
    <w:rsid w:val="7AAC0538"/>
    <w:rsid w:val="7AAF3F11"/>
    <w:rsid w:val="7AC21A3D"/>
    <w:rsid w:val="7AC41418"/>
    <w:rsid w:val="7ACE1685"/>
    <w:rsid w:val="7AEE7FE0"/>
    <w:rsid w:val="7AF31832"/>
    <w:rsid w:val="7AF541DF"/>
    <w:rsid w:val="7AF75C2D"/>
    <w:rsid w:val="7AFA5156"/>
    <w:rsid w:val="7B011A43"/>
    <w:rsid w:val="7B061145"/>
    <w:rsid w:val="7B0A105B"/>
    <w:rsid w:val="7B0F5208"/>
    <w:rsid w:val="7B1A7D39"/>
    <w:rsid w:val="7B255716"/>
    <w:rsid w:val="7B2E771F"/>
    <w:rsid w:val="7B3C54EB"/>
    <w:rsid w:val="7B3E5C4D"/>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1342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30E4E"/>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151BF"/>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autoRedefine/>
    <w:qFormat/>
    <w:uiPriority w:val="9"/>
    <w:pPr>
      <w:keepNext/>
      <w:jc w:val="center"/>
      <w:outlineLvl w:val="0"/>
    </w:pPr>
    <w:rPr>
      <w:b/>
      <w:sz w:val="18"/>
    </w:rPr>
  </w:style>
  <w:style w:type="paragraph" w:styleId="5">
    <w:name w:val="heading 2"/>
    <w:basedOn w:val="1"/>
    <w:next w:val="1"/>
    <w:link w:val="118"/>
    <w:autoRedefine/>
    <w:qFormat/>
    <w:uiPriority w:val="0"/>
    <w:pPr>
      <w:keepNext/>
      <w:outlineLvl w:val="1"/>
    </w:pPr>
    <w:rPr>
      <w:b/>
      <w:sz w:val="18"/>
    </w:rPr>
  </w:style>
  <w:style w:type="paragraph" w:styleId="6">
    <w:name w:val="heading 3"/>
    <w:basedOn w:val="1"/>
    <w:next w:val="1"/>
    <w:link w:val="40"/>
    <w:autoRedefine/>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styleId="8">
    <w:name w:val="Normal Indent"/>
    <w:basedOn w:val="1"/>
    <w:link w:val="67"/>
    <w:autoRedefine/>
    <w:qFormat/>
    <w:uiPriority w:val="0"/>
    <w:pPr>
      <w:ind w:firstLine="420" w:firstLineChars="200"/>
    </w:pPr>
  </w:style>
  <w:style w:type="paragraph" w:styleId="9">
    <w:name w:val="index 5"/>
    <w:basedOn w:val="1"/>
    <w:next w:val="1"/>
    <w:autoRedefine/>
    <w:qFormat/>
    <w:uiPriority w:val="0"/>
    <w:pPr>
      <w:jc w:val="center"/>
    </w:pPr>
    <w:rPr>
      <w:color w:val="FF0000"/>
    </w:rPr>
  </w:style>
  <w:style w:type="paragraph" w:styleId="10">
    <w:name w:val="Document Map"/>
    <w:basedOn w:val="1"/>
    <w:autoRedefine/>
    <w:qFormat/>
    <w:uiPriority w:val="0"/>
    <w:pPr>
      <w:shd w:val="clear" w:color="auto" w:fill="000080"/>
    </w:pPr>
  </w:style>
  <w:style w:type="paragraph" w:styleId="11">
    <w:name w:val="annotation text"/>
    <w:basedOn w:val="1"/>
    <w:autoRedefine/>
    <w:qFormat/>
    <w:uiPriority w:val="0"/>
    <w:pPr>
      <w:jc w:val="left"/>
    </w:pPr>
  </w:style>
  <w:style w:type="paragraph" w:styleId="12">
    <w:name w:val="Body Text"/>
    <w:basedOn w:val="1"/>
    <w:next w:val="1"/>
    <w:link w:val="45"/>
    <w:autoRedefine/>
    <w:qFormat/>
    <w:uiPriority w:val="0"/>
    <w:pPr>
      <w:jc w:val="left"/>
    </w:pPr>
    <w:rPr>
      <w:bCs/>
      <w:sz w:val="18"/>
    </w:rPr>
  </w:style>
  <w:style w:type="paragraph" w:styleId="13">
    <w:name w:val="Body Text Indent"/>
    <w:basedOn w:val="1"/>
    <w:link w:val="56"/>
    <w:autoRedefine/>
    <w:qFormat/>
    <w:uiPriority w:val="0"/>
    <w:pPr>
      <w:spacing w:line="360" w:lineRule="exact"/>
      <w:ind w:left="280" w:firstLine="560" w:firstLineChars="200"/>
    </w:pPr>
    <w:rPr>
      <w:rFonts w:ascii="仿宋_GB2312" w:eastAsia="仿宋_GB2312"/>
      <w:sz w:val="28"/>
      <w:szCs w:val="32"/>
    </w:rPr>
  </w:style>
  <w:style w:type="paragraph" w:styleId="14">
    <w:name w:val="List 2"/>
    <w:basedOn w:val="1"/>
    <w:autoRedefine/>
    <w:qFormat/>
    <w:uiPriority w:val="99"/>
    <w:pPr>
      <w:ind w:left="100" w:leftChars="200" w:hanging="200" w:hangingChars="200"/>
    </w:pPr>
  </w:style>
  <w:style w:type="paragraph" w:styleId="15">
    <w:name w:val="Plain Text"/>
    <w:basedOn w:val="1"/>
    <w:link w:val="60"/>
    <w:autoRedefine/>
    <w:qFormat/>
    <w:uiPriority w:val="0"/>
    <w:pPr>
      <w:widowControl/>
      <w:jc w:val="left"/>
    </w:pPr>
    <w:rPr>
      <w:rFonts w:ascii="宋体" w:hAnsi="Courier New"/>
      <w:kern w:val="0"/>
      <w:sz w:val="20"/>
      <w:szCs w:val="20"/>
    </w:rPr>
  </w:style>
  <w:style w:type="paragraph" w:styleId="16">
    <w:name w:val="Date"/>
    <w:basedOn w:val="1"/>
    <w:next w:val="1"/>
    <w:autoRedefine/>
    <w:qFormat/>
    <w:uiPriority w:val="0"/>
    <w:pPr>
      <w:ind w:left="100" w:leftChars="2500"/>
    </w:pPr>
  </w:style>
  <w:style w:type="paragraph" w:styleId="17">
    <w:name w:val="Body Text Indent 2"/>
    <w:basedOn w:val="1"/>
    <w:link w:val="80"/>
    <w:autoRedefine/>
    <w:qFormat/>
    <w:uiPriority w:val="0"/>
    <w:pPr>
      <w:spacing w:after="120" w:line="480" w:lineRule="auto"/>
      <w:ind w:left="420" w:leftChars="200"/>
    </w:pPr>
  </w:style>
  <w:style w:type="paragraph" w:styleId="18">
    <w:name w:val="Balloon Text"/>
    <w:basedOn w:val="1"/>
    <w:link w:val="59"/>
    <w:autoRedefine/>
    <w:qFormat/>
    <w:uiPriority w:val="0"/>
    <w:rPr>
      <w:sz w:val="18"/>
      <w:szCs w:val="18"/>
    </w:rPr>
  </w:style>
  <w:style w:type="paragraph" w:styleId="19">
    <w:name w:val="footer"/>
    <w:basedOn w:val="1"/>
    <w:link w:val="57"/>
    <w:autoRedefine/>
    <w:qFormat/>
    <w:uiPriority w:val="0"/>
    <w:pPr>
      <w:tabs>
        <w:tab w:val="center" w:pos="4153"/>
        <w:tab w:val="right" w:pos="8306"/>
      </w:tabs>
      <w:snapToGrid w:val="0"/>
      <w:jc w:val="left"/>
    </w:pPr>
    <w:rPr>
      <w:sz w:val="18"/>
      <w:szCs w:val="18"/>
    </w:rPr>
  </w:style>
  <w:style w:type="paragraph" w:styleId="2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Subtitle"/>
    <w:basedOn w:val="1"/>
    <w:next w:val="1"/>
    <w:autoRedefine/>
    <w:qFormat/>
    <w:uiPriority w:val="99"/>
    <w:pPr>
      <w:spacing w:before="240" w:after="60" w:line="312" w:lineRule="auto"/>
      <w:jc w:val="center"/>
      <w:outlineLvl w:val="1"/>
    </w:pPr>
    <w:rPr>
      <w:rFonts w:ascii="Cambria" w:hAnsi="Cambria" w:cs="Cambria"/>
      <w:b/>
      <w:bCs/>
      <w:kern w:val="28"/>
      <w:sz w:val="32"/>
      <w:szCs w:val="32"/>
    </w:rPr>
  </w:style>
  <w:style w:type="paragraph" w:styleId="23">
    <w:name w:val="Normal (Web)"/>
    <w:basedOn w:val="1"/>
    <w:autoRedefine/>
    <w:qFormat/>
    <w:uiPriority w:val="0"/>
    <w:pPr>
      <w:widowControl/>
      <w:spacing w:before="150" w:after="150"/>
      <w:jc w:val="left"/>
    </w:pPr>
    <w:rPr>
      <w:rFonts w:ascii="宋体" w:hAnsi="宋体" w:cs="宋体"/>
      <w:kern w:val="0"/>
      <w:sz w:val="24"/>
    </w:rPr>
  </w:style>
  <w:style w:type="paragraph" w:styleId="24">
    <w:name w:val="Body Text First Indent"/>
    <w:basedOn w:val="12"/>
    <w:autoRedefine/>
    <w:unhideWhenUsed/>
    <w:qFormat/>
    <w:uiPriority w:val="99"/>
    <w:pPr>
      <w:ind w:firstLine="420" w:firstLineChars="100"/>
    </w:pPr>
  </w:style>
  <w:style w:type="paragraph" w:styleId="25">
    <w:name w:val="Body Text First Indent 2"/>
    <w:basedOn w:val="13"/>
    <w:autoRedefine/>
    <w:semiHidden/>
    <w:unhideWhenUsed/>
    <w:qFormat/>
    <w:uiPriority w:val="99"/>
    <w:pPr>
      <w:spacing w:before="100" w:beforeAutospacing="1" w:line="480" w:lineRule="exact"/>
      <w:ind w:left="0" w:leftChars="0" w:firstLine="420"/>
    </w:pPr>
    <w:rPr>
      <w:sz w:val="28"/>
      <w:szCs w:val="28"/>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page number"/>
    <w:basedOn w:val="28"/>
    <w:autoRedefine/>
    <w:qFormat/>
    <w:uiPriority w:val="0"/>
  </w:style>
  <w:style w:type="character" w:styleId="31">
    <w:name w:val="Emphasis"/>
    <w:autoRedefine/>
    <w:qFormat/>
    <w:uiPriority w:val="0"/>
  </w:style>
  <w:style w:type="character" w:styleId="32">
    <w:name w:val="HTML Definition"/>
    <w:autoRedefine/>
    <w:qFormat/>
    <w:uiPriority w:val="0"/>
  </w:style>
  <w:style w:type="character" w:styleId="33">
    <w:name w:val="HTML Variable"/>
    <w:autoRedefine/>
    <w:qFormat/>
    <w:uiPriority w:val="0"/>
  </w:style>
  <w:style w:type="character" w:styleId="34">
    <w:name w:val="Hyperlink"/>
    <w:autoRedefine/>
    <w:qFormat/>
    <w:uiPriority w:val="99"/>
    <w:rPr>
      <w:rFonts w:hint="default" w:ascii="ˎ̥" w:hAnsi="ˎ̥"/>
      <w:color w:val="000000"/>
      <w:sz w:val="18"/>
      <w:szCs w:val="18"/>
      <w:u w:val="none"/>
    </w:rPr>
  </w:style>
  <w:style w:type="character" w:styleId="35">
    <w:name w:val="HTML Code"/>
    <w:autoRedefine/>
    <w:qFormat/>
    <w:uiPriority w:val="0"/>
    <w:rPr>
      <w:rFonts w:ascii="Courier New" w:hAnsi="Courier New"/>
      <w:sz w:val="20"/>
    </w:rPr>
  </w:style>
  <w:style w:type="character" w:styleId="36">
    <w:name w:val="HTML Cite"/>
    <w:autoRedefine/>
    <w:qFormat/>
    <w:uiPriority w:val="0"/>
  </w:style>
  <w:style w:type="character" w:customStyle="1" w:styleId="37">
    <w:name w:val="一级标题 Char"/>
    <w:link w:val="38"/>
    <w:autoRedefine/>
    <w:qFormat/>
    <w:uiPriority w:val="0"/>
    <w:rPr>
      <w:rFonts w:ascii="楷体_GB2312" w:hAnsi="宋体" w:eastAsia="楷体_GB2312"/>
      <w:b/>
      <w:sz w:val="28"/>
      <w:szCs w:val="24"/>
    </w:rPr>
  </w:style>
  <w:style w:type="paragraph" w:customStyle="1" w:styleId="38">
    <w:name w:val="一级标题"/>
    <w:basedOn w:val="1"/>
    <w:link w:val="37"/>
    <w:autoRedefine/>
    <w:qFormat/>
    <w:uiPriority w:val="0"/>
    <w:pPr>
      <w:widowControl/>
      <w:spacing w:line="560" w:lineRule="exact"/>
      <w:jc w:val="left"/>
      <w:outlineLvl w:val="0"/>
    </w:pPr>
    <w:rPr>
      <w:rFonts w:ascii="楷体_GB2312" w:hAnsi="宋体" w:eastAsia="楷体_GB2312"/>
      <w:b/>
      <w:kern w:val="0"/>
      <w:sz w:val="28"/>
    </w:rPr>
  </w:style>
  <w:style w:type="character" w:customStyle="1" w:styleId="39">
    <w:name w:val="modifier"/>
    <w:autoRedefine/>
    <w:qFormat/>
    <w:uiPriority w:val="0"/>
    <w:rPr>
      <w:color w:val="FF0000"/>
    </w:rPr>
  </w:style>
  <w:style w:type="character" w:customStyle="1" w:styleId="40">
    <w:name w:val="标题 3 字符"/>
    <w:link w:val="6"/>
    <w:autoRedefine/>
    <w:qFormat/>
    <w:uiPriority w:val="0"/>
    <w:rPr>
      <w:rFonts w:ascii="Tahoma" w:hAnsi="Tahoma" w:eastAsia="微软雅黑"/>
      <w:b/>
      <w:bCs/>
      <w:sz w:val="32"/>
      <w:szCs w:val="32"/>
    </w:rPr>
  </w:style>
  <w:style w:type="character" w:customStyle="1" w:styleId="41">
    <w:name w:val="font01"/>
    <w:autoRedefine/>
    <w:qFormat/>
    <w:uiPriority w:val="0"/>
    <w:rPr>
      <w:rFonts w:hint="eastAsia" w:ascii="宋体" w:hAnsi="宋体" w:eastAsia="宋体" w:cs="宋体"/>
      <w:color w:val="FF0000"/>
      <w:sz w:val="20"/>
      <w:szCs w:val="20"/>
      <w:u w:val="none"/>
    </w:rPr>
  </w:style>
  <w:style w:type="character" w:customStyle="1" w:styleId="42">
    <w:name w:val="无间隔 字符"/>
    <w:link w:val="43"/>
    <w:autoRedefine/>
    <w:qFormat/>
    <w:uiPriority w:val="1"/>
    <w:rPr>
      <w:sz w:val="22"/>
      <w:szCs w:val="22"/>
      <w:lang w:val="en-US" w:eastAsia="zh-CN" w:bidi="ar-SA"/>
    </w:rPr>
  </w:style>
  <w:style w:type="paragraph" w:styleId="43">
    <w:name w:val="No Spacing"/>
    <w:link w:val="42"/>
    <w:autoRedefine/>
    <w:qFormat/>
    <w:uiPriority w:val="1"/>
    <w:rPr>
      <w:rFonts w:ascii="Times New Roman" w:hAnsi="Times New Roman" w:eastAsia="宋体" w:cs="Times New Roman"/>
      <w:sz w:val="22"/>
      <w:szCs w:val="22"/>
      <w:lang w:val="en-US" w:eastAsia="zh-CN" w:bidi="ar-SA"/>
    </w:rPr>
  </w:style>
  <w:style w:type="character" w:customStyle="1" w:styleId="44">
    <w:name w:val="纯文本 Char1"/>
    <w:autoRedefine/>
    <w:qFormat/>
    <w:uiPriority w:val="99"/>
    <w:rPr>
      <w:rFonts w:ascii="宋体" w:hAnsi="Courier New" w:cs="Courier New"/>
      <w:kern w:val="2"/>
      <w:sz w:val="21"/>
      <w:szCs w:val="21"/>
    </w:rPr>
  </w:style>
  <w:style w:type="character" w:customStyle="1" w:styleId="45">
    <w:name w:val="正文文本 字符"/>
    <w:link w:val="12"/>
    <w:autoRedefine/>
    <w:qFormat/>
    <w:uiPriority w:val="0"/>
    <w:rPr>
      <w:bCs/>
      <w:kern w:val="2"/>
      <w:sz w:val="18"/>
      <w:szCs w:val="24"/>
    </w:rPr>
  </w:style>
  <w:style w:type="character" w:customStyle="1" w:styleId="46">
    <w:name w:val="访问过的超链接1"/>
    <w:autoRedefine/>
    <w:qFormat/>
    <w:uiPriority w:val="0"/>
    <w:rPr>
      <w:color w:val="333333"/>
      <w:u w:val="none"/>
    </w:rPr>
  </w:style>
  <w:style w:type="character" w:customStyle="1" w:styleId="47">
    <w:name w:val="UP正文 Char Char"/>
    <w:link w:val="48"/>
    <w:autoRedefine/>
    <w:qFormat/>
    <w:uiPriority w:val="0"/>
    <w:rPr>
      <w:rFonts w:ascii="Tahoma" w:eastAsia="宋体"/>
      <w:kern w:val="2"/>
      <w:sz w:val="21"/>
      <w:lang w:bidi="ar-SA"/>
    </w:rPr>
  </w:style>
  <w:style w:type="paragraph" w:customStyle="1" w:styleId="48">
    <w:name w:val="UP正文"/>
    <w:basedOn w:val="1"/>
    <w:link w:val="47"/>
    <w:autoRedefine/>
    <w:qFormat/>
    <w:uiPriority w:val="0"/>
    <w:pPr>
      <w:spacing w:line="360" w:lineRule="auto"/>
      <w:ind w:left="420" w:leftChars="200" w:firstLine="420" w:firstLineChars="200"/>
    </w:pPr>
    <w:rPr>
      <w:rFonts w:ascii="Tahoma"/>
      <w:szCs w:val="20"/>
    </w:rPr>
  </w:style>
  <w:style w:type="character" w:customStyle="1" w:styleId="49">
    <w:name w:val="正文文本首行缩进 字符"/>
    <w:basedOn w:val="45"/>
    <w:link w:val="50"/>
    <w:autoRedefine/>
    <w:qFormat/>
    <w:uiPriority w:val="0"/>
    <w:rPr>
      <w:kern w:val="2"/>
      <w:sz w:val="18"/>
      <w:szCs w:val="24"/>
    </w:rPr>
  </w:style>
  <w:style w:type="paragraph" w:customStyle="1" w:styleId="50">
    <w:name w:val="正文文本首行缩进"/>
    <w:basedOn w:val="12"/>
    <w:link w:val="49"/>
    <w:autoRedefine/>
    <w:qFormat/>
    <w:uiPriority w:val="0"/>
    <w:pPr>
      <w:spacing w:after="120"/>
      <w:ind w:firstLine="420" w:firstLineChars="100"/>
      <w:jc w:val="both"/>
    </w:pPr>
  </w:style>
  <w:style w:type="character" w:customStyle="1" w:styleId="51">
    <w:name w:val="style111"/>
    <w:autoRedefine/>
    <w:qFormat/>
    <w:uiPriority w:val="0"/>
    <w:rPr>
      <w:sz w:val="24"/>
      <w:szCs w:val="24"/>
    </w:rPr>
  </w:style>
  <w:style w:type="character" w:customStyle="1" w:styleId="52">
    <w:name w:val="font31"/>
    <w:basedOn w:val="28"/>
    <w:autoRedefine/>
    <w:qFormat/>
    <w:uiPriority w:val="0"/>
    <w:rPr>
      <w:rFonts w:hint="eastAsia" w:ascii="宋体" w:hAnsi="宋体" w:eastAsia="宋体" w:cs="宋体"/>
      <w:color w:val="000000"/>
      <w:sz w:val="22"/>
      <w:szCs w:val="22"/>
      <w:u w:val="none"/>
    </w:rPr>
  </w:style>
  <w:style w:type="character" w:customStyle="1" w:styleId="53">
    <w:name w:val="ca-3"/>
    <w:basedOn w:val="28"/>
    <w:autoRedefine/>
    <w:qFormat/>
    <w:uiPriority w:val="0"/>
  </w:style>
  <w:style w:type="character" w:customStyle="1" w:styleId="54">
    <w:name w:val="列出段落 Char"/>
    <w:link w:val="55"/>
    <w:autoRedefine/>
    <w:qFormat/>
    <w:uiPriority w:val="0"/>
    <w:rPr>
      <w:kern w:val="2"/>
      <w:sz w:val="21"/>
      <w:szCs w:val="22"/>
    </w:rPr>
  </w:style>
  <w:style w:type="paragraph" w:customStyle="1" w:styleId="55">
    <w:name w:val="列出段落2"/>
    <w:basedOn w:val="1"/>
    <w:link w:val="54"/>
    <w:autoRedefine/>
    <w:qFormat/>
    <w:uiPriority w:val="0"/>
    <w:pPr>
      <w:ind w:firstLine="420" w:firstLineChars="200"/>
    </w:pPr>
    <w:rPr>
      <w:szCs w:val="22"/>
    </w:rPr>
  </w:style>
  <w:style w:type="character" w:customStyle="1" w:styleId="56">
    <w:name w:val="正文文本缩进 字符"/>
    <w:link w:val="13"/>
    <w:autoRedefine/>
    <w:qFormat/>
    <w:uiPriority w:val="0"/>
    <w:rPr>
      <w:rFonts w:ascii="仿宋_GB2312" w:eastAsia="仿宋_GB2312"/>
      <w:kern w:val="2"/>
      <w:sz w:val="28"/>
      <w:szCs w:val="32"/>
    </w:rPr>
  </w:style>
  <w:style w:type="character" w:customStyle="1" w:styleId="57">
    <w:name w:val="页脚 字符"/>
    <w:link w:val="19"/>
    <w:autoRedefine/>
    <w:qFormat/>
    <w:uiPriority w:val="99"/>
    <w:rPr>
      <w:kern w:val="2"/>
      <w:sz w:val="18"/>
      <w:szCs w:val="18"/>
    </w:rPr>
  </w:style>
  <w:style w:type="character" w:customStyle="1" w:styleId="58">
    <w:name w:val="正文文本缩进 字符1"/>
    <w:autoRedefine/>
    <w:semiHidden/>
    <w:qFormat/>
    <w:uiPriority w:val="99"/>
  </w:style>
  <w:style w:type="character" w:customStyle="1" w:styleId="59">
    <w:name w:val="批注框文本 字符"/>
    <w:link w:val="18"/>
    <w:autoRedefine/>
    <w:qFormat/>
    <w:uiPriority w:val="0"/>
    <w:rPr>
      <w:kern w:val="2"/>
      <w:sz w:val="18"/>
      <w:szCs w:val="18"/>
    </w:rPr>
  </w:style>
  <w:style w:type="character" w:customStyle="1" w:styleId="60">
    <w:name w:val="纯文本 字符"/>
    <w:link w:val="15"/>
    <w:autoRedefine/>
    <w:qFormat/>
    <w:uiPriority w:val="0"/>
    <w:rPr>
      <w:rFonts w:ascii="宋体" w:hAnsi="Courier New"/>
    </w:rPr>
  </w:style>
  <w:style w:type="character" w:customStyle="1" w:styleId="61">
    <w:name w:val="hei13b1"/>
    <w:autoRedefine/>
    <w:qFormat/>
    <w:uiPriority w:val="0"/>
    <w:rPr>
      <w:rFonts w:hint="default" w:ascii="Arial" w:hAnsi="Arial" w:cs="Arial"/>
      <w:b/>
      <w:bCs/>
      <w:color w:val="000000"/>
      <w:sz w:val="20"/>
      <w:szCs w:val="20"/>
    </w:rPr>
  </w:style>
  <w:style w:type="character" w:customStyle="1" w:styleId="62">
    <w:name w:val="表格文字 Char"/>
    <w:link w:val="63"/>
    <w:autoRedefine/>
    <w:qFormat/>
    <w:uiPriority w:val="0"/>
    <w:rPr>
      <w:bCs/>
      <w:spacing w:val="10"/>
      <w:kern w:val="0"/>
      <w:sz w:val="24"/>
      <w:szCs w:val="20"/>
    </w:rPr>
  </w:style>
  <w:style w:type="paragraph" w:customStyle="1" w:styleId="63">
    <w:name w:val="表格文字"/>
    <w:basedOn w:val="1"/>
    <w:link w:val="62"/>
    <w:autoRedefine/>
    <w:qFormat/>
    <w:uiPriority w:val="0"/>
    <w:pPr>
      <w:spacing w:before="25" w:after="25"/>
      <w:jc w:val="left"/>
    </w:pPr>
    <w:rPr>
      <w:bCs/>
      <w:spacing w:val="10"/>
      <w:kern w:val="0"/>
      <w:sz w:val="24"/>
      <w:szCs w:val="20"/>
    </w:rPr>
  </w:style>
  <w:style w:type="character" w:customStyle="1" w:styleId="64">
    <w:name w:val="label"/>
    <w:autoRedefine/>
    <w:qFormat/>
    <w:uiPriority w:val="0"/>
    <w:rPr>
      <w:color w:val="555555"/>
    </w:rPr>
  </w:style>
  <w:style w:type="character" w:customStyle="1" w:styleId="65">
    <w:name w:val="font11"/>
    <w:basedOn w:val="28"/>
    <w:autoRedefine/>
    <w:qFormat/>
    <w:uiPriority w:val="0"/>
    <w:rPr>
      <w:rFonts w:hint="default" w:ascii="Times New Roman" w:hAnsi="Times New Roman" w:cs="Times New Roman"/>
      <w:color w:val="000000"/>
      <w:sz w:val="20"/>
      <w:szCs w:val="20"/>
      <w:u w:val="none"/>
    </w:rPr>
  </w:style>
  <w:style w:type="character" w:customStyle="1" w:styleId="66">
    <w:name w:val="font21"/>
    <w:autoRedefine/>
    <w:qFormat/>
    <w:uiPriority w:val="0"/>
    <w:rPr>
      <w:rFonts w:hint="eastAsia" w:ascii="宋体" w:hAnsi="宋体" w:eastAsia="宋体" w:cs="宋体"/>
      <w:color w:val="000000"/>
      <w:sz w:val="20"/>
      <w:szCs w:val="20"/>
      <w:u w:val="none"/>
    </w:rPr>
  </w:style>
  <w:style w:type="character" w:customStyle="1" w:styleId="67">
    <w:name w:val="正文缩进 字符"/>
    <w:link w:val="8"/>
    <w:autoRedefine/>
    <w:qFormat/>
    <w:uiPriority w:val="0"/>
    <w:rPr>
      <w:rFonts w:eastAsia="宋体"/>
      <w:kern w:val="2"/>
      <w:sz w:val="21"/>
      <w:szCs w:val="24"/>
      <w:lang w:val="en-US" w:eastAsia="zh-CN" w:bidi="ar-SA"/>
    </w:rPr>
  </w:style>
  <w:style w:type="character" w:customStyle="1" w:styleId="68">
    <w:name w:val="ca-1"/>
    <w:basedOn w:val="28"/>
    <w:autoRedefine/>
    <w:qFormat/>
    <w:uiPriority w:val="0"/>
  </w:style>
  <w:style w:type="character" w:customStyle="1" w:styleId="69">
    <w:name w:val="apple-converted-space"/>
    <w:basedOn w:val="28"/>
    <w:autoRedefine/>
    <w:qFormat/>
    <w:uiPriority w:val="0"/>
  </w:style>
  <w:style w:type="character" w:customStyle="1" w:styleId="70">
    <w:name w:val="UP标题3 Char Char"/>
    <w:link w:val="71"/>
    <w:autoRedefine/>
    <w:qFormat/>
    <w:uiPriority w:val="0"/>
    <w:rPr>
      <w:rFonts w:ascii="黑体" w:eastAsia="黑体"/>
      <w:kern w:val="2"/>
      <w:sz w:val="28"/>
      <w:szCs w:val="28"/>
      <w:lang w:bidi="ar-SA"/>
    </w:rPr>
  </w:style>
  <w:style w:type="paragraph" w:customStyle="1" w:styleId="71">
    <w:name w:val="UP标题3"/>
    <w:basedOn w:val="1"/>
    <w:link w:val="70"/>
    <w:autoRedefine/>
    <w:qFormat/>
    <w:uiPriority w:val="0"/>
    <w:pPr>
      <w:spacing w:line="360" w:lineRule="auto"/>
      <w:ind w:firstLine="149" w:firstLineChars="149"/>
    </w:pPr>
    <w:rPr>
      <w:rFonts w:ascii="黑体" w:eastAsia="黑体"/>
      <w:sz w:val="28"/>
      <w:szCs w:val="28"/>
    </w:rPr>
  </w:style>
  <w:style w:type="character" w:customStyle="1" w:styleId="72">
    <w:name w:val="article1"/>
    <w:autoRedefine/>
    <w:qFormat/>
    <w:uiPriority w:val="0"/>
    <w:rPr>
      <w:sz w:val="21"/>
      <w:szCs w:val="21"/>
    </w:rPr>
  </w:style>
  <w:style w:type="character" w:customStyle="1" w:styleId="73">
    <w:name w:val="标题 1 字符"/>
    <w:link w:val="4"/>
    <w:autoRedefine/>
    <w:qFormat/>
    <w:uiPriority w:val="9"/>
    <w:rPr>
      <w:rFonts w:eastAsia="宋体"/>
      <w:b/>
      <w:kern w:val="2"/>
      <w:sz w:val="18"/>
      <w:szCs w:val="24"/>
      <w:lang w:val="en-US" w:eastAsia="zh-CN" w:bidi="ar-SA"/>
    </w:rPr>
  </w:style>
  <w:style w:type="character" w:customStyle="1" w:styleId="74">
    <w:name w:val="页眉 字符"/>
    <w:link w:val="20"/>
    <w:autoRedefine/>
    <w:qFormat/>
    <w:uiPriority w:val="99"/>
    <w:rPr>
      <w:kern w:val="2"/>
      <w:sz w:val="18"/>
      <w:szCs w:val="18"/>
    </w:rPr>
  </w:style>
  <w:style w:type="character" w:customStyle="1" w:styleId="75">
    <w:name w:val="ca-4"/>
    <w:basedOn w:val="28"/>
    <w:autoRedefine/>
    <w:qFormat/>
    <w:uiPriority w:val="0"/>
  </w:style>
  <w:style w:type="character" w:customStyle="1" w:styleId="76">
    <w:name w:val="apple-style-span"/>
    <w:basedOn w:val="28"/>
    <w:autoRedefine/>
    <w:qFormat/>
    <w:uiPriority w:val="0"/>
  </w:style>
  <w:style w:type="character" w:customStyle="1" w:styleId="77">
    <w:name w:val="mark12"/>
    <w:basedOn w:val="28"/>
    <w:autoRedefine/>
    <w:qFormat/>
    <w:uiPriority w:val="0"/>
  </w:style>
  <w:style w:type="character" w:customStyle="1" w:styleId="78">
    <w:name w:val="标题 2 字符"/>
    <w:link w:val="5"/>
    <w:autoRedefine/>
    <w:qFormat/>
    <w:uiPriority w:val="0"/>
    <w:rPr>
      <w:b/>
      <w:kern w:val="2"/>
      <w:sz w:val="18"/>
      <w:szCs w:val="24"/>
    </w:rPr>
  </w:style>
  <w:style w:type="character" w:customStyle="1" w:styleId="79">
    <w:name w:val="ca-2"/>
    <w:basedOn w:val="28"/>
    <w:autoRedefine/>
    <w:qFormat/>
    <w:uiPriority w:val="0"/>
  </w:style>
  <w:style w:type="character" w:customStyle="1" w:styleId="80">
    <w:name w:val="正文文本缩进 2 字符"/>
    <w:link w:val="17"/>
    <w:autoRedefine/>
    <w:qFormat/>
    <w:uiPriority w:val="0"/>
    <w:rPr>
      <w:kern w:val="2"/>
      <w:sz w:val="21"/>
      <w:szCs w:val="24"/>
    </w:rPr>
  </w:style>
  <w:style w:type="paragraph" w:customStyle="1" w:styleId="81">
    <w:name w:val="纯文本1"/>
    <w:basedOn w:val="1"/>
    <w:autoRedefine/>
    <w:qFormat/>
    <w:uiPriority w:val="0"/>
    <w:rPr>
      <w:rFonts w:ascii="宋体" w:hAnsi="Courier New"/>
      <w:szCs w:val="21"/>
    </w:rPr>
  </w:style>
  <w:style w:type="paragraph" w:customStyle="1" w:styleId="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正文2"/>
    <w:autoRedefine/>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4">
    <w:name w:val="列出段落1"/>
    <w:basedOn w:val="1"/>
    <w:autoRedefine/>
    <w:unhideWhenUsed/>
    <w:qFormat/>
    <w:uiPriority w:val="99"/>
    <w:pPr>
      <w:ind w:firstLine="420" w:firstLineChars="200"/>
    </w:pPr>
    <w:rPr>
      <w:rFonts w:ascii="宋体" w:hAnsi="Calibri"/>
      <w:kern w:val="0"/>
      <w:sz w:val="34"/>
      <w:szCs w:val="22"/>
    </w:rPr>
  </w:style>
  <w:style w:type="paragraph" w:customStyle="1" w:styleId="85">
    <w:name w:val="附件正文"/>
    <w:basedOn w:val="1"/>
    <w:autoRedefine/>
    <w:qFormat/>
    <w:uiPriority w:val="0"/>
    <w:pPr>
      <w:snapToGrid w:val="0"/>
      <w:spacing w:line="260" w:lineRule="exact"/>
      <w:jc w:val="center"/>
    </w:pPr>
    <w:rPr>
      <w:rFonts w:ascii="华文仿宋" w:hAnsi="华文仿宋" w:eastAsia="华文仿宋"/>
      <w:b/>
      <w:kern w:val="0"/>
      <w:szCs w:val="21"/>
    </w:rPr>
  </w:style>
  <w:style w:type="paragraph" w:customStyle="1" w:styleId="86">
    <w:name w:val="Char1"/>
    <w:basedOn w:val="1"/>
    <w:autoRedefine/>
    <w:qFormat/>
    <w:uiPriority w:val="0"/>
    <w:pPr>
      <w:ind w:left="359" w:leftChars="171" w:firstLine="560" w:firstLineChars="200"/>
    </w:pPr>
  </w:style>
  <w:style w:type="paragraph" w:customStyle="1" w:styleId="87">
    <w:name w:val="正文首行缩进两字符"/>
    <w:basedOn w:val="1"/>
    <w:autoRedefine/>
    <w:qFormat/>
    <w:uiPriority w:val="0"/>
    <w:pPr>
      <w:spacing w:line="360" w:lineRule="auto"/>
      <w:ind w:firstLine="200" w:firstLineChars="200"/>
    </w:pPr>
    <w:rPr>
      <w:rFonts w:ascii="宋体" w:hAnsi="Calibri"/>
      <w:kern w:val="0"/>
      <w:sz w:val="34"/>
      <w:szCs w:val="22"/>
    </w:rPr>
  </w:style>
  <w:style w:type="paragraph" w:customStyle="1" w:styleId="8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9">
    <w:name w:val="正文3"/>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_Style 3"/>
    <w:basedOn w:val="1"/>
    <w:autoRedefine/>
    <w:qFormat/>
    <w:uiPriority w:val="34"/>
    <w:pPr>
      <w:ind w:firstLine="420" w:firstLineChars="200"/>
    </w:pPr>
    <w:rPr>
      <w:rFonts w:ascii="Calibri" w:hAnsi="Calibri"/>
      <w:kern w:val="0"/>
      <w:sz w:val="34"/>
    </w:rPr>
  </w:style>
  <w:style w:type="paragraph" w:customStyle="1" w:styleId="91">
    <w:name w:val="00C2FCAA2DF749E1AD1DF710F7BE298E"/>
    <w:autoRedefin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2">
    <w:name w:val="目录 11"/>
    <w:basedOn w:val="1"/>
    <w:next w:val="1"/>
    <w:autoRedefine/>
    <w:qFormat/>
    <w:uiPriority w:val="39"/>
    <w:rPr>
      <w:rFonts w:ascii="宋体" w:hAnsi="Calibri"/>
      <w:kern w:val="0"/>
      <w:sz w:val="34"/>
      <w:szCs w:val="22"/>
    </w:rPr>
  </w:style>
  <w:style w:type="paragraph" w:customStyle="1" w:styleId="93">
    <w:name w:val="pa-3"/>
    <w:basedOn w:val="1"/>
    <w:autoRedefine/>
    <w:qFormat/>
    <w:uiPriority w:val="0"/>
    <w:pPr>
      <w:widowControl/>
      <w:spacing w:before="150" w:after="150"/>
      <w:jc w:val="left"/>
    </w:pPr>
    <w:rPr>
      <w:rFonts w:ascii="宋体" w:hAnsi="宋体" w:cs="宋体"/>
      <w:kern w:val="0"/>
      <w:sz w:val="24"/>
    </w:rPr>
  </w:style>
  <w:style w:type="paragraph" w:customStyle="1" w:styleId="94">
    <w:name w:val="p17"/>
    <w:basedOn w:val="1"/>
    <w:autoRedefine/>
    <w:qFormat/>
    <w:uiPriority w:val="0"/>
    <w:pPr>
      <w:widowControl/>
    </w:pPr>
    <w:rPr>
      <w:rFonts w:ascii="宋体" w:hAnsi="宋体" w:cs="宋体"/>
      <w:kern w:val="0"/>
      <w:szCs w:val="21"/>
    </w:rPr>
  </w:style>
  <w:style w:type="paragraph" w:customStyle="1" w:styleId="95">
    <w:name w:val="pa-2"/>
    <w:basedOn w:val="1"/>
    <w:autoRedefine/>
    <w:qFormat/>
    <w:uiPriority w:val="0"/>
    <w:pPr>
      <w:widowControl/>
      <w:spacing w:before="150" w:after="150"/>
      <w:jc w:val="left"/>
    </w:pPr>
    <w:rPr>
      <w:rFonts w:ascii="宋体" w:hAnsi="宋体" w:cs="宋体"/>
      <w:kern w:val="0"/>
      <w:sz w:val="24"/>
    </w:rPr>
  </w:style>
  <w:style w:type="paragraph" w:customStyle="1" w:styleId="96">
    <w:name w:val="样式 首行缩进:  2 字符"/>
    <w:basedOn w:val="1"/>
    <w:autoRedefine/>
    <w:qFormat/>
    <w:uiPriority w:val="0"/>
    <w:pPr>
      <w:spacing w:line="400" w:lineRule="exact"/>
      <w:ind w:firstLine="200" w:firstLineChars="200"/>
    </w:pPr>
    <w:rPr>
      <w:rFonts w:cs="宋体"/>
      <w:sz w:val="24"/>
    </w:rPr>
  </w:style>
  <w:style w:type="paragraph" w:customStyle="1" w:styleId="97">
    <w:name w:val="表格"/>
    <w:basedOn w:val="1"/>
    <w:autoRedefine/>
    <w:qFormat/>
    <w:uiPriority w:val="0"/>
    <w:pPr>
      <w:spacing w:line="400" w:lineRule="exact"/>
    </w:pPr>
    <w:rPr>
      <w:rFonts w:ascii="宋体" w:hAnsi="Calibri"/>
      <w:kern w:val="0"/>
      <w:sz w:val="24"/>
      <w:szCs w:val="22"/>
    </w:rPr>
  </w:style>
  <w:style w:type="paragraph" w:customStyle="1" w:styleId="98">
    <w:name w:val="pa-4"/>
    <w:basedOn w:val="1"/>
    <w:autoRedefine/>
    <w:qFormat/>
    <w:uiPriority w:val="0"/>
    <w:pPr>
      <w:widowControl/>
      <w:spacing w:before="150" w:after="150"/>
      <w:jc w:val="left"/>
    </w:pPr>
    <w:rPr>
      <w:rFonts w:ascii="宋体" w:hAnsi="宋体" w:cs="宋体"/>
      <w:kern w:val="0"/>
      <w:sz w:val="24"/>
    </w:rPr>
  </w:style>
  <w:style w:type="paragraph" w:customStyle="1" w:styleId="99">
    <w:name w:val="列表段落"/>
    <w:basedOn w:val="1"/>
    <w:autoRedefine/>
    <w:qFormat/>
    <w:uiPriority w:val="0"/>
    <w:pPr>
      <w:ind w:firstLine="420" w:firstLineChars="200"/>
    </w:pPr>
  </w:style>
  <w:style w:type="paragraph" w:customStyle="1" w:styleId="100">
    <w:name w:val="p15"/>
    <w:basedOn w:val="1"/>
    <w:autoRedefine/>
    <w:qFormat/>
    <w:uiPriority w:val="0"/>
    <w:pPr>
      <w:widowControl/>
      <w:spacing w:before="100" w:after="100" w:line="360" w:lineRule="auto"/>
    </w:pPr>
    <w:rPr>
      <w:rFonts w:ascii="宋体" w:hAnsi="宋体" w:cs="宋体"/>
      <w:kern w:val="0"/>
      <w:sz w:val="24"/>
    </w:rPr>
  </w:style>
  <w:style w:type="paragraph" w:customStyle="1" w:styleId="101">
    <w:name w:val="Char"/>
    <w:basedOn w:val="1"/>
    <w:autoRedefine/>
    <w:qFormat/>
    <w:uiPriority w:val="0"/>
    <w:pPr>
      <w:spacing w:line="240" w:lineRule="atLeast"/>
      <w:ind w:left="420" w:firstLine="420"/>
    </w:pPr>
  </w:style>
  <w:style w:type="paragraph" w:customStyle="1" w:styleId="102">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3">
    <w:name w:val="Table Paragraph"/>
    <w:basedOn w:val="1"/>
    <w:autoRedefine/>
    <w:qFormat/>
    <w:uiPriority w:val="1"/>
    <w:rPr>
      <w:rFonts w:ascii="Noto Sans CJK JP Regular" w:hAnsi="Noto Sans CJK JP Regular" w:eastAsia="Noto Sans CJK JP Regular" w:cs="Noto Sans CJK JP Regular"/>
    </w:rPr>
  </w:style>
  <w:style w:type="paragraph" w:customStyle="1" w:styleId="104">
    <w:name w:val="Char Char Char Char"/>
    <w:basedOn w:val="10"/>
    <w:autoRedefine/>
    <w:qFormat/>
    <w:uiPriority w:val="0"/>
    <w:pPr>
      <w:adjustRightInd w:val="0"/>
      <w:snapToGrid w:val="0"/>
      <w:spacing w:line="360" w:lineRule="auto"/>
    </w:pPr>
    <w:rPr>
      <w:rFonts w:ascii="仿宋_GB2312" w:eastAsia="仿宋_GB2312"/>
      <w:sz w:val="24"/>
    </w:rPr>
  </w:style>
  <w:style w:type="paragraph" w:customStyle="1" w:styleId="105">
    <w:name w:val="_Style 1"/>
    <w:basedOn w:val="1"/>
    <w:autoRedefine/>
    <w:qFormat/>
    <w:uiPriority w:val="0"/>
    <w:pPr>
      <w:ind w:firstLine="420" w:firstLineChars="200"/>
    </w:pPr>
    <w:rPr>
      <w:sz w:val="18"/>
      <w:szCs w:val="18"/>
    </w:rPr>
  </w:style>
  <w:style w:type="paragraph" w:customStyle="1" w:styleId="106">
    <w:name w:val="p0"/>
    <w:basedOn w:val="1"/>
    <w:autoRedefine/>
    <w:qFormat/>
    <w:uiPriority w:val="0"/>
    <w:pPr>
      <w:widowControl/>
    </w:pPr>
    <w:rPr>
      <w:rFonts w:ascii="Calibri" w:hAnsi="Calibri" w:cs="宋体"/>
      <w:kern w:val="0"/>
      <w:szCs w:val="21"/>
    </w:rPr>
  </w:style>
  <w:style w:type="paragraph" w:customStyle="1" w:styleId="107">
    <w:name w:val="pa-6"/>
    <w:basedOn w:val="1"/>
    <w:autoRedefine/>
    <w:qFormat/>
    <w:uiPriority w:val="0"/>
    <w:pPr>
      <w:widowControl/>
      <w:spacing w:before="150" w:after="150"/>
      <w:jc w:val="left"/>
    </w:pPr>
    <w:rPr>
      <w:rFonts w:ascii="宋体" w:hAnsi="宋体" w:cs="宋体"/>
      <w:kern w:val="0"/>
      <w:sz w:val="24"/>
    </w:rPr>
  </w:style>
  <w:style w:type="paragraph" w:customStyle="1" w:styleId="108">
    <w:name w:val="_正文段落"/>
    <w:basedOn w:val="1"/>
    <w:autoRedefine/>
    <w:qFormat/>
    <w:uiPriority w:val="0"/>
    <w:pPr>
      <w:spacing w:line="360" w:lineRule="auto"/>
    </w:pPr>
    <w:rPr>
      <w:rFonts w:ascii="宋体" w:eastAsia="仿宋_GB2312"/>
      <w:kern w:val="0"/>
      <w:sz w:val="28"/>
    </w:rPr>
  </w:style>
  <w:style w:type="paragraph" w:customStyle="1" w:styleId="109">
    <w:name w:val="pa-1"/>
    <w:basedOn w:val="1"/>
    <w:autoRedefine/>
    <w:qFormat/>
    <w:uiPriority w:val="0"/>
    <w:pPr>
      <w:widowControl/>
      <w:spacing w:before="150" w:after="150"/>
      <w:jc w:val="left"/>
    </w:pPr>
    <w:rPr>
      <w:rFonts w:ascii="宋体" w:hAnsi="宋体" w:cs="宋体"/>
      <w:kern w:val="0"/>
      <w:sz w:val="24"/>
    </w:rPr>
  </w:style>
  <w:style w:type="paragraph" w:customStyle="1" w:styleId="110">
    <w:name w:val="pa-0"/>
    <w:basedOn w:val="1"/>
    <w:autoRedefine/>
    <w:qFormat/>
    <w:uiPriority w:val="0"/>
    <w:pPr>
      <w:widowControl/>
      <w:spacing w:before="150" w:after="150"/>
      <w:jc w:val="left"/>
    </w:pPr>
    <w:rPr>
      <w:rFonts w:ascii="宋体" w:hAnsi="宋体" w:cs="宋体"/>
      <w:kern w:val="0"/>
      <w:sz w:val="24"/>
    </w:rPr>
  </w:style>
  <w:style w:type="paragraph" w:customStyle="1" w:styleId="111">
    <w:name w:val="列出段落3"/>
    <w:basedOn w:val="1"/>
    <w:autoRedefine/>
    <w:qFormat/>
    <w:uiPriority w:val="99"/>
    <w:pPr>
      <w:ind w:firstLine="420" w:firstLineChars="200"/>
    </w:pPr>
  </w:style>
  <w:style w:type="paragraph" w:customStyle="1" w:styleId="112">
    <w:name w:val="列出段落4"/>
    <w:basedOn w:val="1"/>
    <w:autoRedefine/>
    <w:qFormat/>
    <w:uiPriority w:val="99"/>
    <w:pPr>
      <w:ind w:firstLine="420" w:firstLineChars="200"/>
    </w:pPr>
  </w:style>
  <w:style w:type="paragraph" w:customStyle="1" w:styleId="113">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4">
    <w:name w:val="font41"/>
    <w:basedOn w:val="28"/>
    <w:autoRedefine/>
    <w:qFormat/>
    <w:uiPriority w:val="0"/>
    <w:rPr>
      <w:rFonts w:hint="default" w:ascii="Arial" w:hAnsi="Arial" w:cs="Arial"/>
      <w:color w:val="000000"/>
      <w:sz w:val="18"/>
      <w:szCs w:val="18"/>
      <w:u w:val="none"/>
    </w:rPr>
  </w:style>
  <w:style w:type="character" w:customStyle="1" w:styleId="115">
    <w:name w:val="font51"/>
    <w:basedOn w:val="28"/>
    <w:autoRedefine/>
    <w:qFormat/>
    <w:uiPriority w:val="0"/>
    <w:rPr>
      <w:rFonts w:hint="eastAsia" w:ascii="宋体" w:hAnsi="宋体" w:eastAsia="宋体" w:cs="宋体"/>
      <w:color w:val="000000"/>
      <w:sz w:val="20"/>
      <w:szCs w:val="20"/>
      <w:u w:val="none"/>
    </w:rPr>
  </w:style>
  <w:style w:type="paragraph" w:customStyle="1" w:styleId="116">
    <w:name w:val="CD正文"/>
    <w:basedOn w:val="1"/>
    <w:autoRedefine/>
    <w:qFormat/>
    <w:uiPriority w:val="0"/>
    <w:pPr>
      <w:spacing w:line="360" w:lineRule="auto"/>
      <w:ind w:firstLine="493"/>
    </w:pPr>
    <w:rPr>
      <w:sz w:val="30"/>
      <w:szCs w:val="30"/>
    </w:rPr>
  </w:style>
  <w:style w:type="paragraph" w:customStyle="1" w:styleId="117">
    <w:name w:val="List Paragraph"/>
    <w:basedOn w:val="1"/>
    <w:autoRedefine/>
    <w:qFormat/>
    <w:uiPriority w:val="99"/>
    <w:pPr>
      <w:ind w:firstLine="420" w:firstLineChars="200"/>
    </w:pPr>
  </w:style>
  <w:style w:type="character" w:customStyle="1" w:styleId="118">
    <w:name w:val="标题 2 Char"/>
    <w:link w:val="5"/>
    <w:autoRedefine/>
    <w:qFormat/>
    <w:uiPriority w:val="0"/>
    <w:rPr>
      <w:rFonts w:ascii="Calibri" w:hAnsi="Calibri" w:eastAsia="仿宋"/>
      <w:b/>
      <w:sz w:val="24"/>
    </w:rPr>
  </w:style>
  <w:style w:type="paragraph" w:customStyle="1" w:styleId="119">
    <w:name w:val="Body text|1"/>
    <w:basedOn w:val="1"/>
    <w:autoRedefine/>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20">
    <w:name w:val="_Style 6"/>
    <w:basedOn w:val="4"/>
    <w:next w:val="1"/>
    <w:autoRedefine/>
    <w:qFormat/>
    <w:uiPriority w:val="0"/>
    <w:pPr>
      <w:outlineLvl w:val="9"/>
    </w:pPr>
  </w:style>
  <w:style w:type="paragraph" w:customStyle="1" w:styleId="12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1.pn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70</Pages>
  <Words>31622</Words>
  <Characters>34451</Characters>
  <Lines>259</Lines>
  <Paragraphs>73</Paragraphs>
  <TotalTime>2</TotalTime>
  <ScaleCrop>false</ScaleCrop>
  <LinksUpToDate>false</LinksUpToDate>
  <CharactersWithSpaces>35874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久润招标</cp:lastModifiedBy>
  <cp:lastPrinted>2021-04-13T01:58:00Z</cp:lastPrinted>
  <dcterms:modified xsi:type="dcterms:W3CDTF">2024-04-29T07:32:57Z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D01E085887674E0582A0040CB6DB12F5</vt:lpwstr>
  </property>
  <property fmtid="{D5CDD505-2E9C-101B-9397-08002B2CF9AE}" pid="4" name="commondata">
    <vt:lpwstr>eyJoZGlkIjoiZTQzNzAzM2IxNGM3MzA4OWQ3ZmVmZWJmY2FkNTE0Y2YifQ==</vt:lpwstr>
  </property>
</Properties>
</file>