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snapToGrid/>
        <w:spacing w:before="0" w:after="0" w:line="560" w:lineRule="exact"/>
        <w:ind w:left="0" w:leftChars="0"/>
        <w:jc w:val="center"/>
        <w:textAlignment w:val="auto"/>
        <w:rPr>
          <w:rFonts w:hint="eastAsia" w:ascii="方正小标宋简体" w:hAnsi="方正小标宋简体" w:eastAsia="方正小标宋简体" w:cs="方正小标宋简体"/>
          <w:b w:val="0"/>
          <w:bCs w:val="0"/>
          <w:color w:val="000000"/>
          <w:sz w:val="36"/>
          <w:szCs w:val="36"/>
          <w:lang w:val="en-US" w:eastAsia="zh-CN"/>
        </w:rPr>
      </w:pPr>
      <w:bookmarkStart w:id="0" w:name="_Toc17663"/>
      <w:bookmarkStart w:id="1" w:name="_Toc217446094"/>
      <w:bookmarkStart w:id="2" w:name="_Toc11445"/>
      <w:bookmarkStart w:id="3" w:name="_Toc31903"/>
      <w:bookmarkStart w:id="4" w:name="_Toc22364"/>
      <w:bookmarkStart w:id="5" w:name="_Toc24541"/>
      <w:bookmarkStart w:id="6" w:name="_Toc13691"/>
      <w:r>
        <w:rPr>
          <w:rFonts w:hint="eastAsia" w:ascii="方正小标宋简体" w:hAnsi="方正小标宋简体" w:eastAsia="方正小标宋简体" w:cs="方正小标宋简体"/>
          <w:b w:val="0"/>
          <w:bCs w:val="0"/>
          <w:color w:val="000000"/>
          <w:sz w:val="36"/>
          <w:szCs w:val="36"/>
        </w:rPr>
        <w:t>富顺县中医医院</w:t>
      </w:r>
      <w:r>
        <w:rPr>
          <w:rFonts w:hint="eastAsia" w:ascii="方正小标宋简体" w:hAnsi="方正小标宋简体" w:eastAsia="方正小标宋简体" w:cs="方正小标宋简体"/>
          <w:b w:val="0"/>
          <w:bCs w:val="0"/>
          <w:color w:val="000000"/>
          <w:sz w:val="36"/>
          <w:szCs w:val="36"/>
          <w:lang w:val="en-US" w:eastAsia="zh-CN"/>
        </w:rPr>
        <w:t>环境卫生、</w:t>
      </w:r>
      <w:r>
        <w:rPr>
          <w:rFonts w:hint="eastAsia" w:ascii="方正小标宋简体" w:hAnsi="方正小标宋简体" w:eastAsia="方正小标宋简体" w:cs="方正小标宋简体"/>
          <w:b w:val="0"/>
          <w:bCs w:val="0"/>
          <w:color w:val="000000"/>
          <w:sz w:val="36"/>
          <w:szCs w:val="36"/>
        </w:rPr>
        <w:t>废水废气检测</w:t>
      </w:r>
      <w:r>
        <w:rPr>
          <w:rFonts w:hint="eastAsia" w:ascii="方正小标宋简体" w:hAnsi="方正小标宋简体" w:eastAsia="方正小标宋简体" w:cs="方正小标宋简体"/>
          <w:b w:val="0"/>
          <w:bCs w:val="0"/>
          <w:color w:val="000000"/>
          <w:sz w:val="36"/>
          <w:szCs w:val="36"/>
          <w:lang w:val="en-US" w:eastAsia="zh-CN"/>
        </w:rPr>
        <w:t>采购项目</w:t>
      </w:r>
    </w:p>
    <w:p>
      <w:pPr>
        <w:pStyle w:val="3"/>
        <w:pageBreakBefore w:val="0"/>
        <w:kinsoku/>
        <w:wordWrap/>
        <w:overflowPunct/>
        <w:topLinePunct w:val="0"/>
        <w:autoSpaceDE/>
        <w:autoSpaceDN/>
        <w:bidi w:val="0"/>
        <w:adjustRightInd/>
        <w:snapToGrid/>
        <w:spacing w:before="0" w:after="0" w:line="560" w:lineRule="exact"/>
        <w:ind w:left="0" w:leftChars="0"/>
        <w:jc w:val="center"/>
        <w:textAlignment w:val="auto"/>
        <w:rPr>
          <w:rFonts w:hint="eastAsia" w:ascii="仿宋_GB2312" w:hAnsi="仿宋_GB2312" w:eastAsia="仿宋_GB2312" w:cs="仿宋_GB2312"/>
          <w:b w:val="0"/>
          <w:bCs w:val="0"/>
          <w:sz w:val="28"/>
          <w:szCs w:val="28"/>
        </w:rPr>
      </w:pPr>
      <w:r>
        <w:rPr>
          <w:rFonts w:hint="eastAsia" w:ascii="方正小标宋简体" w:hAnsi="方正小标宋简体" w:eastAsia="方正小标宋简体" w:cs="方正小标宋简体"/>
          <w:b w:val="0"/>
          <w:bCs w:val="0"/>
          <w:color w:val="000000"/>
          <w:sz w:val="36"/>
          <w:szCs w:val="36"/>
        </w:rPr>
        <w:t>采购需求</w:t>
      </w:r>
    </w:p>
    <w:bookmarkEnd w:id="0"/>
    <w:bookmarkEnd w:id="1"/>
    <w:bookmarkEnd w:id="2"/>
    <w:bookmarkEnd w:id="3"/>
    <w:bookmarkEnd w:id="4"/>
    <w:bookmarkEnd w:id="5"/>
    <w:bookmarkEnd w:id="6"/>
    <w:p>
      <w:pPr>
        <w:pStyle w:val="3"/>
        <w:pageBreakBefore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黑体" w:hAnsi="黑体" w:cs="黑体"/>
          <w:b w:val="0"/>
          <w:bCs w:val="0"/>
          <w:sz w:val="28"/>
          <w:szCs w:val="28"/>
          <w:lang w:val="en-US" w:eastAsia="zh-CN"/>
        </w:rPr>
      </w:pPr>
      <w:bookmarkStart w:id="7" w:name="_Toc217446095"/>
    </w:p>
    <w:p>
      <w:pPr>
        <w:pStyle w:val="3"/>
        <w:pageBreakBefore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黑体" w:hAnsi="黑体" w:cs="黑体"/>
          <w:b w:val="0"/>
          <w:bCs w:val="0"/>
          <w:sz w:val="28"/>
          <w:szCs w:val="28"/>
          <w:lang w:val="en-US" w:eastAsia="zh-CN"/>
        </w:rPr>
      </w:pPr>
      <w:r>
        <w:rPr>
          <w:rFonts w:hint="eastAsia" w:ascii="黑体" w:hAnsi="黑体" w:cs="黑体"/>
          <w:b w:val="0"/>
          <w:bCs w:val="0"/>
          <w:sz w:val="28"/>
          <w:szCs w:val="28"/>
          <w:lang w:val="en-US" w:eastAsia="zh-CN"/>
        </w:rPr>
        <w:t>一、</w:t>
      </w:r>
      <w:r>
        <w:rPr>
          <w:rFonts w:hint="eastAsia" w:ascii="宋体" w:hAnsi="宋体" w:eastAsia="宋体" w:cs="宋体"/>
          <w:sz w:val="24"/>
          <w:szCs w:val="24"/>
        </w:rPr>
        <w:t>★</w:t>
      </w:r>
      <w:r>
        <w:rPr>
          <w:rFonts w:hint="eastAsia" w:ascii="黑体" w:hAnsi="黑体" w:cs="黑体"/>
          <w:b w:val="0"/>
          <w:bCs w:val="0"/>
          <w:sz w:val="28"/>
          <w:szCs w:val="28"/>
          <w:lang w:val="en-US" w:eastAsia="zh-CN"/>
        </w:rPr>
        <w:t>采购内容</w:t>
      </w:r>
    </w:p>
    <w:tbl>
      <w:tblPr>
        <w:tblStyle w:val="11"/>
        <w:tblW w:w="6063" w:type="pct"/>
        <w:tblInd w:w="-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870"/>
        <w:gridCol w:w="1050"/>
        <w:gridCol w:w="1185"/>
        <w:gridCol w:w="4935"/>
        <w:gridCol w:w="97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bookmarkStart w:id="8" w:name="_Toc2076"/>
            <w:bookmarkStart w:id="9" w:name="_Toc24400"/>
            <w:bookmarkStart w:id="10" w:name="_Toc3120"/>
            <w:bookmarkStart w:id="11" w:name="_Toc16486"/>
            <w:bookmarkStart w:id="12" w:name="_Toc4701"/>
            <w:bookmarkStart w:id="13" w:name="_Toc1573"/>
            <w:r>
              <w:rPr>
                <w:rFonts w:hint="eastAsia" w:ascii="宋体" w:hAnsi="宋体" w:eastAsia="宋体" w:cs="宋体"/>
                <w:i w:val="0"/>
                <w:iCs w:val="0"/>
                <w:color w:val="000000"/>
                <w:kern w:val="0"/>
                <w:sz w:val="16"/>
                <w:szCs w:val="16"/>
                <w:u w:val="none"/>
                <w:lang w:val="en-US" w:eastAsia="zh-CN" w:bidi="ar"/>
              </w:rPr>
              <w:t>序号</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产品名称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点位</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检测项目</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监测频次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直饮水 </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1、感官性状:(色度、浑浊度、臭和味、肉眼可见物)                                                                                       2、细菌学指标:(细菌总数、总大肠菌群、耐热大肠菌群)                                                                    3、一般化学指标:(pH、铝、铁、锰、铜、锌、氯化物、硫酸盐、溶解性总固体、总硬度、耗氧量、挥发酚类、阴离子合成洗涤剂)                                                                                                                                                                           4、毒理学指标:(砷、镉、六价铬、铅、汞、硒、氟化物、硝酸盐氮、三氯甲烷、四氯化碳)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候诊室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微小气</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风速、二氧化碳、一氧化碳、甲醛、可吸入颗粒(PM1O)、苯、甲苯、二甲苯、空气细菌数、噪声、照度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有组织废气</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DA001废气排放口</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臭气浓度、氨（氨气）、硫化氢</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无组织废气</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上风向下风向共4个点</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甲烷、臭气浓度、氨（氨气）、氯、硫化氢</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废水</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废水排放口</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悬浮物、化学需氧量</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五日生化需氧量、阴离子表面活性剂、石油类、动植物油、挥发酚、总氰化物、PH、COD、氨氨、余氯</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志贺氏菌</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1次/半年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粪大肠菌数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1次/月</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噪声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二次供水</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色度、浑浊度、臭和味、肉眼可见物、总大肠菌群，细菌总数、余氯、总硬度、氯化物、硝酸盐氮、挥发酚、氰化物、砷六价铬、铁、锰、铅、氨氮、亚硝酸盐氮、耗氧量21项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1次/季度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洁净手术室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（百级）</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空气细菌浓度、尘粒计数、温度、相对湿度、静压差、噪声、换气次数、最低照度、新风量、风速、排风量、送风量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9</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洁净手术室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（千级）</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空气细菌浓度、尘粒计数、温度、相对湿度、静压差、噪声、换气次数、最低照度、新风量、风速、排风量、送风量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洁净手术室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（万级）</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空气细菌浓度、尘粒计数、温度、相对湿度、静压差、噪声、换气次数、最低照度、新风量、风速、排风量、送风量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洁净手术室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（辅助用房）</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空气细菌浓度、尘粒计数、温度、相对湿度、静压差、噪声、换气次数、最低照度、新风量、风速、排风量、送风量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病理科生物安全柜 </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静压差、尘粒计数、温度、湿度、风速、噪声、照度、空气细菌(沉降菌)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病理科空气检测</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甲醛、甲苯、二甲苯</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直饮水 </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感官性状:(色度、浑浊度、臭和味、肉眼可见物)2、细菌学指标:(细菌总数、总大肠菌群、耐热大肠菌群)3、一般化学指标:(pH、铝、铁、锰、铜、锌、氯化物、硫酸盐、溶解性总固体、总硬度、耗氧量、挥发酚类、阴离子合成洗涤剂)4、毒理学指标:(砷、镉、六价铬、铅、汞、硒、氟化物、硝酸盐氮、三氯甲烷、四氯化碳)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候诊室微小气</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风速、二氧化碳、一氧化碳、甲醛、可吸入颗粒(PM1O)、苯、甲苯、二甲苯、空气细菌数、噪声、照度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医用织物 </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外观、细菌总数、大肠菌群、金黄色葡萄菌群、绿脓杆菌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17</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有组织废气</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天然气锅炉</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废气排放口</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氮氧化物</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1次/月</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二氧化硫、颗粒物、烟气黑度</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18</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有组织废气</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洗浆房锅炉</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废气排放口</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氮氧化物</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1次/月</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二氧化硫、颗粒物、烟气黑度</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食堂</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废气排放口</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油烟</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医废处理间</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废气排放口</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臭气浓度、氨（氨气）、硫化氢</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无组织废气</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上风向下风向共4个点</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甲烷、臭气浓度、氨（氨气）、氯、硫化氢、</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22</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废水</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废水排放口</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悬浮物、化学需氧量</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五日生化需氧量、阴离子表面活性剂、石油类、动植物油、挥发酚、总氰化物、沙门氏菌、PH、COD、BOD、氨氨、色度、总汞、总镉、总铬、六价铬、总砷、总铅、总银、余氯</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志贺氏菌</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1次/半年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粪大肠菌数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1次/月</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噪声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6"/>
                <w:szCs w:val="16"/>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sz w:val="16"/>
                <w:szCs w:val="16"/>
                <w:u w:val="none"/>
                <w:lang w:val="en-US"/>
              </w:rPr>
            </w:pPr>
            <w:r>
              <w:rPr>
                <w:rFonts w:hint="eastAsia" w:ascii="宋体" w:hAnsi="宋体" w:cs="宋体"/>
                <w:i w:val="0"/>
                <w:iCs w:val="0"/>
                <w:color w:val="auto"/>
                <w:kern w:val="0"/>
                <w:sz w:val="16"/>
                <w:szCs w:val="16"/>
                <w:u w:val="none"/>
                <w:lang w:val="en-US" w:eastAsia="zh-CN" w:bidi="ar"/>
              </w:rPr>
              <w:t>24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同心院区</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集中空调通风系统监测</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送风系统、风管内</w:t>
            </w:r>
          </w:p>
        </w:tc>
        <w:tc>
          <w:tcPr>
            <w:tcW w:w="2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风管内：积尘量、细菌总数、真菌总数；送风中：新风量、PM10、细菌总数、真菌总数、β-溶血性链球菌、嗜肺军团菌等。</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1次/半年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360" w:firstLineChars="200"/>
              <w:rPr>
                <w:rFonts w:hint="eastAsia" w:ascii="宋体" w:hAnsi="宋体" w:eastAsia="宋体" w:cs="宋体"/>
                <w:i w:val="0"/>
                <w:iCs w:val="0"/>
                <w:color w:val="FF0000"/>
                <w:kern w:val="0"/>
                <w:sz w:val="16"/>
                <w:szCs w:val="16"/>
                <w:u w:val="none"/>
                <w:lang w:val="en-US" w:eastAsia="zh-CN" w:bidi="ar"/>
              </w:rPr>
            </w:pPr>
            <w:r>
              <w:rPr>
                <w:rFonts w:hint="eastAsia" w:ascii="宋体" w:hAnsi="宋体" w:cs="宋体"/>
                <w:i w:val="0"/>
                <w:iCs w:val="0"/>
                <w:color w:val="auto"/>
                <w:sz w:val="18"/>
                <w:szCs w:val="18"/>
                <w:u w:val="none"/>
                <w:lang w:val="en-US" w:eastAsia="zh-CN"/>
              </w:rPr>
              <w:t>备注：1.检测项目包括但不限于以上内容，根据最新国家</w:t>
            </w:r>
            <w:r>
              <w:rPr>
                <w:rFonts w:hint="default" w:ascii="宋体" w:hAnsi="宋体" w:cs="宋体"/>
                <w:i w:val="0"/>
                <w:iCs w:val="0"/>
                <w:color w:val="auto"/>
                <w:sz w:val="18"/>
                <w:szCs w:val="18"/>
                <w:u w:val="none"/>
                <w:lang w:eastAsia="zh-CN"/>
              </w:rPr>
              <w:t>及行业</w:t>
            </w:r>
            <w:r>
              <w:rPr>
                <w:rFonts w:hint="eastAsia" w:ascii="宋体" w:hAnsi="宋体" w:cs="宋体"/>
                <w:i w:val="0"/>
                <w:iCs w:val="0"/>
                <w:color w:val="auto"/>
                <w:sz w:val="18"/>
                <w:szCs w:val="18"/>
                <w:u w:val="none"/>
                <w:lang w:val="en-US" w:eastAsia="zh-CN"/>
              </w:rPr>
              <w:t>标准进行调整以达到相关主管部门检查要求；</w:t>
            </w:r>
            <w:r>
              <w:rPr>
                <w:rFonts w:hint="eastAsia" w:ascii="宋体" w:hAnsi="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须明列每项标的的分项报价</w:t>
            </w:r>
            <w:r>
              <w:rPr>
                <w:rFonts w:hint="eastAsia" w:ascii="宋体" w:hAnsi="宋体" w:cs="宋体"/>
                <w:bCs/>
                <w:color w:val="auto"/>
                <w:sz w:val="18"/>
                <w:szCs w:val="18"/>
                <w:highlight w:val="none"/>
                <w:lang w:eastAsia="zh-CN"/>
              </w:rPr>
              <w:t>，</w:t>
            </w:r>
            <w:r>
              <w:rPr>
                <w:rFonts w:hint="eastAsia" w:ascii="宋体" w:hAnsi="宋体"/>
                <w:color w:val="auto"/>
                <w:sz w:val="18"/>
                <w:szCs w:val="18"/>
                <w:highlight w:val="none"/>
                <w:lang w:eastAsia="zh-CN"/>
              </w:rPr>
              <w:t>仅报总价做无效报价处理。</w:t>
            </w:r>
          </w:p>
        </w:tc>
      </w:tr>
    </w:tbl>
    <w:p>
      <w:pPr>
        <w:pageBreakBefore w:val="0"/>
        <w:widowControl/>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w:t>
      </w:r>
      <w:r>
        <w:rPr>
          <w:rFonts w:hint="eastAsia" w:ascii="宋体" w:hAnsi="宋体" w:eastAsia="宋体" w:cs="宋体"/>
          <w:sz w:val="24"/>
          <w:szCs w:val="24"/>
        </w:rPr>
        <w:t>★</w:t>
      </w:r>
      <w:r>
        <w:rPr>
          <w:rFonts w:hint="eastAsia" w:ascii="黑体" w:hAnsi="黑体" w:eastAsia="黑体" w:cs="黑体"/>
          <w:b w:val="0"/>
          <w:bCs w:val="0"/>
          <w:sz w:val="28"/>
          <w:szCs w:val="28"/>
          <w:lang w:val="en-US" w:eastAsia="zh-CN"/>
        </w:rPr>
        <w:t>监测要求</w:t>
      </w:r>
    </w:p>
    <w:p>
      <w:pPr>
        <w:pStyle w:val="4"/>
        <w:pageBreakBefore w:val="0"/>
        <w:kinsoku/>
        <w:wordWrap/>
        <w:overflowPunct/>
        <w:topLinePunct w:val="0"/>
        <w:autoSpaceDE/>
        <w:autoSpaceDN/>
        <w:bidi w:val="0"/>
        <w:adjustRightInd/>
        <w:snapToGrid/>
        <w:spacing w:line="560" w:lineRule="exact"/>
        <w:ind w:firstLine="48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监测技术服务要求：监测及评价依据按照相关国家及行业标准方法进行监测，如服务期限内，相关标准有最新改动，依据最新标准方法监测并出具报告。</w:t>
      </w:r>
      <w:r>
        <w:rPr>
          <w:rFonts w:hint="default" w:ascii="仿宋_GB2312" w:hAnsi="仿宋_GB2312" w:eastAsia="仿宋_GB2312" w:cs="仿宋_GB2312"/>
          <w:sz w:val="28"/>
          <w:szCs w:val="28"/>
          <w:highlight w:val="none"/>
          <w:lang w:eastAsia="zh-CN"/>
        </w:rPr>
        <w:t>包括但不限于以下标准：</w:t>
      </w:r>
    </w:p>
    <w:p>
      <w:pPr>
        <w:pStyle w:val="4"/>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废水：执行《医疗机构水污染排放标准》（GB 18466-2005）表2中预处理标准。</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lang w:val="en-US" w:eastAsia="zh-CN"/>
        </w:rPr>
        <w:t>有组织废气：臭气浓度、氨、硫化氢执行《恶臭污染物排放标准》（GB14554-93）表2中标准限值；</w:t>
      </w:r>
      <w:r>
        <w:rPr>
          <w:rFonts w:hint="eastAsia" w:ascii="仿宋_GB2312" w:hAnsi="仿宋_GB2312" w:eastAsia="仿宋_GB2312" w:cs="仿宋_GB2312"/>
          <w:sz w:val="28"/>
          <w:szCs w:val="28"/>
          <w:highlight w:val="none"/>
        </w:rPr>
        <w:t>《锅炉大气污染物排放标准》（GB13721-2014）表</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所列标准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lang w:val="en-US" w:eastAsia="zh-CN"/>
        </w:rPr>
        <w:t>无组织废气：甲烷、臭气浓度、氨、氯气、硫化氢执行《医疗机构水污染排放标准》（GB 18466-2005）表3中标准限值。</w:t>
      </w:r>
    </w:p>
    <w:p>
      <w:pPr>
        <w:pStyle w:val="4"/>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油烟</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执行《饮食业油烟排放标准（试行）》（GB18483-2001）表2标准限值要求。</w:t>
      </w:r>
    </w:p>
    <w:p>
      <w:pPr>
        <w:pStyle w:val="4"/>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（5）</w:t>
      </w:r>
      <w:r>
        <w:rPr>
          <w:rFonts w:hint="eastAsia" w:ascii="仿宋_GB2312" w:hAnsi="仿宋_GB2312" w:eastAsia="仿宋_GB2312" w:cs="仿宋_GB2312"/>
          <w:sz w:val="28"/>
          <w:szCs w:val="28"/>
          <w:highlight w:val="none"/>
          <w:lang w:val="en-US" w:eastAsia="zh-CN"/>
        </w:rPr>
        <w:t>噪声：执行《工业企业厂界环境噪声排放标准》（GB12348-2008）表1中2类标准限值。</w:t>
      </w:r>
    </w:p>
    <w:p>
      <w:pPr>
        <w:pStyle w:val="4"/>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eastAsia="zh-CN"/>
        </w:rPr>
      </w:pPr>
      <w:r>
        <w:rPr>
          <w:rFonts w:hint="default" w:ascii="仿宋_GB2312" w:hAnsi="仿宋_GB2312" w:eastAsia="仿宋_GB2312" w:cs="仿宋_GB2312"/>
          <w:sz w:val="28"/>
          <w:szCs w:val="28"/>
          <w:highlight w:val="none"/>
          <w:lang w:eastAsia="zh-CN"/>
        </w:rPr>
        <w:t>（6）</w:t>
      </w:r>
      <w:r>
        <w:rPr>
          <w:rFonts w:hint="eastAsia" w:ascii="仿宋_GB2312" w:hAnsi="仿宋_GB2312" w:eastAsia="仿宋_GB2312" w:cs="仿宋_GB2312"/>
          <w:sz w:val="28"/>
          <w:szCs w:val="28"/>
          <w:highlight w:val="none"/>
          <w:lang w:val="en-US" w:eastAsia="zh-CN"/>
        </w:rPr>
        <w:t>二次供水：执行《生活饮用水卫生标准》（GB 5749-2022）表1、表2及表3标准限值。</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（7）</w:t>
      </w:r>
      <w:r>
        <w:rPr>
          <w:rFonts w:hint="eastAsia" w:ascii="仿宋_GB2312" w:hAnsi="仿宋_GB2312" w:eastAsia="仿宋_GB2312" w:cs="仿宋_GB2312"/>
          <w:sz w:val="28"/>
          <w:szCs w:val="28"/>
          <w:highlight w:val="none"/>
          <w:lang w:val="en-US" w:eastAsia="zh-CN"/>
        </w:rPr>
        <w:t>门诊空气及物理因素：照度、噪声、风速、可吸入颗粒物、二氧化碳、一氧化碳、细菌总数、甲醛、苯、甲苯、二甲苯执行GB 37488-2019《公共场所卫生指标及限制要求》的规定</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（8）</w:t>
      </w:r>
      <w:r>
        <w:rPr>
          <w:rFonts w:hint="eastAsia" w:ascii="仿宋_GB2312" w:hAnsi="仿宋_GB2312" w:eastAsia="仿宋_GB2312" w:cs="仿宋_GB2312"/>
          <w:sz w:val="28"/>
          <w:szCs w:val="28"/>
          <w:highlight w:val="none"/>
          <w:lang w:val="en-US" w:eastAsia="zh-CN"/>
        </w:rPr>
        <w:t>医用织物：菌落总数、大肠菌群、金黄色葡萄球菌、绿脓杆菌、外观执行 WS／T 508-2016《医院医用织物洗涤消毒技术规范》的规定</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（9）</w:t>
      </w:r>
      <w:r>
        <w:rPr>
          <w:rFonts w:hint="eastAsia" w:ascii="仿宋_GB2312" w:hAnsi="仿宋_GB2312" w:eastAsia="仿宋_GB2312" w:cs="仿宋_GB2312"/>
          <w:sz w:val="28"/>
          <w:szCs w:val="28"/>
          <w:highlight w:val="none"/>
          <w:lang w:val="en-US" w:eastAsia="zh-CN"/>
        </w:rPr>
        <w:t>生物安全柜：噪声、温升、下降气流流速、流入气流流速执行YY 0569-2011《11级生物安全柜》的规定</w:t>
      </w:r>
      <w:r>
        <w:rPr>
          <w:rFonts w:hint="default" w:ascii="仿宋_GB2312" w:hAnsi="仿宋_GB2312" w:eastAsia="仿宋_GB2312" w:cs="仿宋_GB2312"/>
          <w:sz w:val="28"/>
          <w:szCs w:val="28"/>
          <w:highlight w:val="none"/>
          <w:lang w:eastAsia="zh-CN"/>
        </w:rPr>
        <w:t>。</w:t>
      </w:r>
    </w:p>
    <w:p>
      <w:pPr>
        <w:pStyle w:val="4"/>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（10）</w:t>
      </w:r>
      <w:r>
        <w:rPr>
          <w:rFonts w:hint="eastAsia" w:ascii="仿宋_GB2312" w:hAnsi="仿宋_GB2312" w:eastAsia="仿宋_GB2312" w:cs="仿宋_GB2312"/>
          <w:sz w:val="28"/>
          <w:szCs w:val="28"/>
          <w:highlight w:val="none"/>
          <w:lang w:val="en-US" w:eastAsia="zh-CN"/>
        </w:rPr>
        <w:t>病理标本脱水室空气：甲醛、二甲苯、甲苯执行GB50325-2020《民用建筑工程室内环境污染控制标准》I类民用建筑工程的规定</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（11）</w:t>
      </w:r>
      <w:r>
        <w:rPr>
          <w:rFonts w:hint="eastAsia" w:ascii="仿宋_GB2312" w:hAnsi="仿宋_GB2312" w:eastAsia="仿宋_GB2312" w:cs="仿宋_GB2312"/>
          <w:sz w:val="28"/>
          <w:szCs w:val="28"/>
          <w:highlight w:val="none"/>
          <w:lang w:val="en-US" w:eastAsia="zh-CN"/>
        </w:rPr>
        <w:t>手术室、无菌库房：温度、相对湿度、照度、静压差、噪声、风速、新风量、20.5um微粒数、25um微粒数、细菌浓度执行GB20333-2013《医用洁净手术部建筑技术规范》的规定。</w:t>
      </w:r>
    </w:p>
    <w:p>
      <w:pPr>
        <w:pStyle w:val="4"/>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eastAsia="zh-CN"/>
        </w:rPr>
      </w:pPr>
      <w:r>
        <w:rPr>
          <w:rFonts w:hint="default" w:ascii="仿宋_GB2312" w:hAnsi="仿宋_GB2312" w:eastAsia="仿宋_GB2312" w:cs="仿宋_GB2312"/>
          <w:sz w:val="28"/>
          <w:szCs w:val="28"/>
          <w:highlight w:val="none"/>
          <w:lang w:eastAsia="zh-CN"/>
        </w:rPr>
        <w:t>（12）</w:t>
      </w:r>
      <w:r>
        <w:rPr>
          <w:rFonts w:hint="eastAsia" w:ascii="仿宋_GB2312" w:hAnsi="仿宋_GB2312" w:eastAsia="仿宋_GB2312" w:cs="仿宋_GB2312"/>
          <w:sz w:val="28"/>
          <w:szCs w:val="28"/>
          <w:highlight w:val="none"/>
          <w:lang w:val="en-US" w:eastAsia="zh-CN"/>
        </w:rPr>
        <w:t>集中空调通风系统</w:t>
      </w:r>
      <w:r>
        <w:rPr>
          <w:rFonts w:hint="default" w:ascii="仿宋_GB2312" w:hAnsi="仿宋_GB2312" w:eastAsia="仿宋_GB2312" w:cs="仿宋_GB2312"/>
          <w:sz w:val="28"/>
          <w:szCs w:val="28"/>
          <w:highlight w:val="none"/>
          <w:lang w:eastAsia="zh-CN"/>
        </w:rPr>
        <w:t>：执行</w:t>
      </w:r>
      <w:r>
        <w:rPr>
          <w:rFonts w:hint="eastAsia" w:ascii="仿宋_GB2312" w:hAnsi="仿宋_GB2312" w:eastAsia="仿宋_GB2312" w:cs="仿宋_GB2312"/>
          <w:sz w:val="28"/>
          <w:szCs w:val="28"/>
          <w:highlight w:val="none"/>
          <w:lang w:val="en-US" w:eastAsia="zh-CN"/>
        </w:rPr>
        <w:t>WS/T10013-2023《公共场所集中空调通风系统卫生规范》</w:t>
      </w:r>
      <w:r>
        <w:rPr>
          <w:rFonts w:hint="default" w:ascii="仿宋_GB2312" w:hAnsi="仿宋_GB2312" w:eastAsia="仿宋_GB2312" w:cs="仿宋_GB2312"/>
          <w:sz w:val="28"/>
          <w:szCs w:val="28"/>
          <w:highlight w:val="none"/>
          <w:lang w:eastAsia="zh-CN"/>
        </w:rPr>
        <w:t>的规定。</w:t>
      </w:r>
    </w:p>
    <w:p>
      <w:pPr>
        <w:pStyle w:val="4"/>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highlight w:val="none"/>
          <w:lang w:eastAsia="zh-CN"/>
        </w:rPr>
      </w:pPr>
      <w:r>
        <w:rPr>
          <w:rFonts w:hint="default"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lang w:eastAsia="zh-CN"/>
        </w:rPr>
        <w:t>所有监测项目需</w:t>
      </w:r>
      <w:r>
        <w:rPr>
          <w:rFonts w:hint="eastAsia" w:ascii="仿宋_GB2312" w:hAnsi="仿宋_GB2312" w:eastAsia="仿宋_GB2312" w:cs="仿宋_GB2312"/>
          <w:sz w:val="28"/>
          <w:szCs w:val="28"/>
          <w:highlight w:val="none"/>
        </w:rPr>
        <w:t>供应商</w:t>
      </w:r>
      <w:r>
        <w:rPr>
          <w:rFonts w:hint="eastAsia" w:ascii="仿宋_GB2312" w:hAnsi="仿宋_GB2312" w:eastAsia="仿宋_GB2312" w:cs="仿宋_GB2312"/>
          <w:sz w:val="28"/>
          <w:szCs w:val="28"/>
          <w:highlight w:val="none"/>
          <w:lang w:eastAsia="zh-CN"/>
        </w:rPr>
        <w:t>现场取样，余氯现场监测，监测频次及时间按照医院的要求和有关规定安排。</w:t>
      </w:r>
    </w:p>
    <w:p>
      <w:pPr>
        <w:pStyle w:val="4"/>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rPr>
        <w:t>.在线监测设备故障人工监测服务主要为医院在线监测设备（如有）故障期间所采用的应急人工监测服务，要求在故障期间每日监测不少于4次，监测周期间隔不大于6小时。</w:t>
      </w:r>
    </w:p>
    <w:p>
      <w:pPr>
        <w:pStyle w:val="4"/>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rPr>
        <w:t>.所有监测结果均以 CMA 认证监测报告的形式呈现并符合相关部门要求，向医院提供纸质版和扫描版。</w:t>
      </w:r>
    </w:p>
    <w:p>
      <w:pPr>
        <w:pStyle w:val="10"/>
        <w:pageBreakBefore w:val="0"/>
        <w:numPr>
          <w:ilvl w:val="0"/>
          <w:numId w:val="0"/>
        </w:numPr>
        <w:kinsoku/>
        <w:wordWrap/>
        <w:overflowPunct/>
        <w:topLinePunct w:val="0"/>
        <w:autoSpaceDE/>
        <w:autoSpaceDN/>
        <w:bidi w:val="0"/>
        <w:adjustRightInd/>
        <w:snapToGrid/>
        <w:spacing w:line="560" w:lineRule="exact"/>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三、</w:t>
      </w: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商务</w:t>
      </w:r>
      <w:r>
        <w:rPr>
          <w:rFonts w:hint="eastAsia" w:ascii="黑体" w:hAnsi="黑体" w:eastAsia="黑体" w:cs="黑体"/>
          <w:b w:val="0"/>
          <w:bCs w:val="0"/>
          <w:sz w:val="28"/>
          <w:szCs w:val="28"/>
        </w:rPr>
        <w:t>要求：</w:t>
      </w:r>
    </w:p>
    <w:p>
      <w:pPr>
        <w:pStyle w:val="4"/>
        <w:pageBreakBefore w:val="0"/>
        <w:kinsoku/>
        <w:wordWrap/>
        <w:overflowPunct/>
        <w:topLinePunct w:val="0"/>
        <w:autoSpaceDE/>
        <w:autoSpaceDN/>
        <w:bidi w:val="0"/>
        <w:adjustRightInd/>
        <w:snapToGrid/>
        <w:spacing w:line="560" w:lineRule="exact"/>
        <w:ind w:left="0" w:leftChars="0" w:firstLine="48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000000"/>
          <w:kern w:val="0"/>
          <w:sz w:val="28"/>
          <w:szCs w:val="28"/>
        </w:rPr>
        <w:t>1.</w:t>
      </w:r>
      <w:r>
        <w:rPr>
          <w:rFonts w:hint="eastAsia" w:ascii="仿宋_GB2312" w:hAnsi="仿宋_GB2312" w:eastAsia="仿宋_GB2312" w:cs="仿宋_GB2312"/>
          <w:b w:val="0"/>
          <w:bCs w:val="0"/>
          <w:sz w:val="28"/>
          <w:szCs w:val="28"/>
          <w:highlight w:val="none"/>
          <w:lang w:val="en-US" w:eastAsia="zh-CN"/>
        </w:rPr>
        <w:t>服务地点：富顺县中医医院富达路院区、同心院区。</w:t>
      </w:r>
    </w:p>
    <w:p>
      <w:pPr>
        <w:pStyle w:val="4"/>
        <w:pageBreakBefore w:val="0"/>
        <w:kinsoku/>
        <w:wordWrap/>
        <w:overflowPunct/>
        <w:topLinePunct w:val="0"/>
        <w:autoSpaceDE/>
        <w:autoSpaceDN/>
        <w:bidi w:val="0"/>
        <w:adjustRightInd/>
        <w:snapToGrid/>
        <w:spacing w:line="560" w:lineRule="exact"/>
        <w:ind w:left="0" w:leftChars="0" w:firstLine="48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2.服务时间：2024年8月1日至2025年7月31日（一</w:t>
      </w:r>
      <w:bookmarkStart w:id="14" w:name="_GoBack"/>
      <w:bookmarkEnd w:id="14"/>
      <w:r>
        <w:rPr>
          <w:rFonts w:hint="eastAsia" w:ascii="仿宋_GB2312" w:hAnsi="仿宋_GB2312" w:eastAsia="仿宋_GB2312" w:cs="仿宋_GB2312"/>
          <w:b w:val="0"/>
          <w:bCs w:val="0"/>
          <w:sz w:val="28"/>
          <w:szCs w:val="28"/>
          <w:highlight w:val="none"/>
          <w:lang w:val="en-US" w:eastAsia="zh-CN"/>
        </w:rPr>
        <w:t>年）</w:t>
      </w:r>
    </w:p>
    <w:p>
      <w:pPr>
        <w:pStyle w:val="4"/>
        <w:pageBreakBefore w:val="0"/>
        <w:kinsoku/>
        <w:wordWrap/>
        <w:overflowPunct/>
        <w:topLinePunct w:val="0"/>
        <w:autoSpaceDE/>
        <w:autoSpaceDN/>
        <w:bidi w:val="0"/>
        <w:adjustRightInd/>
        <w:snapToGrid/>
        <w:spacing w:line="560" w:lineRule="exact"/>
        <w:ind w:left="0" w:leftChars="0" w:firstLine="480"/>
        <w:textAlignment w:val="auto"/>
        <w:rPr>
          <w:rFonts w:hint="default"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3.乙方按照甲方要求在规定时间、规定地点进行检测，</w:t>
      </w:r>
      <w:r>
        <w:rPr>
          <w:rFonts w:hint="eastAsia" w:ascii="仿宋_GB2312" w:hAnsi="仿宋_GB2312" w:eastAsia="仿宋_GB2312" w:cs="仿宋_GB2312"/>
          <w:b w:val="0"/>
          <w:bCs w:val="0"/>
          <w:sz w:val="28"/>
          <w:szCs w:val="28"/>
          <w:highlight w:val="none"/>
          <w:lang w:val="en-US" w:eastAsia="zh-CN"/>
        </w:rPr>
        <w:t>在满足正常监测工作条件的情况下，取收样后10个工作日以内，供应商</w:t>
      </w:r>
      <w:r>
        <w:rPr>
          <w:rFonts w:hint="eastAsia" w:ascii="仿宋_GB2312" w:hAnsi="仿宋_GB2312" w:eastAsia="仿宋_GB2312" w:cs="仿宋_GB2312"/>
          <w:b w:val="0"/>
          <w:bCs w:val="0"/>
          <w:color w:val="000000"/>
          <w:kern w:val="0"/>
          <w:sz w:val="28"/>
          <w:szCs w:val="28"/>
          <w:lang w:val="en-US" w:eastAsia="zh-CN"/>
        </w:rPr>
        <w:t>分类别按环境卫生、废水废气</w:t>
      </w:r>
      <w:r>
        <w:rPr>
          <w:rFonts w:hint="eastAsia" w:ascii="仿宋_GB2312" w:hAnsi="仿宋_GB2312" w:eastAsia="仿宋_GB2312" w:cs="仿宋_GB2312"/>
          <w:b w:val="0"/>
          <w:bCs w:val="0"/>
          <w:sz w:val="28"/>
          <w:szCs w:val="28"/>
          <w:highlight w:val="none"/>
          <w:lang w:val="en-US" w:eastAsia="zh-CN"/>
        </w:rPr>
        <w:t>向医院</w:t>
      </w:r>
      <w:r>
        <w:rPr>
          <w:rFonts w:hint="eastAsia" w:ascii="仿宋_GB2312" w:hAnsi="仿宋_GB2312" w:eastAsia="仿宋_GB2312" w:cs="仿宋_GB2312"/>
          <w:b w:val="0"/>
          <w:bCs w:val="0"/>
          <w:color w:val="000000"/>
          <w:kern w:val="0"/>
          <w:sz w:val="28"/>
          <w:szCs w:val="28"/>
          <w:lang w:val="en-US" w:eastAsia="zh-CN"/>
        </w:rPr>
        <w:t>出具检测报告，</w:t>
      </w:r>
      <w:r>
        <w:rPr>
          <w:rFonts w:hint="eastAsia" w:ascii="仿宋_GB2312" w:hAnsi="仿宋_GB2312" w:eastAsia="仿宋_GB2312" w:cs="仿宋_GB2312"/>
          <w:b w:val="0"/>
          <w:bCs w:val="0"/>
          <w:color w:val="000000"/>
          <w:kern w:val="0"/>
          <w:sz w:val="28"/>
          <w:szCs w:val="28"/>
        </w:rPr>
        <w:t>各项技术参数符合询价文件要求和乙方投递的询价文件承诺。</w:t>
      </w:r>
    </w:p>
    <w:p>
      <w:pPr>
        <w:pStyle w:val="4"/>
        <w:pageBreakBefore w:val="0"/>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4.乙方所报监测服务单价在合同履行期间不调整。如有检测不合格项目，乙方提供技术指导，并</w:t>
      </w:r>
      <w:r>
        <w:rPr>
          <w:rFonts w:hint="eastAsia" w:ascii="仿宋_GB2312" w:hAnsi="仿宋_GB2312" w:eastAsia="仿宋_GB2312" w:cs="仿宋_GB2312"/>
          <w:b w:val="0"/>
          <w:bCs w:val="0"/>
          <w:sz w:val="28"/>
          <w:szCs w:val="28"/>
          <w:highlight w:val="none"/>
        </w:rPr>
        <w:t>提供免费复检服务。</w:t>
      </w:r>
    </w:p>
    <w:p>
      <w:pPr>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5.</w:t>
      </w:r>
      <w:r>
        <w:rPr>
          <w:rFonts w:hint="eastAsia" w:ascii="仿宋_GB2312" w:hAnsi="仿宋_GB2312" w:eastAsia="仿宋_GB2312" w:cs="仿宋_GB2312"/>
          <w:b w:val="0"/>
          <w:bCs w:val="0"/>
          <w:color w:val="000000"/>
          <w:kern w:val="0"/>
          <w:sz w:val="28"/>
          <w:szCs w:val="28"/>
        </w:rPr>
        <w:t>乙方承诺，</w:t>
      </w:r>
      <w:r>
        <w:rPr>
          <w:rFonts w:hint="eastAsia" w:ascii="仿宋_GB2312" w:hAnsi="仿宋_GB2312" w:eastAsia="仿宋_GB2312" w:cs="仿宋_GB2312"/>
          <w:b w:val="0"/>
          <w:bCs w:val="0"/>
          <w:color w:val="000000"/>
          <w:kern w:val="0"/>
          <w:sz w:val="28"/>
          <w:szCs w:val="28"/>
          <w:lang w:val="en-US" w:eastAsia="zh-CN"/>
        </w:rPr>
        <w:t>所有检测样本的采集按流程、按标准严格执行</w:t>
      </w:r>
      <w:r>
        <w:rPr>
          <w:rFonts w:hint="eastAsia" w:ascii="仿宋_GB2312" w:hAnsi="仿宋_GB2312" w:eastAsia="仿宋_GB2312" w:cs="仿宋_GB2312"/>
          <w:b w:val="0"/>
          <w:bCs w:val="0"/>
          <w:color w:val="000000"/>
          <w:kern w:val="0"/>
          <w:sz w:val="28"/>
          <w:szCs w:val="28"/>
        </w:rPr>
        <w:t>，</w:t>
      </w:r>
      <w:r>
        <w:rPr>
          <w:rFonts w:hint="eastAsia" w:ascii="仿宋_GB2312" w:hAnsi="仿宋_GB2312" w:eastAsia="仿宋_GB2312" w:cs="仿宋_GB2312"/>
          <w:b w:val="0"/>
          <w:bCs w:val="0"/>
          <w:color w:val="000000"/>
          <w:kern w:val="0"/>
          <w:sz w:val="28"/>
          <w:szCs w:val="28"/>
          <w:lang w:val="en-US" w:eastAsia="zh-CN"/>
        </w:rPr>
        <w:t>在检测样本运输过程中保证不出现污染、泄露等情况</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lang w:val="en-US" w:eastAsia="zh-CN"/>
        </w:rPr>
        <w:t>如出现以上情况，</w:t>
      </w:r>
      <w:r>
        <w:rPr>
          <w:rFonts w:hint="eastAsia" w:ascii="仿宋_GB2312" w:hAnsi="仿宋_GB2312" w:eastAsia="仿宋_GB2312" w:cs="仿宋_GB2312"/>
          <w:b w:val="0"/>
          <w:bCs w:val="0"/>
          <w:color w:val="000000"/>
          <w:kern w:val="0"/>
          <w:sz w:val="28"/>
          <w:szCs w:val="28"/>
        </w:rPr>
        <w:t>由乙方承担相应责任。</w:t>
      </w:r>
    </w:p>
    <w:p>
      <w:pPr>
        <w:pStyle w:val="4"/>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验收方式：按照《财政部关于进一步加强政府采购需求和履约验收管理的指导意见》（财库[2016]205号）的要求进行验收；双方如对质量要求和技术指标的约定标准有相互抵触或异议的事项，由采购方在谈判与响应文件中按质量要求和技术指标比较优胜的原则确定该项的约定标准进行验收。</w:t>
      </w:r>
      <w:bookmarkEnd w:id="7"/>
      <w:bookmarkEnd w:id="8"/>
      <w:bookmarkEnd w:id="9"/>
      <w:bookmarkEnd w:id="10"/>
      <w:bookmarkEnd w:id="11"/>
      <w:bookmarkEnd w:id="12"/>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xYWNhOWQzNjNiYWY0NDgyZjIzNTNhMmNiMmFlNDQifQ=="/>
    <w:docVar w:name="KSO_WPS_MARK_KEY" w:val="cb3c0c12-8c1a-48a5-b776-fd5e1add2370"/>
  </w:docVars>
  <w:rsids>
    <w:rsidRoot w:val="0060493D"/>
    <w:rsid w:val="00070353"/>
    <w:rsid w:val="001A5570"/>
    <w:rsid w:val="001C45A8"/>
    <w:rsid w:val="0022005D"/>
    <w:rsid w:val="00260AA1"/>
    <w:rsid w:val="002717AE"/>
    <w:rsid w:val="003E7360"/>
    <w:rsid w:val="00430335"/>
    <w:rsid w:val="00437B38"/>
    <w:rsid w:val="00502679"/>
    <w:rsid w:val="005B0F9A"/>
    <w:rsid w:val="0060493D"/>
    <w:rsid w:val="0066299C"/>
    <w:rsid w:val="006B1DFC"/>
    <w:rsid w:val="00791F63"/>
    <w:rsid w:val="00852B39"/>
    <w:rsid w:val="00914A83"/>
    <w:rsid w:val="0092215F"/>
    <w:rsid w:val="00950507"/>
    <w:rsid w:val="009643CC"/>
    <w:rsid w:val="00A24BC4"/>
    <w:rsid w:val="00A95AD4"/>
    <w:rsid w:val="00B76B3D"/>
    <w:rsid w:val="00C0390F"/>
    <w:rsid w:val="00C102B1"/>
    <w:rsid w:val="00DA685C"/>
    <w:rsid w:val="00DA6E58"/>
    <w:rsid w:val="00DE3DFC"/>
    <w:rsid w:val="00DF2BF8"/>
    <w:rsid w:val="00E04538"/>
    <w:rsid w:val="00E2611C"/>
    <w:rsid w:val="00F15879"/>
    <w:rsid w:val="00FB3AE6"/>
    <w:rsid w:val="00FB7900"/>
    <w:rsid w:val="00FD743D"/>
    <w:rsid w:val="00FF2D59"/>
    <w:rsid w:val="011614C1"/>
    <w:rsid w:val="02E132C9"/>
    <w:rsid w:val="07F86735"/>
    <w:rsid w:val="0C087F9C"/>
    <w:rsid w:val="140873FB"/>
    <w:rsid w:val="1D1A66F9"/>
    <w:rsid w:val="1D8A0330"/>
    <w:rsid w:val="2018198A"/>
    <w:rsid w:val="25C41B6B"/>
    <w:rsid w:val="29A4237F"/>
    <w:rsid w:val="308507BF"/>
    <w:rsid w:val="35CB616D"/>
    <w:rsid w:val="364049F9"/>
    <w:rsid w:val="3803592B"/>
    <w:rsid w:val="393B3C5A"/>
    <w:rsid w:val="3B1F0857"/>
    <w:rsid w:val="3B586F42"/>
    <w:rsid w:val="3CD15B81"/>
    <w:rsid w:val="3D802641"/>
    <w:rsid w:val="40AF050F"/>
    <w:rsid w:val="4BC8377F"/>
    <w:rsid w:val="51D73CE3"/>
    <w:rsid w:val="5416184C"/>
    <w:rsid w:val="60164DBF"/>
    <w:rsid w:val="62B12960"/>
    <w:rsid w:val="62BB574D"/>
    <w:rsid w:val="66587CBC"/>
    <w:rsid w:val="66786ADC"/>
    <w:rsid w:val="69290213"/>
    <w:rsid w:val="69D34437"/>
    <w:rsid w:val="6A521800"/>
    <w:rsid w:val="6D1C60F5"/>
    <w:rsid w:val="6D714693"/>
    <w:rsid w:val="6F0C1BC9"/>
    <w:rsid w:val="6F5E155E"/>
    <w:rsid w:val="764D51CF"/>
    <w:rsid w:val="7DAE5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5"/>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
    <w:semiHidden/>
    <w:unhideWhenUsed/>
    <w:qFormat/>
    <w:uiPriority w:val="0"/>
    <w:pPr>
      <w:ind w:firstLine="420" w:firstLineChars="200"/>
    </w:pPr>
    <w:rPr>
      <w:rFonts w:asciiTheme="minorHAnsi" w:hAnsiTheme="minorHAnsi" w:eastAsiaTheme="minorEastAsia" w:cstheme="minorBidi"/>
    </w:rPr>
  </w:style>
  <w:style w:type="paragraph" w:styleId="5">
    <w:name w:val="Body Text"/>
    <w:basedOn w:val="1"/>
    <w:next w:val="6"/>
    <w:qFormat/>
    <w:uiPriority w:val="0"/>
    <w:rPr>
      <w:rFonts w:ascii="Calibri"/>
    </w:rPr>
  </w:style>
  <w:style w:type="paragraph" w:customStyle="1" w:styleId="6">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Balloon Text"/>
    <w:basedOn w:val="1"/>
    <w:link w:val="26"/>
    <w:semiHidden/>
    <w:unhideWhenUsed/>
    <w:qFormat/>
    <w:uiPriority w:val="99"/>
    <w:rPr>
      <w:sz w:val="18"/>
      <w:szCs w:val="18"/>
    </w:r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unhideWhenUsed/>
    <w:qFormat/>
    <w:uiPriority w:val="99"/>
    <w:pPr>
      <w:ind w:firstLine="420" w:firstLineChars="100"/>
    </w:pPr>
  </w:style>
  <w:style w:type="character" w:customStyle="1" w:styleId="13">
    <w:name w:val="页眉 Char"/>
    <w:basedOn w:val="12"/>
    <w:link w:val="9"/>
    <w:semiHidden/>
    <w:qFormat/>
    <w:uiPriority w:val="99"/>
    <w:rPr>
      <w:sz w:val="18"/>
      <w:szCs w:val="18"/>
    </w:rPr>
  </w:style>
  <w:style w:type="character" w:customStyle="1" w:styleId="14">
    <w:name w:val="页脚 Char"/>
    <w:basedOn w:val="12"/>
    <w:link w:val="8"/>
    <w:semiHidden/>
    <w:qFormat/>
    <w:uiPriority w:val="99"/>
    <w:rPr>
      <w:sz w:val="18"/>
      <w:szCs w:val="18"/>
    </w:rPr>
  </w:style>
  <w:style w:type="character" w:customStyle="1" w:styleId="15">
    <w:name w:val="标题 2 Char"/>
    <w:basedOn w:val="12"/>
    <w:link w:val="3"/>
    <w:qFormat/>
    <w:uiPriority w:val="0"/>
    <w:rPr>
      <w:rFonts w:ascii="Arial" w:hAnsi="Arial" w:eastAsia="黑体" w:cs="Times New Roman"/>
      <w:b/>
      <w:bCs/>
      <w:sz w:val="32"/>
      <w:szCs w:val="32"/>
    </w:rPr>
  </w:style>
  <w:style w:type="character" w:customStyle="1" w:styleId="16">
    <w:name w:val="正文缩进 Char"/>
    <w:link w:val="4"/>
    <w:semiHidden/>
    <w:qFormat/>
    <w:locked/>
    <w:uiPriority w:val="0"/>
    <w:rPr>
      <w:szCs w:val="24"/>
    </w:rPr>
  </w:style>
  <w:style w:type="paragraph" w:customStyle="1" w:styleId="17">
    <w:name w:val="Default"/>
    <w:basedOn w:val="1"/>
    <w:qFormat/>
    <w:uiPriority w:val="0"/>
    <w:pPr>
      <w:autoSpaceDE w:val="0"/>
      <w:autoSpaceDN w:val="0"/>
      <w:adjustRightInd w:val="0"/>
      <w:jc w:val="left"/>
    </w:pPr>
    <w:rPr>
      <w:rFonts w:ascii="Arial" w:hAnsi="Arial"/>
      <w:color w:val="000000"/>
      <w:kern w:val="0"/>
      <w:sz w:val="24"/>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font31"/>
    <w:basedOn w:val="12"/>
    <w:qFormat/>
    <w:uiPriority w:val="0"/>
    <w:rPr>
      <w:rFonts w:hint="default" w:ascii="Calibri" w:hAnsi="Calibri" w:cs="Calibri"/>
      <w:color w:val="000000"/>
      <w:sz w:val="22"/>
      <w:szCs w:val="22"/>
      <w:u w:val="none"/>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61"/>
    <w:basedOn w:val="12"/>
    <w:qFormat/>
    <w:uiPriority w:val="0"/>
    <w:rPr>
      <w:rFonts w:hint="default" w:ascii="Calibri" w:hAnsi="Calibri" w:cs="Calibri"/>
      <w:color w:val="000000"/>
      <w:sz w:val="22"/>
      <w:szCs w:val="22"/>
      <w:u w:val="none"/>
    </w:rPr>
  </w:style>
  <w:style w:type="character" w:customStyle="1" w:styleId="23">
    <w:name w:val="font41"/>
    <w:basedOn w:val="12"/>
    <w:qFormat/>
    <w:uiPriority w:val="0"/>
    <w:rPr>
      <w:rFonts w:hint="eastAsia" w:ascii="宋体" w:hAnsi="宋体" w:eastAsia="宋体" w:cs="宋体"/>
      <w:color w:val="000000"/>
      <w:sz w:val="22"/>
      <w:szCs w:val="22"/>
      <w:u w:val="none"/>
    </w:rPr>
  </w:style>
  <w:style w:type="character" w:customStyle="1" w:styleId="24">
    <w:name w:val="font21"/>
    <w:basedOn w:val="12"/>
    <w:qFormat/>
    <w:uiPriority w:val="0"/>
    <w:rPr>
      <w:rFonts w:hint="eastAsia" w:ascii="宋体" w:hAnsi="宋体" w:eastAsia="宋体" w:cs="宋体"/>
      <w:color w:val="000000"/>
      <w:sz w:val="22"/>
      <w:szCs w:val="22"/>
      <w:u w:val="none"/>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批注框文本 Char"/>
    <w:basedOn w:val="12"/>
    <w:link w:val="7"/>
    <w:semiHidden/>
    <w:qFormat/>
    <w:uiPriority w:val="99"/>
    <w:rPr>
      <w:kern w:val="2"/>
      <w:sz w:val="18"/>
      <w:szCs w:val="18"/>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2962</Words>
  <Characters>3200</Characters>
  <Lines>3</Lines>
  <Paragraphs>1</Paragraphs>
  <TotalTime>1</TotalTime>
  <ScaleCrop>false</ScaleCrop>
  <LinksUpToDate>false</LinksUpToDate>
  <CharactersWithSpaces>3575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2023-02-22T00:46:00Z</dcterms:created>
  <dc:creator>HP</dc:creator>
  <cp:lastModifiedBy>富顺中医院</cp:lastModifiedBy>
  <dcterms:modified xsi:type="dcterms:W3CDTF">2024-05-06T07:46:19Z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B3F00EDEEB534F4989D31962390DB8F5_13</vt:lpwstr>
  </property>
</Properties>
</file>