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一、项目名称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富顺县中医医院检验项目外送服务采购项目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二、服务内容</w:t>
      </w:r>
    </w:p>
    <w:tbl>
      <w:tblPr>
        <w:tblStyle w:val="10"/>
        <w:tblW w:w="7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18"/>
        <w:gridCol w:w="279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91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服务内容</w:t>
            </w:r>
          </w:p>
        </w:tc>
        <w:tc>
          <w:tcPr>
            <w:tcW w:w="2790" w:type="dxa"/>
            <w:tcBorders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服务年限</w:t>
            </w:r>
          </w:p>
        </w:tc>
        <w:tc>
          <w:tcPr>
            <w:tcW w:w="1254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检验项目外送服务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合同年限：</w:t>
            </w:r>
            <w:r>
              <w:rPr>
                <w:rFonts w:hint="eastAsia" w:ascii="宋体" w:hAnsi="宋体" w:cs="宋体"/>
                <w:sz w:val="24"/>
                <w:szCs w:val="24"/>
              </w:rPr>
              <w:t>1年</w:t>
            </w:r>
          </w:p>
        </w:tc>
        <w:tc>
          <w:tcPr>
            <w:tcW w:w="1254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</w:tbl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三、服务要求</w:t>
      </w:r>
    </w:p>
    <w:p>
      <w:pPr>
        <w:pStyle w:val="9"/>
        <w:spacing w:line="276" w:lineRule="auto"/>
        <w:ind w:left="42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（一）技术要求</w:t>
      </w:r>
      <w:bookmarkStart w:id="0" w:name="_GoBack"/>
      <w:bookmarkEnd w:id="0"/>
    </w:p>
    <w:p>
      <w:pPr>
        <w:pStyle w:val="9"/>
        <w:spacing w:line="276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1、检验采购清单</w:t>
      </w:r>
    </w:p>
    <w:p>
      <w:pPr>
        <w:pStyle w:val="9"/>
        <w:spacing w:line="276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检验项目清单见下表。外送项目包括但不限于表中所列项目，其增减不受服务协议的限制，而是根据采购人业务发展和临床的需求进行增减。具体项目及数量以实际检验为准。</w:t>
      </w:r>
    </w:p>
    <w:p>
      <w:pPr>
        <w:pStyle w:val="9"/>
        <w:spacing w:line="276" w:lineRule="auto"/>
        <w:ind w:left="42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表：检验项目清单</w:t>
      </w:r>
    </w:p>
    <w:tbl>
      <w:tblPr>
        <w:tblStyle w:val="10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61"/>
        <w:gridCol w:w="121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医院价格（元）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EB病毒4项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TORCH定性十项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肝纤全套（4项）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高血压四项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高血压五项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抗心磷脂抗体3项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抗中性粒细胞胞质抗体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梅毒二项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220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免疫球蛋白五项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糖尿病抗体3项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维生素五项(ADE)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267.00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吸入性过敏原19项测定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551.00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HPV27型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758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白血病/淋巴瘤/MDS免疫分型（30个抗体）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1,230.00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丙型肝炎病毒核糖核酸扩增定量检测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补体C3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补体C4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层粘连蛋白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促肾上腺皮质激素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地中海贫血基因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骨髓检验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过敏原混合组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过敏原吸入食物组28项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呼吸道核酸六联检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234.00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抗乙酰胆碱受体抗体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甲型肝炎病毒抗体IgG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甲型肝炎病毒抗体IgM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2,032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抗促甲状腺激素受体抗体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抗核抗体10项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抗核抗体19项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抗核抗体2项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抗环瓜氨酸肽抗体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抗甲状腺过氧化物酶抗体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抗角蛋白抗体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抗结核分枝杆菌抗体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抗缪勒氏管激素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抗肾小球基底膜抗体IgG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抗心磷脂抗体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免疫固定电泳测定（7项）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免疫球蛋白G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免疫球蛋白IgE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免疫球蛋白M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免疫球蛋白轻链κ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免疫球蛋白轻链λ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皮质醇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曲霉菌半乳甘露聚糖检测 （GM实验）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全血微量元素15项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全血微量元素5项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醛固酮(立位)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人类白细胞抗原B27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食物特异性抗体IgG4检测14项A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308.00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食物性过敏原组套10项（定性）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他克莫司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唐氏筛查三联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糖化血红蛋白(HPLC)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糖链抗原242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糖链抗原72-4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铁蛋白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同型半胱氨酸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铜蓝蛋白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透明质酸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维生素D(D2、D3)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胃泌素释放肽前体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戊型肝炎病毒抗体IgM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2,018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线粒体抗体3项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血儿茶酚胺3项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血儿茶酚胺6项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血清蛋白电泳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血清铁结合力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血醛固酮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叶酸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一般细菌培养及鉴定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真菌（1，3）-</w:t>
            </w:r>
            <w:r>
              <w:rPr>
                <w:rFonts w:cs="Calibri"/>
                <w:color w:val="000000"/>
                <w:kern w:val="0"/>
                <w:sz w:val="24"/>
                <w:szCs w:val="24"/>
              </w:rPr>
              <w:t>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-D葡聚糖试验（G试验）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真菌培养及鉴定+药敏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支原体培养+药敏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总IgE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抗磷脂酶A2受体抗体检测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维生素B1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维生素E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氯吡格雷用药指导基因检测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神经肌肉3项抗体（AchR、Musk、Titin）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周围神经病18项抗体检测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抗（AQP4）抗体IgG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抗MBP抗体IgG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抗MOG抗体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抗GFAP抗体IgG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抗AQP1抗体IgG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抗FLotillinl/2抗体IgG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寡克隆IgG区带电泳分析（OB）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自身免疫性脑炎抗体检测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靶向病原体检测（细菌、真菌、病毒、结核及其他微生物、耐药基因等）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抗肝细胞溶质抗原I型抗体测定（LC-1）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抗RA33抗体测定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抗DNA酶B抗体测定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抗组蛋白抗体（AHA）测定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抗Sa抗体测定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抗聚角蛋白微丝蛋白抗体（AFA）测定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抗杀菌通透性增高蛋白（BPI）抗体测定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抗α胞衬蛋白抗体测定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抗人绒毛膜促性腺激素抗体（AHcGAb）测定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抗神经节苷脂IgG,IgM抗体测定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抗磷脂酶A2受体抗体检测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肺癌七种自身抗体检测（特需）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抗突变型瓜氨酸波型蛋白（MCV）抗体测定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抗C1q抗体测定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106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CYP2C19基因的突变检测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107 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382,628.00 </w:t>
            </w:r>
          </w:p>
        </w:tc>
      </w:tr>
    </w:tbl>
    <w:p>
      <w:pPr>
        <w:pStyle w:val="9"/>
        <w:spacing w:line="276" w:lineRule="auto"/>
        <w:ind w:firstLine="0"/>
        <w:rPr>
          <w:rFonts w:hint="eastAsia" w:ascii="宋体" w:hAnsi="宋体" w:cs="宋体"/>
          <w:sz w:val="24"/>
          <w:szCs w:val="24"/>
        </w:rPr>
      </w:pPr>
    </w:p>
    <w:p>
      <w:pPr>
        <w:pStyle w:val="9"/>
        <w:spacing w:line="276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2、项目要求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2.1服务要求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（1）必须配备完善医疗冷链物流系统和信息服务体系，要保证接收、送检标本运输过程的安全，保证标本的质量。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（2）提供每周七天的上门接收标本的服务，时间为8:30至17:30。遇特殊标本可机动收取。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（3）具有规范标本接收、登记和包装流程，保证标本质量和安全，确保标本顺利和交接，方便查核。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（4）标本接收人员要通过严格培训，负责标本质量的初检、标识的核对，标本的接收登记及包装储存。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（5）必须确保及时接收、送检标本和及时检验。标本不符合检验要求时，应及时通知重新取样。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（6）标本在送检过程中出现延迟、遗漏、丢失等情况，应有完善的应急预案予以妥善解决，否则应承担相应责任。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（7）检验报告单必须由具备相应资质的检验人员签发，上级检验师或医师复核。出现因检验结果错误导致医疗纠纷等不良后果，责任由该检测单位承担。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（8）免费提供部分特殊检查项目需要的采样器、知情同意书、专用的患者资料登记申请单等。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2.2结果查询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（1）为保证检验结果实时网络传送，实现实验室数据的汇总、储存、传输功能，可以与医院中心LIS和HIS系统对接,需符合国家信息安全有关的规定和要求。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（2）提供网上查询服务，以供随时查询进度和结果。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（3）提供电话查询服务，危急值专人电话跟进，确保患者检测信息与临床医生的畅通。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（4）医务人员可以随时调阅检验结果，须保证病人的资料的准确性和检验结果的及时性，并提供系统使用的必要培训与技术支持。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（5）按照检测项目常规报告时间提供检测结果，并能满足急诊项目的优先检测。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2.3技术支持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（1）至少有参加省临床检验中心组织的室间质评，有完整的培训体系。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（2）拥有权威机构的技术支撑，能依托权威技术支撑机构，以及同一系统内的三甲医院的资源，协助开展进修培训、协助医院中心开展继续教育、学术交流活动。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（3）提供医务工作人员到实验室进修的机会，以提高医务工作人员的专业技能。协助设计、制作相关医学检验宣传资料。能够协助检验科的建设和发展，每年提供检验人员免费进修和ISO15189知识培训工作。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2.4人员要求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所选派本项目的支持人员配备必须合理，职责明确，提供完备的服务团队，包括项目负责人、高级职称检验师等。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2.5车辆要求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配备接收、送检的车辆：车辆必须配备专用车载冰箱或保温箱，冰箱或保温箱必须有相应的温度记录表。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2.6提供售后服务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设有客服专线电话，处理相关的日常咨询及售后服务工作。具有完善管理制度和服务流程以保障上门服务及时有效性，并定期选派具有医学检验背景的专业技术人员提供售后服务。</w:t>
      </w:r>
    </w:p>
    <w:p>
      <w:pPr>
        <w:pStyle w:val="9"/>
        <w:spacing w:line="276" w:lineRule="auto"/>
        <w:ind w:left="42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（二）商务要求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1、项目内容：检验项目外送服务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2、付款方式:</w:t>
      </w:r>
    </w:p>
    <w:p>
      <w:pPr>
        <w:pStyle w:val="9"/>
        <w:spacing w:line="276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每月结算一次，申请付款时须提供相应额度的国家正式发票。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注︰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（1）单价以《自贡市医疗服务价格（试行）》中的规定的单价为标准。如在服务期限内，物价部门调整了检验单价时，应按照物价部门调整的检验单价浮动比例调整结算单价。</w:t>
      </w:r>
    </w:p>
    <w:p>
      <w:pPr>
        <w:pStyle w:val="9"/>
        <w:spacing w:line="276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</w:rPr>
        <w:t>（2</w:t>
      </w:r>
      <w:r>
        <w:rPr>
          <w:rFonts w:hint="eastAsia" w:ascii="宋体" w:hAnsi="宋体" w:cs="宋体"/>
          <w:sz w:val="24"/>
          <w:szCs w:val="24"/>
          <w:highlight w:val="none"/>
        </w:rPr>
        <w:t>）实际服务费用=每月实际检测项目费用×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折扣率</w:t>
      </w:r>
      <w:r>
        <w:rPr>
          <w:rFonts w:hint="eastAsia" w:ascii="宋体" w:hAnsi="宋体" w:cs="宋体"/>
          <w:sz w:val="24"/>
          <w:szCs w:val="24"/>
          <w:highlight w:val="none"/>
        </w:rPr>
        <w:t>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3、服务地点:采购方指定及招标范围要求的地点。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4、价格要求︰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所有项目统一折扣，</w:t>
      </w:r>
      <w:r>
        <w:rPr>
          <w:rFonts w:hint="eastAsia" w:ascii="宋体" w:hAnsi="宋体" w:cs="宋体"/>
          <w:sz w:val="24"/>
          <w:szCs w:val="24"/>
        </w:rPr>
        <w:t>单价折扣率≤60%;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（2）必须对本项目的全部内容报价，不可有缺漏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暂无单价的项目按统一折扣率报价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﹔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（3）报价应为人民币含税全包价，包括︰国家规定的所有税费及与项目相关的所有费用。</w:t>
      </w:r>
    </w:p>
    <w:p>
      <w:pPr>
        <w:pStyle w:val="9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5、服务范围:富顺县中医医院。</w:t>
      </w:r>
    </w:p>
    <w:p>
      <w:pPr>
        <w:rPr>
          <w:rFonts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ZTJmNzdiOGIxNTQyNjQ4ODg5ZmU3ZGE1YmI1MzYifQ=="/>
  </w:docVars>
  <w:rsids>
    <w:rsidRoot w:val="007A09D3"/>
    <w:rsid w:val="0002284B"/>
    <w:rsid w:val="001D7E86"/>
    <w:rsid w:val="00263498"/>
    <w:rsid w:val="00274E6F"/>
    <w:rsid w:val="002D7736"/>
    <w:rsid w:val="00316D09"/>
    <w:rsid w:val="00447D8F"/>
    <w:rsid w:val="004C6A0E"/>
    <w:rsid w:val="00585577"/>
    <w:rsid w:val="00742F1D"/>
    <w:rsid w:val="00784473"/>
    <w:rsid w:val="007A09D3"/>
    <w:rsid w:val="00927790"/>
    <w:rsid w:val="00956FAF"/>
    <w:rsid w:val="009D5D33"/>
    <w:rsid w:val="00A37D13"/>
    <w:rsid w:val="00A935B8"/>
    <w:rsid w:val="00B74586"/>
    <w:rsid w:val="00C237FE"/>
    <w:rsid w:val="17941CF3"/>
    <w:rsid w:val="1B7B0770"/>
    <w:rsid w:val="1EE03B4E"/>
    <w:rsid w:val="25FA295B"/>
    <w:rsid w:val="2A474F8E"/>
    <w:rsid w:val="2A8D38E3"/>
    <w:rsid w:val="2AEC73E0"/>
    <w:rsid w:val="2C855E74"/>
    <w:rsid w:val="2DE275E0"/>
    <w:rsid w:val="324F45F9"/>
    <w:rsid w:val="4313798F"/>
    <w:rsid w:val="463055DE"/>
    <w:rsid w:val="50011A6A"/>
    <w:rsid w:val="5201764D"/>
    <w:rsid w:val="57D170F0"/>
    <w:rsid w:val="5CCE7744"/>
    <w:rsid w:val="60D32DE8"/>
    <w:rsid w:val="6A941CB2"/>
    <w:rsid w:val="6C155A2E"/>
    <w:rsid w:val="706602F7"/>
    <w:rsid w:val="726A233E"/>
    <w:rsid w:val="742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autoRedefine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link w:val="13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6"/>
    <w:link w:val="14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缩进 字符"/>
    <w:basedOn w:val="12"/>
    <w:link w:val="6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文本首行缩进 2 字符"/>
    <w:basedOn w:val="13"/>
    <w:link w:val="9"/>
    <w:semiHidden/>
    <w:qFormat/>
    <w:uiPriority w:val="99"/>
    <w:rPr>
      <w:rFonts w:ascii="Calibri" w:hAnsi="Calibri" w:eastAsia="宋体" w:cs="Times New Roman"/>
      <w:sz w:val="28"/>
      <w:szCs w:val="28"/>
    </w:rPr>
  </w:style>
  <w:style w:type="character" w:customStyle="1" w:styleId="15">
    <w:name w:val="正文文本 字符"/>
    <w:basedOn w:val="12"/>
    <w:link w:val="2"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636</Words>
  <Characters>3627</Characters>
  <Lines>30</Lines>
  <Paragraphs>8</Paragraphs>
  <TotalTime>8</TotalTime>
  <ScaleCrop>false</ScaleCrop>
  <LinksUpToDate>false</LinksUpToDate>
  <CharactersWithSpaces>4255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熊</cp:lastModifiedBy>
  <cp:lastPrinted>2022-11-24T08:18:00Z</cp:lastPrinted>
  <dcterms:modified xsi:type="dcterms:W3CDTF">2024-04-29T01:07:59Z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F536284004BA448497AF1645A41FCD18_13</vt:lpwstr>
  </property>
</Properties>
</file>