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napToGrid/>
        <w:spacing w:before="0" w:after="0" w:line="560" w:lineRule="exact"/>
        <w:ind w:left="0" w:leftChars="0"/>
        <w:jc w:val="center"/>
        <w:textAlignment w:val="auto"/>
        <w:rPr>
          <w:rFonts w:hint="eastAsia" w:ascii="方正小标宋简体" w:hAnsi="方正小标宋简体" w:eastAsia="方正小标宋简体" w:cs="方正小标宋简体"/>
          <w:b w:val="0"/>
          <w:bCs w:val="0"/>
          <w:color w:val="000000"/>
          <w:sz w:val="36"/>
          <w:szCs w:val="36"/>
          <w:lang w:val="en-US" w:eastAsia="zh-CN"/>
        </w:rPr>
      </w:pPr>
      <w:bookmarkStart w:id="0" w:name="_Toc13691"/>
      <w:bookmarkStart w:id="1" w:name="_Toc22364"/>
      <w:bookmarkStart w:id="2" w:name="_Toc217446094"/>
      <w:bookmarkStart w:id="3" w:name="_Toc24541"/>
      <w:bookmarkStart w:id="4" w:name="_Toc31903"/>
      <w:bookmarkStart w:id="5" w:name="_Toc11445"/>
      <w:bookmarkStart w:id="6" w:name="_Toc17663"/>
      <w:r>
        <w:rPr>
          <w:rFonts w:hint="eastAsia" w:ascii="方正小标宋简体" w:hAnsi="方正小标宋简体" w:eastAsia="方正小标宋简体" w:cs="方正小标宋简体"/>
          <w:b w:val="0"/>
          <w:bCs w:val="0"/>
          <w:color w:val="000000"/>
          <w:sz w:val="36"/>
          <w:szCs w:val="36"/>
        </w:rPr>
        <w:t>富顺县中医医院</w:t>
      </w:r>
      <w:r>
        <w:rPr>
          <w:rFonts w:hint="eastAsia" w:ascii="方正小标宋简体" w:hAnsi="方正小标宋简体" w:eastAsia="方正小标宋简体" w:cs="方正小标宋简体"/>
          <w:b w:val="0"/>
          <w:bCs w:val="0"/>
          <w:color w:val="000000"/>
          <w:sz w:val="36"/>
          <w:szCs w:val="36"/>
          <w:lang w:val="en-US" w:eastAsia="zh-CN"/>
        </w:rPr>
        <w:t>环境类检测采购项目</w:t>
      </w:r>
    </w:p>
    <w:p>
      <w:pPr>
        <w:pStyle w:val="2"/>
        <w:pageBreakBefore w:val="0"/>
        <w:kinsoku/>
        <w:wordWrap/>
        <w:overflowPunct/>
        <w:topLinePunct w:val="0"/>
        <w:autoSpaceDE/>
        <w:autoSpaceDN/>
        <w:bidi w:val="0"/>
        <w:adjustRightInd/>
        <w:snapToGrid/>
        <w:spacing w:before="0" w:after="0" w:line="560" w:lineRule="exact"/>
        <w:ind w:left="0" w:leftChars="0"/>
        <w:jc w:val="center"/>
        <w:textAlignment w:val="auto"/>
        <w:rPr>
          <w:rFonts w:hint="eastAsia" w:ascii="仿宋_GB2312" w:hAnsi="仿宋_GB2312" w:eastAsia="仿宋_GB2312" w:cs="仿宋_GB2312"/>
          <w:b w:val="0"/>
          <w:bCs w:val="0"/>
          <w:sz w:val="28"/>
          <w:szCs w:val="28"/>
        </w:rPr>
      </w:pPr>
      <w:r>
        <w:rPr>
          <w:rFonts w:hint="eastAsia" w:ascii="方正小标宋简体" w:hAnsi="方正小标宋简体" w:eastAsia="方正小标宋简体" w:cs="方正小标宋简体"/>
          <w:b w:val="0"/>
          <w:bCs w:val="0"/>
          <w:color w:val="000000"/>
          <w:sz w:val="36"/>
          <w:szCs w:val="36"/>
        </w:rPr>
        <w:t>采购需求</w:t>
      </w:r>
    </w:p>
    <w:bookmarkEnd w:id="0"/>
    <w:bookmarkEnd w:id="1"/>
    <w:bookmarkEnd w:id="2"/>
    <w:bookmarkEnd w:id="3"/>
    <w:bookmarkEnd w:id="4"/>
    <w:bookmarkEnd w:id="5"/>
    <w:bookmarkEnd w:id="6"/>
    <w:p>
      <w:pPr>
        <w:pStyle w:val="2"/>
        <w:pageBreakBefore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黑体" w:hAnsi="黑体" w:cs="黑体"/>
          <w:b w:val="0"/>
          <w:bCs w:val="0"/>
          <w:sz w:val="28"/>
          <w:szCs w:val="28"/>
          <w:lang w:val="en-US" w:eastAsia="zh-CN"/>
        </w:rPr>
      </w:pPr>
      <w:bookmarkStart w:id="7" w:name="_Toc217446095"/>
    </w:p>
    <w:p>
      <w:pPr>
        <w:pStyle w:val="2"/>
        <w:pageBreakBefore w:val="0"/>
        <w:numPr>
          <w:ilvl w:val="0"/>
          <w:numId w:val="1"/>
        </w:numPr>
        <w:kinsoku/>
        <w:wordWrap/>
        <w:overflowPunct/>
        <w:topLinePunct w:val="0"/>
        <w:autoSpaceDE/>
        <w:autoSpaceDN/>
        <w:bidi w:val="0"/>
        <w:adjustRightInd/>
        <w:snapToGrid/>
        <w:spacing w:before="0" w:after="0" w:line="560" w:lineRule="exact"/>
        <w:jc w:val="left"/>
        <w:textAlignment w:val="auto"/>
        <w:rPr>
          <w:rFonts w:hint="eastAsia" w:ascii="黑体" w:hAnsi="黑体" w:cs="黑体"/>
          <w:b w:val="0"/>
          <w:bCs w:val="0"/>
          <w:sz w:val="28"/>
          <w:szCs w:val="28"/>
          <w:lang w:val="en-US" w:eastAsia="zh-CN"/>
        </w:rPr>
      </w:pPr>
      <w:r>
        <w:rPr>
          <w:rFonts w:hint="eastAsia" w:ascii="宋体" w:hAnsi="宋体" w:eastAsia="宋体" w:cs="宋体"/>
          <w:sz w:val="24"/>
          <w:szCs w:val="24"/>
        </w:rPr>
        <w:t>★</w:t>
      </w:r>
      <w:r>
        <w:rPr>
          <w:rFonts w:hint="eastAsia" w:ascii="黑体" w:hAnsi="黑体" w:cs="黑体"/>
          <w:b w:val="0"/>
          <w:bCs w:val="0"/>
          <w:sz w:val="28"/>
          <w:szCs w:val="28"/>
          <w:lang w:val="en-US" w:eastAsia="zh-CN"/>
        </w:rPr>
        <w:t>采购内容</w:t>
      </w:r>
    </w:p>
    <w:tbl>
      <w:tblPr>
        <w:tblStyle w:val="7"/>
        <w:tblW w:w="82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045"/>
        <w:gridCol w:w="1102"/>
        <w:gridCol w:w="1275"/>
        <w:gridCol w:w="2010"/>
        <w:gridCol w:w="1075"/>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04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院区</w:t>
            </w:r>
          </w:p>
        </w:tc>
        <w:tc>
          <w:tcPr>
            <w:tcW w:w="110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产品名称</w:t>
            </w:r>
          </w:p>
        </w:tc>
        <w:tc>
          <w:tcPr>
            <w:tcW w:w="127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点位</w:t>
            </w:r>
          </w:p>
        </w:tc>
        <w:tc>
          <w:tcPr>
            <w:tcW w:w="201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检测项目</w:t>
            </w:r>
          </w:p>
        </w:tc>
        <w:tc>
          <w:tcPr>
            <w:tcW w:w="107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监测频次</w:t>
            </w:r>
          </w:p>
        </w:tc>
        <w:tc>
          <w:tcPr>
            <w:tcW w:w="107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6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富达院区</w:t>
            </w:r>
          </w:p>
        </w:tc>
        <w:tc>
          <w:tcPr>
            <w:tcW w:w="11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有组织废气</w:t>
            </w:r>
          </w:p>
        </w:tc>
        <w:tc>
          <w:tcPr>
            <w:tcW w:w="12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DA001废气排放口</w:t>
            </w:r>
          </w:p>
        </w:tc>
        <w:tc>
          <w:tcPr>
            <w:tcW w:w="20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臭气浓度、氨（氨气）、硫化氢</w:t>
            </w:r>
          </w:p>
        </w:tc>
        <w:tc>
          <w:tcPr>
            <w:tcW w:w="1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1次/季度</w:t>
            </w:r>
          </w:p>
        </w:tc>
        <w:tc>
          <w:tcPr>
            <w:tcW w:w="10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富达院区</w:t>
            </w:r>
          </w:p>
        </w:tc>
        <w:tc>
          <w:tcPr>
            <w:tcW w:w="11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无组织废气</w:t>
            </w:r>
          </w:p>
        </w:tc>
        <w:tc>
          <w:tcPr>
            <w:tcW w:w="12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上风向下风向共4个点</w:t>
            </w:r>
          </w:p>
        </w:tc>
        <w:tc>
          <w:tcPr>
            <w:tcW w:w="20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甲烷、臭气浓度、氨（氨气）、氯、硫化氢</w:t>
            </w:r>
          </w:p>
        </w:tc>
        <w:tc>
          <w:tcPr>
            <w:tcW w:w="1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1次/季度</w:t>
            </w:r>
          </w:p>
        </w:tc>
        <w:tc>
          <w:tcPr>
            <w:tcW w:w="10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4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富达院区</w:t>
            </w:r>
          </w:p>
        </w:tc>
        <w:tc>
          <w:tcPr>
            <w:tcW w:w="110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废水</w:t>
            </w:r>
          </w:p>
        </w:tc>
        <w:tc>
          <w:tcPr>
            <w:tcW w:w="127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废水排放口</w:t>
            </w:r>
          </w:p>
        </w:tc>
        <w:tc>
          <w:tcPr>
            <w:tcW w:w="20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悬浮物、化学需氧量</w:t>
            </w:r>
          </w:p>
        </w:tc>
        <w:tc>
          <w:tcPr>
            <w:tcW w:w="1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1次/周</w:t>
            </w:r>
          </w:p>
        </w:tc>
        <w:tc>
          <w:tcPr>
            <w:tcW w:w="10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6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五日生化需氧量、阴离子表面活性剂、石油类、动植物油、挥发酚、总氰化物、PH、COD、氨氨、余氯</w:t>
            </w:r>
          </w:p>
        </w:tc>
        <w:tc>
          <w:tcPr>
            <w:tcW w:w="1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1次/季度</w:t>
            </w:r>
          </w:p>
        </w:tc>
        <w:tc>
          <w:tcPr>
            <w:tcW w:w="10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志贺氏菌</w:t>
            </w:r>
          </w:p>
        </w:tc>
        <w:tc>
          <w:tcPr>
            <w:tcW w:w="1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1次/半年</w:t>
            </w:r>
          </w:p>
        </w:tc>
        <w:tc>
          <w:tcPr>
            <w:tcW w:w="10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粪大肠菌数</w:t>
            </w:r>
          </w:p>
        </w:tc>
        <w:tc>
          <w:tcPr>
            <w:tcW w:w="1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1次/月</w:t>
            </w:r>
          </w:p>
        </w:tc>
        <w:tc>
          <w:tcPr>
            <w:tcW w:w="10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富达院区</w:t>
            </w:r>
          </w:p>
        </w:tc>
        <w:tc>
          <w:tcPr>
            <w:tcW w:w="11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噪声</w:t>
            </w:r>
          </w:p>
        </w:tc>
        <w:tc>
          <w:tcPr>
            <w:tcW w:w="127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10" w:type="dxa"/>
            <w:tcBorders>
              <w:top w:val="nil"/>
              <w:left w:val="nil"/>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1次/季度</w:t>
            </w:r>
          </w:p>
        </w:tc>
        <w:tc>
          <w:tcPr>
            <w:tcW w:w="10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4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110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有组织废气</w:t>
            </w:r>
          </w:p>
        </w:tc>
        <w:tc>
          <w:tcPr>
            <w:tcW w:w="1275"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天然气锅炉</w:t>
            </w:r>
          </w:p>
        </w:tc>
        <w:tc>
          <w:tcPr>
            <w:tcW w:w="20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氮氧化物</w:t>
            </w:r>
          </w:p>
        </w:tc>
        <w:tc>
          <w:tcPr>
            <w:tcW w:w="1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1次/月</w:t>
            </w:r>
          </w:p>
        </w:tc>
        <w:tc>
          <w:tcPr>
            <w:tcW w:w="10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6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1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废气排放口</w:t>
            </w:r>
          </w:p>
        </w:tc>
        <w:tc>
          <w:tcPr>
            <w:tcW w:w="20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二氧化硫、颗粒物、烟气黑度</w:t>
            </w:r>
          </w:p>
        </w:tc>
        <w:tc>
          <w:tcPr>
            <w:tcW w:w="1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10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04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110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有组织废气</w:t>
            </w:r>
          </w:p>
        </w:tc>
        <w:tc>
          <w:tcPr>
            <w:tcW w:w="1275"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洗浆房锅炉</w:t>
            </w:r>
          </w:p>
        </w:tc>
        <w:tc>
          <w:tcPr>
            <w:tcW w:w="20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氮氧化物</w:t>
            </w:r>
          </w:p>
        </w:tc>
        <w:tc>
          <w:tcPr>
            <w:tcW w:w="1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1次/月</w:t>
            </w:r>
          </w:p>
        </w:tc>
        <w:tc>
          <w:tcPr>
            <w:tcW w:w="10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6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1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废气排放口</w:t>
            </w:r>
          </w:p>
        </w:tc>
        <w:tc>
          <w:tcPr>
            <w:tcW w:w="20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二氧化硫、颗粒物、烟气黑度</w:t>
            </w:r>
          </w:p>
        </w:tc>
        <w:tc>
          <w:tcPr>
            <w:tcW w:w="1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10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04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11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食堂</w:t>
            </w:r>
          </w:p>
        </w:tc>
        <w:tc>
          <w:tcPr>
            <w:tcW w:w="201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油烟</w:t>
            </w:r>
          </w:p>
        </w:tc>
        <w:tc>
          <w:tcPr>
            <w:tcW w:w="107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107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1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废气排放口</w:t>
            </w:r>
          </w:p>
        </w:tc>
        <w:tc>
          <w:tcPr>
            <w:tcW w:w="201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7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7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04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11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医废处理间</w:t>
            </w:r>
          </w:p>
        </w:tc>
        <w:tc>
          <w:tcPr>
            <w:tcW w:w="201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臭气浓度、氨（氨气）、硫化氢</w:t>
            </w:r>
          </w:p>
        </w:tc>
        <w:tc>
          <w:tcPr>
            <w:tcW w:w="107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1次/季度</w:t>
            </w:r>
          </w:p>
        </w:tc>
        <w:tc>
          <w:tcPr>
            <w:tcW w:w="107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1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废气排放口</w:t>
            </w:r>
          </w:p>
        </w:tc>
        <w:tc>
          <w:tcPr>
            <w:tcW w:w="201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07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7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6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0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11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无组织废气</w:t>
            </w:r>
          </w:p>
        </w:tc>
        <w:tc>
          <w:tcPr>
            <w:tcW w:w="12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上风向下风向共4个点</w:t>
            </w:r>
          </w:p>
        </w:tc>
        <w:tc>
          <w:tcPr>
            <w:tcW w:w="20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甲烷、臭气浓度、氨（氨气）、氯、硫化氢、</w:t>
            </w:r>
          </w:p>
        </w:tc>
        <w:tc>
          <w:tcPr>
            <w:tcW w:w="1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1次/季度</w:t>
            </w:r>
          </w:p>
        </w:tc>
        <w:tc>
          <w:tcPr>
            <w:tcW w:w="10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6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10</w:t>
            </w:r>
          </w:p>
        </w:tc>
        <w:tc>
          <w:tcPr>
            <w:tcW w:w="104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110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废水</w:t>
            </w:r>
          </w:p>
        </w:tc>
        <w:tc>
          <w:tcPr>
            <w:tcW w:w="127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废水排放口</w:t>
            </w:r>
          </w:p>
        </w:tc>
        <w:tc>
          <w:tcPr>
            <w:tcW w:w="20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悬浮物、化学需氧量</w:t>
            </w:r>
          </w:p>
        </w:tc>
        <w:tc>
          <w:tcPr>
            <w:tcW w:w="1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1次/周</w:t>
            </w:r>
          </w:p>
        </w:tc>
        <w:tc>
          <w:tcPr>
            <w:tcW w:w="10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6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五日生化需氧量、阴离子表面活性剂、石油类、动植物油、挥发酚、总氰化物、沙门氏菌、PH、COD、BOD、氨氨、色度、总汞、总镉、总铬、六价铬、总砷、总铅、总银、余氯</w:t>
            </w:r>
          </w:p>
        </w:tc>
        <w:tc>
          <w:tcPr>
            <w:tcW w:w="1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1次/季度</w:t>
            </w:r>
          </w:p>
        </w:tc>
        <w:tc>
          <w:tcPr>
            <w:tcW w:w="10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志贺氏菌</w:t>
            </w:r>
          </w:p>
        </w:tc>
        <w:tc>
          <w:tcPr>
            <w:tcW w:w="1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1次/半年</w:t>
            </w:r>
          </w:p>
        </w:tc>
        <w:tc>
          <w:tcPr>
            <w:tcW w:w="10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粪大肠菌数</w:t>
            </w:r>
          </w:p>
        </w:tc>
        <w:tc>
          <w:tcPr>
            <w:tcW w:w="1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1次/月</w:t>
            </w:r>
          </w:p>
        </w:tc>
        <w:tc>
          <w:tcPr>
            <w:tcW w:w="10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11</w:t>
            </w:r>
          </w:p>
        </w:tc>
        <w:tc>
          <w:tcPr>
            <w:tcW w:w="10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11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噪声</w:t>
            </w:r>
          </w:p>
        </w:tc>
        <w:tc>
          <w:tcPr>
            <w:tcW w:w="127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10" w:type="dxa"/>
            <w:tcBorders>
              <w:top w:val="nil"/>
              <w:left w:val="nil"/>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1次/季度</w:t>
            </w:r>
          </w:p>
        </w:tc>
        <w:tc>
          <w:tcPr>
            <w:tcW w:w="10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257" w:type="dxa"/>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备注：1.检测项目包括但不限于以上内容，根据最新国家及行业标准进行调整以达到相关主管部门检查要求；2.须明列每项标的的分项报价，仅报总价做无效报价处理。</w:t>
            </w:r>
          </w:p>
        </w:tc>
      </w:tr>
    </w:tbl>
    <w:p>
      <w:pPr>
        <w:numPr>
          <w:ilvl w:val="0"/>
          <w:numId w:val="0"/>
        </w:numPr>
        <w:rPr>
          <w:rFonts w:hint="eastAsia"/>
          <w:lang w:val="en-US" w:eastAsia="zh-CN"/>
        </w:rPr>
      </w:pPr>
    </w:p>
    <w:p>
      <w:pPr>
        <w:pageBreakBefore w:val="0"/>
        <w:widowControl/>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黑体" w:hAnsi="黑体" w:eastAsia="黑体" w:cs="黑体"/>
          <w:b w:val="0"/>
          <w:bCs w:val="0"/>
          <w:sz w:val="28"/>
          <w:szCs w:val="28"/>
          <w:lang w:val="en-US" w:eastAsia="zh-CN"/>
        </w:rPr>
      </w:pPr>
      <w:bookmarkStart w:id="8" w:name="_Toc16486"/>
      <w:bookmarkStart w:id="9" w:name="_Toc2076"/>
      <w:bookmarkStart w:id="10" w:name="_Toc24400"/>
      <w:bookmarkStart w:id="11" w:name="_Toc4701"/>
      <w:bookmarkStart w:id="12" w:name="_Toc3120"/>
      <w:bookmarkStart w:id="13" w:name="_Toc1573"/>
      <w:r>
        <w:rPr>
          <w:rFonts w:hint="eastAsia" w:ascii="黑体" w:hAnsi="黑体" w:eastAsia="黑体" w:cs="黑体"/>
          <w:b w:val="0"/>
          <w:bCs w:val="0"/>
          <w:sz w:val="28"/>
          <w:szCs w:val="28"/>
          <w:lang w:val="en-US" w:eastAsia="zh-CN"/>
        </w:rPr>
        <w:t>二、</w:t>
      </w:r>
      <w:r>
        <w:rPr>
          <w:rFonts w:hint="eastAsia" w:ascii="宋体" w:hAnsi="宋体" w:eastAsia="宋体" w:cs="宋体"/>
          <w:sz w:val="24"/>
          <w:szCs w:val="24"/>
        </w:rPr>
        <w:t>★</w:t>
      </w:r>
      <w:r>
        <w:rPr>
          <w:rFonts w:hint="eastAsia" w:ascii="黑体" w:hAnsi="黑体" w:eastAsia="黑体" w:cs="黑体"/>
          <w:b w:val="0"/>
          <w:bCs w:val="0"/>
          <w:sz w:val="28"/>
          <w:szCs w:val="28"/>
          <w:lang w:val="en-US" w:eastAsia="zh-CN"/>
        </w:rPr>
        <w:t>监测要求</w:t>
      </w:r>
    </w:p>
    <w:p>
      <w:pPr>
        <w:pStyle w:val="3"/>
        <w:pageBreakBefore w:val="0"/>
        <w:kinsoku/>
        <w:wordWrap/>
        <w:overflowPunct/>
        <w:topLinePunct w:val="0"/>
        <w:autoSpaceDE/>
        <w:autoSpaceDN/>
        <w:bidi w:val="0"/>
        <w:adjustRightInd/>
        <w:snapToGrid/>
        <w:spacing w:line="560" w:lineRule="exact"/>
        <w:ind w:firstLine="48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监测技术服务要求：监测及评价依据按照相关国家及行业标准方法进行监测，如服务期限内，相关标准有最新改动，依据最新标准方法监测并出具报告。</w:t>
      </w:r>
      <w:r>
        <w:rPr>
          <w:rFonts w:hint="default" w:ascii="仿宋_GB2312" w:hAnsi="仿宋_GB2312" w:eastAsia="仿宋_GB2312" w:cs="仿宋_GB2312"/>
          <w:sz w:val="28"/>
          <w:szCs w:val="28"/>
          <w:highlight w:val="none"/>
          <w:lang w:eastAsia="zh-CN"/>
        </w:rPr>
        <w:t>包括但不限于以下标准：</w:t>
      </w:r>
    </w:p>
    <w:p>
      <w:pPr>
        <w:pStyle w:val="3"/>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lang w:val="en-US" w:eastAsia="zh-CN"/>
        </w:rPr>
        <w:t>废水：执行《医疗机构水污染排放标准》（GB 18466-2005）表2中预处理标准。</w:t>
      </w:r>
      <w:r>
        <w:rPr>
          <w:rFonts w:hint="eastAsia" w:ascii="仿宋_GB2312" w:hAnsi="仿宋_GB2312" w:eastAsia="仿宋_GB2312" w:cs="仿宋_GB2312"/>
          <w:sz w:val="28"/>
          <w:szCs w:val="28"/>
          <w:highlight w:val="none"/>
          <w:lang w:val="en-US" w:eastAsia="zh-CN"/>
        </w:rPr>
        <w:br w:type="textWrapping"/>
      </w:r>
      <w:r>
        <w:rPr>
          <w:rFonts w:hint="eastAsia"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lang w:eastAsia="zh-CN"/>
        </w:rPr>
        <w:t>（2）</w:t>
      </w:r>
      <w:r>
        <w:rPr>
          <w:rFonts w:hint="eastAsia" w:ascii="仿宋_GB2312" w:hAnsi="仿宋_GB2312" w:eastAsia="仿宋_GB2312" w:cs="仿宋_GB2312"/>
          <w:sz w:val="28"/>
          <w:szCs w:val="28"/>
          <w:highlight w:val="none"/>
          <w:lang w:val="en-US" w:eastAsia="zh-CN"/>
        </w:rPr>
        <w:t>有组织废气：臭气浓度、氨、硫化氢执行《恶臭污染物排放标准》（GB14554-93）表2中标准限值；</w:t>
      </w:r>
      <w:r>
        <w:rPr>
          <w:rFonts w:hint="eastAsia" w:ascii="仿宋_GB2312" w:hAnsi="仿宋_GB2312" w:eastAsia="仿宋_GB2312" w:cs="仿宋_GB2312"/>
          <w:sz w:val="28"/>
          <w:szCs w:val="28"/>
          <w:highlight w:val="none"/>
        </w:rPr>
        <w:t>《锅炉大气污染物排放标准》（GB13721-2014）表</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所列标准</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br w:type="textWrapping"/>
      </w:r>
      <w:r>
        <w:rPr>
          <w:rFonts w:hint="eastAsia"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lang w:eastAsia="zh-CN"/>
        </w:rPr>
        <w:t>（3）</w:t>
      </w:r>
      <w:r>
        <w:rPr>
          <w:rFonts w:hint="eastAsia" w:ascii="仿宋_GB2312" w:hAnsi="仿宋_GB2312" w:eastAsia="仿宋_GB2312" w:cs="仿宋_GB2312"/>
          <w:sz w:val="28"/>
          <w:szCs w:val="28"/>
          <w:highlight w:val="none"/>
          <w:lang w:val="en-US" w:eastAsia="zh-CN"/>
        </w:rPr>
        <w:t>无组织废气：甲烷、臭气浓度、氨、氯气、硫化氢执行《医疗机构水污染排放标准》（GB 18466-2005）表3中标准限值。</w:t>
      </w:r>
    </w:p>
    <w:p>
      <w:pPr>
        <w:pStyle w:val="3"/>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eastAsia="zh-CN"/>
        </w:rPr>
        <w:t>（4）</w:t>
      </w:r>
      <w:r>
        <w:rPr>
          <w:rFonts w:hint="eastAsia" w:ascii="仿宋_GB2312" w:hAnsi="仿宋_GB2312" w:eastAsia="仿宋_GB2312" w:cs="仿宋_GB2312"/>
          <w:sz w:val="28"/>
          <w:szCs w:val="28"/>
          <w:highlight w:val="none"/>
          <w:lang w:val="en-US" w:eastAsia="zh-CN"/>
        </w:rPr>
        <w:t>油烟</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执行《饮食业油烟排放标准（试行）》（GB18483-2001）表2标准限值要求。</w:t>
      </w:r>
    </w:p>
    <w:p>
      <w:pPr>
        <w:pStyle w:val="3"/>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eastAsia="zh-CN"/>
        </w:rPr>
        <w:t>（5）</w:t>
      </w:r>
      <w:r>
        <w:rPr>
          <w:rFonts w:hint="eastAsia" w:ascii="仿宋_GB2312" w:hAnsi="仿宋_GB2312" w:eastAsia="仿宋_GB2312" w:cs="仿宋_GB2312"/>
          <w:sz w:val="28"/>
          <w:szCs w:val="28"/>
          <w:highlight w:val="none"/>
          <w:lang w:val="en-US" w:eastAsia="zh-CN"/>
        </w:rPr>
        <w:t>噪声：执行《工业企业厂界环境噪声排放标准》（GB12348-2008）表1中2类标准限值。</w:t>
      </w:r>
    </w:p>
    <w:p>
      <w:pPr>
        <w:pStyle w:val="3"/>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sz w:val="28"/>
          <w:szCs w:val="28"/>
          <w:highlight w:val="none"/>
          <w:lang w:eastAsia="zh-CN"/>
        </w:rPr>
      </w:pPr>
      <w:r>
        <w:rPr>
          <w:rFonts w:hint="default" w:ascii="仿宋_GB2312" w:hAnsi="仿宋_GB2312" w:eastAsia="仿宋_GB2312" w:cs="仿宋_GB2312"/>
          <w:sz w:val="28"/>
          <w:szCs w:val="28"/>
          <w:highlight w:val="none"/>
          <w:lang w:eastAsia="zh-CN"/>
        </w:rPr>
        <w:t>2.</w:t>
      </w:r>
      <w:r>
        <w:rPr>
          <w:rFonts w:hint="eastAsia" w:ascii="仿宋_GB2312" w:hAnsi="仿宋_GB2312" w:eastAsia="仿宋_GB2312" w:cs="仿宋_GB2312"/>
          <w:sz w:val="28"/>
          <w:szCs w:val="28"/>
          <w:highlight w:val="none"/>
          <w:lang w:eastAsia="zh-CN"/>
        </w:rPr>
        <w:t>所有监测项目需</w:t>
      </w:r>
      <w:r>
        <w:rPr>
          <w:rFonts w:hint="eastAsia" w:ascii="仿宋_GB2312" w:hAnsi="仿宋_GB2312" w:eastAsia="仿宋_GB2312" w:cs="仿宋_GB2312"/>
          <w:sz w:val="28"/>
          <w:szCs w:val="28"/>
          <w:highlight w:val="none"/>
        </w:rPr>
        <w:t>供应商</w:t>
      </w:r>
      <w:r>
        <w:rPr>
          <w:rFonts w:hint="eastAsia" w:ascii="仿宋_GB2312" w:hAnsi="仿宋_GB2312" w:eastAsia="仿宋_GB2312" w:cs="仿宋_GB2312"/>
          <w:sz w:val="28"/>
          <w:szCs w:val="28"/>
          <w:highlight w:val="none"/>
          <w:lang w:eastAsia="zh-CN"/>
        </w:rPr>
        <w:t>现场取样，余氯现场监测，监测频次及时间按照医院的要求和有关规定安排。</w:t>
      </w:r>
    </w:p>
    <w:p>
      <w:pPr>
        <w:pStyle w:val="3"/>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eastAsia="zh-CN"/>
        </w:rPr>
        <w:t>3</w:t>
      </w:r>
      <w:r>
        <w:rPr>
          <w:rFonts w:hint="eastAsia" w:ascii="仿宋_GB2312" w:hAnsi="仿宋_GB2312" w:eastAsia="仿宋_GB2312" w:cs="仿宋_GB2312"/>
          <w:sz w:val="28"/>
          <w:szCs w:val="28"/>
          <w:highlight w:val="none"/>
        </w:rPr>
        <w:t>.在线监测设备故障人工监测服务主要为医院在线监测设备（如有）故障期间所采用的应急人工监测服务，要求在故障期间每日监测不少于4次，监测周期间隔不大于6小时。</w:t>
      </w:r>
    </w:p>
    <w:p>
      <w:pPr>
        <w:pStyle w:val="3"/>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eastAsia="zh-CN"/>
        </w:rPr>
        <w:t>4</w:t>
      </w:r>
      <w:r>
        <w:rPr>
          <w:rFonts w:hint="eastAsia" w:ascii="仿宋_GB2312" w:hAnsi="仿宋_GB2312" w:eastAsia="仿宋_GB2312" w:cs="仿宋_GB2312"/>
          <w:sz w:val="28"/>
          <w:szCs w:val="28"/>
          <w:highlight w:val="none"/>
        </w:rPr>
        <w:t>.所有监测结果均以 CMA 认证监测报告的形式呈现并符合相关部门要求，向医院提供纸质版和扫描版。</w:t>
      </w:r>
    </w:p>
    <w:p>
      <w:pPr>
        <w:pStyle w:val="6"/>
        <w:pageBreakBefore w:val="0"/>
        <w:numPr>
          <w:ilvl w:val="0"/>
          <w:numId w:val="0"/>
        </w:numPr>
        <w:kinsoku/>
        <w:wordWrap/>
        <w:overflowPunct/>
        <w:topLinePunct w:val="0"/>
        <w:autoSpaceDE/>
        <w:autoSpaceDN/>
        <w:bidi w:val="0"/>
        <w:adjustRightInd/>
        <w:snapToGrid/>
        <w:spacing w:line="560" w:lineRule="exact"/>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eastAsia="zh-CN"/>
        </w:rPr>
        <w:t>三、</w:t>
      </w:r>
      <w:r>
        <w:rPr>
          <w:rFonts w:hint="eastAsia" w:ascii="黑体" w:hAnsi="黑体" w:eastAsia="黑体" w:cs="黑体"/>
          <w:b w:val="0"/>
          <w:bCs w:val="0"/>
          <w:sz w:val="28"/>
          <w:szCs w:val="28"/>
        </w:rPr>
        <w:t>★</w:t>
      </w:r>
      <w:r>
        <w:rPr>
          <w:rFonts w:hint="eastAsia" w:ascii="黑体" w:hAnsi="黑体" w:eastAsia="黑体" w:cs="黑体"/>
          <w:b w:val="0"/>
          <w:bCs w:val="0"/>
          <w:sz w:val="28"/>
          <w:szCs w:val="28"/>
          <w:lang w:eastAsia="zh-CN"/>
        </w:rPr>
        <w:t>商务</w:t>
      </w:r>
      <w:r>
        <w:rPr>
          <w:rFonts w:hint="eastAsia" w:ascii="黑体" w:hAnsi="黑体" w:eastAsia="黑体" w:cs="黑体"/>
          <w:b w:val="0"/>
          <w:bCs w:val="0"/>
          <w:sz w:val="28"/>
          <w:szCs w:val="28"/>
        </w:rPr>
        <w:t>要求：</w:t>
      </w:r>
    </w:p>
    <w:p>
      <w:pPr>
        <w:pStyle w:val="3"/>
        <w:pageBreakBefore w:val="0"/>
        <w:kinsoku/>
        <w:wordWrap/>
        <w:overflowPunct/>
        <w:topLinePunct w:val="0"/>
        <w:autoSpaceDE/>
        <w:autoSpaceDN/>
        <w:bidi w:val="0"/>
        <w:adjustRightInd/>
        <w:snapToGrid/>
        <w:spacing w:line="560" w:lineRule="exact"/>
        <w:ind w:left="0" w:leftChars="0" w:firstLine="48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color w:val="000000"/>
          <w:kern w:val="0"/>
          <w:sz w:val="28"/>
          <w:szCs w:val="28"/>
        </w:rPr>
        <w:t>1.</w:t>
      </w:r>
      <w:r>
        <w:rPr>
          <w:rFonts w:hint="eastAsia" w:ascii="仿宋_GB2312" w:hAnsi="仿宋_GB2312" w:eastAsia="仿宋_GB2312" w:cs="仿宋_GB2312"/>
          <w:b w:val="0"/>
          <w:bCs w:val="0"/>
          <w:sz w:val="28"/>
          <w:szCs w:val="28"/>
          <w:highlight w:val="none"/>
          <w:lang w:val="en-US" w:eastAsia="zh-CN"/>
        </w:rPr>
        <w:t>服务地点：富顺县中医医院富达路院区、同心院区。</w:t>
      </w:r>
    </w:p>
    <w:p>
      <w:pPr>
        <w:pStyle w:val="3"/>
        <w:pageBreakBefore w:val="0"/>
        <w:kinsoku/>
        <w:wordWrap/>
        <w:overflowPunct/>
        <w:topLinePunct w:val="0"/>
        <w:autoSpaceDE/>
        <w:autoSpaceDN/>
        <w:bidi w:val="0"/>
        <w:adjustRightInd/>
        <w:snapToGrid/>
        <w:spacing w:line="560" w:lineRule="exact"/>
        <w:ind w:left="0" w:leftChars="0" w:firstLine="480"/>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2.服务时间：2024年8月1日至2025年7月31日（一年）</w:t>
      </w:r>
    </w:p>
    <w:p>
      <w:pPr>
        <w:pStyle w:val="3"/>
        <w:pageBreakBefore w:val="0"/>
        <w:kinsoku/>
        <w:wordWrap/>
        <w:overflowPunct/>
        <w:topLinePunct w:val="0"/>
        <w:autoSpaceDE/>
        <w:autoSpaceDN/>
        <w:bidi w:val="0"/>
        <w:adjustRightInd/>
        <w:snapToGrid/>
        <w:spacing w:line="560" w:lineRule="exact"/>
        <w:ind w:left="0" w:leftChars="0" w:firstLine="480"/>
        <w:textAlignment w:val="auto"/>
        <w:rPr>
          <w:rFonts w:hint="default" w:ascii="仿宋_GB2312" w:hAnsi="仿宋_GB2312" w:eastAsia="仿宋_GB2312" w:cs="仿宋_GB2312"/>
          <w:b w:val="0"/>
          <w:bCs w:val="0"/>
          <w:color w:val="000000"/>
          <w:kern w:val="0"/>
          <w:sz w:val="28"/>
          <w:szCs w:val="28"/>
          <w:lang w:val="en-US" w:eastAsia="zh-CN"/>
        </w:rPr>
      </w:pPr>
      <w:r>
        <w:rPr>
          <w:rFonts w:hint="eastAsia" w:ascii="仿宋_GB2312" w:hAnsi="仿宋_GB2312" w:eastAsia="仿宋_GB2312" w:cs="仿宋_GB2312"/>
          <w:b w:val="0"/>
          <w:bCs w:val="0"/>
          <w:color w:val="000000"/>
          <w:kern w:val="0"/>
          <w:sz w:val="28"/>
          <w:szCs w:val="28"/>
          <w:lang w:val="en-US" w:eastAsia="zh-CN"/>
        </w:rPr>
        <w:t>3.乙方按照甲方要求在规定时间、规定地点进行检测，</w:t>
      </w:r>
      <w:r>
        <w:rPr>
          <w:rFonts w:hint="eastAsia" w:ascii="仿宋_GB2312" w:hAnsi="仿宋_GB2312" w:eastAsia="仿宋_GB2312" w:cs="仿宋_GB2312"/>
          <w:b w:val="0"/>
          <w:bCs w:val="0"/>
          <w:sz w:val="28"/>
          <w:szCs w:val="28"/>
          <w:highlight w:val="none"/>
          <w:lang w:val="en-US" w:eastAsia="zh-CN"/>
        </w:rPr>
        <w:t>在满足正常监测工作条件的情况下，取收样后10个工作日以内，供应商</w:t>
      </w:r>
      <w:r>
        <w:rPr>
          <w:rFonts w:hint="eastAsia" w:ascii="仿宋_GB2312" w:hAnsi="仿宋_GB2312" w:eastAsia="仿宋_GB2312" w:cs="仿宋_GB2312"/>
          <w:b w:val="0"/>
          <w:bCs w:val="0"/>
          <w:color w:val="000000"/>
          <w:kern w:val="0"/>
          <w:sz w:val="28"/>
          <w:szCs w:val="28"/>
          <w:lang w:val="en-US" w:eastAsia="zh-CN"/>
        </w:rPr>
        <w:t>分类别按</w:t>
      </w:r>
      <w:bookmarkStart w:id="14" w:name="_GoBack"/>
      <w:bookmarkEnd w:id="14"/>
      <w:r>
        <w:rPr>
          <w:rFonts w:hint="eastAsia" w:ascii="仿宋_GB2312" w:hAnsi="仿宋_GB2312" w:eastAsia="仿宋_GB2312" w:cs="仿宋_GB2312"/>
          <w:b w:val="0"/>
          <w:bCs w:val="0"/>
          <w:sz w:val="28"/>
          <w:szCs w:val="28"/>
          <w:highlight w:val="none"/>
          <w:lang w:val="en-US" w:eastAsia="zh-CN"/>
        </w:rPr>
        <w:t>向医院</w:t>
      </w:r>
      <w:r>
        <w:rPr>
          <w:rFonts w:hint="eastAsia" w:ascii="仿宋_GB2312" w:hAnsi="仿宋_GB2312" w:eastAsia="仿宋_GB2312" w:cs="仿宋_GB2312"/>
          <w:b w:val="0"/>
          <w:bCs w:val="0"/>
          <w:color w:val="000000"/>
          <w:kern w:val="0"/>
          <w:sz w:val="28"/>
          <w:szCs w:val="28"/>
          <w:lang w:val="en-US" w:eastAsia="zh-CN"/>
        </w:rPr>
        <w:t>出具检测报告，</w:t>
      </w:r>
      <w:r>
        <w:rPr>
          <w:rFonts w:hint="eastAsia" w:ascii="仿宋_GB2312" w:hAnsi="仿宋_GB2312" w:eastAsia="仿宋_GB2312" w:cs="仿宋_GB2312"/>
          <w:b w:val="0"/>
          <w:bCs w:val="0"/>
          <w:color w:val="000000"/>
          <w:kern w:val="0"/>
          <w:sz w:val="28"/>
          <w:szCs w:val="28"/>
        </w:rPr>
        <w:t>各项技术参数符合询价文件要求和乙方投递的询价文件承诺。</w:t>
      </w:r>
    </w:p>
    <w:p>
      <w:pPr>
        <w:pStyle w:val="3"/>
        <w:pageBreakBefore w:val="0"/>
        <w:kinsoku/>
        <w:wordWrap/>
        <w:overflowPunct/>
        <w:topLinePunct w:val="0"/>
        <w:autoSpaceDE/>
        <w:autoSpaceDN/>
        <w:bidi w:val="0"/>
        <w:adjustRightInd/>
        <w:snapToGrid/>
        <w:spacing w:line="560" w:lineRule="exact"/>
        <w:ind w:left="0" w:leftChars="0" w:firstLine="560" w:firstLineChars="200"/>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4.乙方所报监测服务单价在合同履行期间不调整。如有检测不合格项目，乙方提供技术指导，并</w:t>
      </w:r>
      <w:r>
        <w:rPr>
          <w:rFonts w:hint="eastAsia" w:ascii="仿宋_GB2312" w:hAnsi="仿宋_GB2312" w:eastAsia="仿宋_GB2312" w:cs="仿宋_GB2312"/>
          <w:b w:val="0"/>
          <w:bCs w:val="0"/>
          <w:sz w:val="28"/>
          <w:szCs w:val="28"/>
          <w:highlight w:val="none"/>
        </w:rPr>
        <w:t>提供免费复检服务。</w:t>
      </w:r>
    </w:p>
    <w:p>
      <w:pPr>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kern w:val="0"/>
          <w:sz w:val="28"/>
          <w:szCs w:val="28"/>
          <w:lang w:val="en-US" w:eastAsia="zh-CN"/>
        </w:rPr>
        <w:t>5.</w:t>
      </w:r>
      <w:r>
        <w:rPr>
          <w:rFonts w:hint="eastAsia" w:ascii="仿宋_GB2312" w:hAnsi="仿宋_GB2312" w:eastAsia="仿宋_GB2312" w:cs="仿宋_GB2312"/>
          <w:b w:val="0"/>
          <w:bCs w:val="0"/>
          <w:color w:val="000000"/>
          <w:kern w:val="0"/>
          <w:sz w:val="28"/>
          <w:szCs w:val="28"/>
        </w:rPr>
        <w:t>乙方承诺，</w:t>
      </w:r>
      <w:r>
        <w:rPr>
          <w:rFonts w:hint="eastAsia" w:ascii="仿宋_GB2312" w:hAnsi="仿宋_GB2312" w:eastAsia="仿宋_GB2312" w:cs="仿宋_GB2312"/>
          <w:b w:val="0"/>
          <w:bCs w:val="0"/>
          <w:color w:val="000000"/>
          <w:kern w:val="0"/>
          <w:sz w:val="28"/>
          <w:szCs w:val="28"/>
          <w:lang w:val="en-US" w:eastAsia="zh-CN"/>
        </w:rPr>
        <w:t>所有检测样本的采集按流程、按标准严格执行</w:t>
      </w:r>
      <w:r>
        <w:rPr>
          <w:rFonts w:hint="eastAsia" w:ascii="仿宋_GB2312" w:hAnsi="仿宋_GB2312" w:eastAsia="仿宋_GB2312" w:cs="仿宋_GB2312"/>
          <w:b w:val="0"/>
          <w:bCs w:val="0"/>
          <w:color w:val="000000"/>
          <w:kern w:val="0"/>
          <w:sz w:val="28"/>
          <w:szCs w:val="28"/>
        </w:rPr>
        <w:t>，</w:t>
      </w:r>
      <w:r>
        <w:rPr>
          <w:rFonts w:hint="eastAsia" w:ascii="仿宋_GB2312" w:hAnsi="仿宋_GB2312" w:eastAsia="仿宋_GB2312" w:cs="仿宋_GB2312"/>
          <w:b w:val="0"/>
          <w:bCs w:val="0"/>
          <w:color w:val="000000"/>
          <w:kern w:val="0"/>
          <w:sz w:val="28"/>
          <w:szCs w:val="28"/>
          <w:lang w:val="en-US" w:eastAsia="zh-CN"/>
        </w:rPr>
        <w:t>在检测样本运输过程中保证不出现污染、泄露等情况</w:t>
      </w:r>
      <w:r>
        <w:rPr>
          <w:rFonts w:hint="eastAsia" w:ascii="仿宋_GB2312" w:hAnsi="仿宋_GB2312" w:eastAsia="仿宋_GB2312" w:cs="仿宋_GB2312"/>
          <w:b w:val="0"/>
          <w:bCs w:val="0"/>
          <w:color w:val="000000"/>
          <w:kern w:val="0"/>
          <w:sz w:val="28"/>
          <w:szCs w:val="28"/>
          <w:lang w:eastAsia="zh-CN"/>
        </w:rPr>
        <w:t>，</w:t>
      </w:r>
      <w:r>
        <w:rPr>
          <w:rFonts w:hint="eastAsia" w:ascii="仿宋_GB2312" w:hAnsi="仿宋_GB2312" w:eastAsia="仿宋_GB2312" w:cs="仿宋_GB2312"/>
          <w:b w:val="0"/>
          <w:bCs w:val="0"/>
          <w:color w:val="000000"/>
          <w:kern w:val="0"/>
          <w:sz w:val="28"/>
          <w:szCs w:val="28"/>
          <w:lang w:val="en-US" w:eastAsia="zh-CN"/>
        </w:rPr>
        <w:t>如出现以上情况，</w:t>
      </w:r>
      <w:r>
        <w:rPr>
          <w:rFonts w:hint="eastAsia" w:ascii="仿宋_GB2312" w:hAnsi="仿宋_GB2312" w:eastAsia="仿宋_GB2312" w:cs="仿宋_GB2312"/>
          <w:b w:val="0"/>
          <w:bCs w:val="0"/>
          <w:color w:val="000000"/>
          <w:kern w:val="0"/>
          <w:sz w:val="28"/>
          <w:szCs w:val="28"/>
        </w:rPr>
        <w:t>由乙方承担相应责任。</w:t>
      </w:r>
    </w:p>
    <w:p>
      <w:pPr>
        <w:pStyle w:val="3"/>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验收方式：按照《财政部关于进一步加强政府采购需求和履约验收管理的指导意见》（财库[2016]205号）的要求进行验收；双方如对质量要求和技术指标的约定标准有相互抵触或异议的事项，由采购方在谈判与响应文件中按质量要求和技术指标比较优胜的原则确定该项的约定标准进行验收。</w:t>
      </w:r>
      <w:bookmarkEnd w:id="7"/>
      <w:bookmarkEnd w:id="8"/>
      <w:bookmarkEnd w:id="9"/>
      <w:bookmarkEnd w:id="10"/>
      <w:bookmarkEnd w:id="11"/>
      <w:bookmarkEnd w:id="12"/>
      <w:bookmarkEnd w:id="13"/>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4BDAA"/>
    <w:multiLevelType w:val="singleLevel"/>
    <w:tmpl w:val="4F64BD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YWNhOWQzNjNiYWY0NDgyZjIzNTNhMmNiMmFlNDQifQ=="/>
    <w:docVar w:name="KSO_WPS_MARK_KEY" w:val="977c2f18-1c1e-47c5-bc72-24d9f0c33864"/>
  </w:docVars>
  <w:rsids>
    <w:rsidRoot w:val="0C620C83"/>
    <w:rsid w:val="0C620C83"/>
    <w:rsid w:val="46A83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semiHidden/>
    <w:unhideWhenUsed/>
    <w:qFormat/>
    <w:uiPriority w:val="0"/>
    <w:pPr>
      <w:ind w:firstLine="420" w:firstLineChars="200"/>
    </w:pPr>
    <w:rPr>
      <w:rFonts w:asciiTheme="minorHAnsi" w:hAnsiTheme="minorHAnsi" w:eastAsiaTheme="minorEastAsia" w:cstheme="minorBidi"/>
    </w:rPr>
  </w:style>
  <w:style w:type="paragraph" w:styleId="4">
    <w:name w:val="Body Text"/>
    <w:basedOn w:val="1"/>
    <w:next w:val="5"/>
    <w:qFormat/>
    <w:uiPriority w:val="0"/>
    <w:rPr>
      <w:rFonts w:ascii="Calibri"/>
    </w:rPr>
  </w:style>
  <w:style w:type="paragraph" w:customStyle="1" w:styleId="5">
    <w:name w:val="引用1"/>
    <w:next w:val="1"/>
    <w:qFormat/>
    <w:uiPriority w:val="99"/>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6">
    <w:name w:val="Body Text First Indent"/>
    <w:basedOn w:val="4"/>
    <w:unhideWhenUsed/>
    <w:qFormat/>
    <w:uiPriority w:val="99"/>
    <w:pPr>
      <w:ind w:firstLine="420" w:firstLineChars="100"/>
    </w:pPr>
  </w:style>
  <w:style w:type="character" w:customStyle="1" w:styleId="9">
    <w:name w:val="font11"/>
    <w:basedOn w:val="8"/>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1547</Words>
  <Characters>1659</Characters>
  <Lines>0</Lines>
  <Paragraphs>0</Paragraphs>
  <TotalTime>2</TotalTime>
  <ScaleCrop>false</ScaleCrop>
  <LinksUpToDate>false</LinksUpToDate>
  <CharactersWithSpaces>1671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2024-05-21T08:13:00Z</dcterms:created>
  <dc:creator>富顺中医院</dc:creator>
  <cp:lastModifiedBy>富顺中医院</cp:lastModifiedBy>
  <dcterms:modified xsi:type="dcterms:W3CDTF">2024-05-21T08:56:43Z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0E3E08D0848642D38DC9AD2DAED8FF14</vt:lpwstr>
  </property>
</Properties>
</file>