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autoSpaceDE/>
        <w:autoSpaceDN/>
        <w:bidi w:val="0"/>
        <w:adjustRightInd/>
        <w:snapToGrid/>
        <w:spacing w:before="0" w:after="0" w:line="560" w:lineRule="exact"/>
        <w:ind w:left="0" w:leftChars="0"/>
        <w:jc w:val="center"/>
        <w:textAlignment w:val="auto"/>
        <w:rPr>
          <w:rFonts w:hint="eastAsia" w:ascii="方正小标宋简体" w:hAnsi="方正小标宋简体" w:eastAsia="方正小标宋简体" w:cs="方正小标宋简体"/>
          <w:b w:val="0"/>
          <w:bCs w:val="0"/>
          <w:color w:val="000000"/>
          <w:sz w:val="36"/>
          <w:szCs w:val="36"/>
          <w:lang w:val="en-US" w:eastAsia="zh-CN"/>
        </w:rPr>
      </w:pPr>
      <w:bookmarkStart w:id="0" w:name="_Toc17663"/>
      <w:bookmarkStart w:id="1" w:name="_Toc24541"/>
      <w:bookmarkStart w:id="2" w:name="_Toc22364"/>
      <w:bookmarkStart w:id="3" w:name="_Toc217446094"/>
      <w:bookmarkStart w:id="4" w:name="_Toc11445"/>
      <w:bookmarkStart w:id="5" w:name="_Toc31903"/>
      <w:bookmarkStart w:id="6" w:name="_Toc13691"/>
      <w:r>
        <w:rPr>
          <w:rFonts w:hint="eastAsia" w:ascii="方正小标宋简体" w:hAnsi="方正小标宋简体" w:eastAsia="方正小标宋简体" w:cs="方正小标宋简体"/>
          <w:b w:val="0"/>
          <w:bCs w:val="0"/>
          <w:color w:val="000000"/>
          <w:sz w:val="36"/>
          <w:szCs w:val="36"/>
        </w:rPr>
        <w:t>富顺县中医医院</w:t>
      </w:r>
      <w:r>
        <w:rPr>
          <w:rFonts w:hint="eastAsia" w:ascii="方正小标宋简体" w:hAnsi="方正小标宋简体" w:eastAsia="方正小标宋简体" w:cs="方正小标宋简体"/>
          <w:b w:val="0"/>
          <w:bCs w:val="0"/>
          <w:color w:val="000000"/>
          <w:sz w:val="36"/>
          <w:szCs w:val="36"/>
          <w:lang w:val="en-US" w:eastAsia="zh-CN"/>
        </w:rPr>
        <w:t>公卫类检测采购项目</w:t>
      </w:r>
    </w:p>
    <w:p>
      <w:pPr>
        <w:pStyle w:val="3"/>
        <w:pageBreakBefore w:val="0"/>
        <w:kinsoku/>
        <w:wordWrap/>
        <w:overflowPunct/>
        <w:topLinePunct w:val="0"/>
        <w:autoSpaceDE/>
        <w:autoSpaceDN/>
        <w:bidi w:val="0"/>
        <w:adjustRightInd/>
        <w:snapToGrid/>
        <w:spacing w:before="0" w:after="0" w:line="560" w:lineRule="exact"/>
        <w:ind w:left="0" w:leftChars="0"/>
        <w:jc w:val="center"/>
        <w:textAlignment w:val="auto"/>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采购需求</w:t>
      </w:r>
      <w:bookmarkEnd w:id="0"/>
      <w:bookmarkEnd w:id="1"/>
      <w:bookmarkEnd w:id="2"/>
      <w:bookmarkEnd w:id="3"/>
      <w:bookmarkEnd w:id="4"/>
      <w:bookmarkEnd w:id="5"/>
      <w:bookmarkEnd w:id="6"/>
      <w:bookmarkStart w:id="7" w:name="_Toc217446095"/>
    </w:p>
    <w:p>
      <w:pPr>
        <w:rPr>
          <w:rFonts w:hint="eastAsia"/>
          <w:lang w:val="en-US" w:eastAsia="zh-CN"/>
        </w:rPr>
      </w:pPr>
    </w:p>
    <w:p>
      <w:pPr>
        <w:pStyle w:val="3"/>
        <w:pageBreakBefore w:val="0"/>
        <w:numPr>
          <w:ilvl w:val="0"/>
          <w:numId w:val="1"/>
        </w:numPr>
        <w:kinsoku/>
        <w:wordWrap/>
        <w:overflowPunct/>
        <w:topLinePunct w:val="0"/>
        <w:autoSpaceDE/>
        <w:autoSpaceDN/>
        <w:bidi w:val="0"/>
        <w:adjustRightInd/>
        <w:snapToGrid/>
        <w:spacing w:before="0" w:after="0" w:line="560" w:lineRule="exact"/>
        <w:jc w:val="left"/>
        <w:textAlignment w:val="auto"/>
        <w:rPr>
          <w:rFonts w:hint="eastAsia" w:ascii="黑体" w:hAnsi="黑体" w:cs="黑体"/>
          <w:b w:val="0"/>
          <w:bCs w:val="0"/>
          <w:sz w:val="28"/>
          <w:szCs w:val="28"/>
          <w:lang w:val="en-US" w:eastAsia="zh-CN"/>
        </w:rPr>
      </w:pPr>
      <w:r>
        <w:rPr>
          <w:rFonts w:hint="eastAsia" w:ascii="宋体" w:hAnsi="宋体" w:eastAsia="宋体" w:cs="宋体"/>
          <w:sz w:val="24"/>
          <w:szCs w:val="24"/>
        </w:rPr>
        <w:t>★</w:t>
      </w:r>
      <w:r>
        <w:rPr>
          <w:rFonts w:hint="eastAsia" w:ascii="黑体" w:hAnsi="黑体" w:cs="黑体"/>
          <w:b w:val="0"/>
          <w:bCs w:val="0"/>
          <w:sz w:val="28"/>
          <w:szCs w:val="28"/>
          <w:lang w:val="en-US" w:eastAsia="zh-CN"/>
        </w:rPr>
        <w:t>采购内容</w:t>
      </w:r>
    </w:p>
    <w:tbl>
      <w:tblPr>
        <w:tblStyle w:val="11"/>
        <w:tblW w:w="8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957"/>
        <w:gridCol w:w="889"/>
        <w:gridCol w:w="1085"/>
        <w:gridCol w:w="3906"/>
        <w:gridCol w:w="805"/>
        <w:gridCol w:w="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5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95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院区</w:t>
            </w:r>
          </w:p>
        </w:tc>
        <w:tc>
          <w:tcPr>
            <w:tcW w:w="88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产品名称</w:t>
            </w:r>
          </w:p>
        </w:tc>
        <w:tc>
          <w:tcPr>
            <w:tcW w:w="10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点位</w:t>
            </w:r>
          </w:p>
        </w:tc>
        <w:tc>
          <w:tcPr>
            <w:tcW w:w="390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检测项目</w:t>
            </w:r>
          </w:p>
        </w:tc>
        <w:tc>
          <w:tcPr>
            <w:tcW w:w="80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监测频次</w:t>
            </w:r>
          </w:p>
        </w:tc>
        <w:tc>
          <w:tcPr>
            <w:tcW w:w="80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1" w:hRule="atLeast"/>
        </w:trPr>
        <w:tc>
          <w:tcPr>
            <w:tcW w:w="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富达院区</w:t>
            </w:r>
          </w:p>
        </w:tc>
        <w:tc>
          <w:tcPr>
            <w:tcW w:w="88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直饮水</w:t>
            </w:r>
          </w:p>
        </w:tc>
        <w:tc>
          <w:tcPr>
            <w:tcW w:w="39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1、感官性状:(色度、浑浊度、臭和味、肉眼可见物) </w:t>
            </w:r>
            <w:r>
              <w:rPr>
                <w:rStyle w:val="29"/>
                <w:lang w:val="en-US" w:eastAsia="zh-CN" w:bidi="ar"/>
              </w:rPr>
              <w:t xml:space="preserve">                                                                                      2、细菌学指标:(细菌总数、总大肠菌群、耐热大肠菌群)                                                                    3、一般化学指标:(pH、铝、铁、锰、铜、锌、氯化物、硫酸盐、溶解性总固体、总硬度、耗氧量、挥发酚类、阴离子合成洗涤剂)                                                                                                                                                                           4、毒理学指标:(砷、镉、六价铬、铅、汞、硒、氟化物、硝酸盐氮、三氯甲烷、四氯化碳)</w:t>
            </w:r>
          </w:p>
        </w:tc>
        <w:tc>
          <w:tcPr>
            <w:tcW w:w="80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80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5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5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富达院区</w:t>
            </w:r>
          </w:p>
        </w:tc>
        <w:tc>
          <w:tcPr>
            <w:tcW w:w="889"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5"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候诊室</w:t>
            </w:r>
          </w:p>
        </w:tc>
        <w:tc>
          <w:tcPr>
            <w:tcW w:w="390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风速、二氧化碳、一氧化碳、甲醛、可吸入颗粒(PM1O)、苯、甲苯、二甲苯、空气细菌数、噪声、照度</w:t>
            </w:r>
          </w:p>
        </w:tc>
        <w:tc>
          <w:tcPr>
            <w:tcW w:w="80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80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5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5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8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微小气</w:t>
            </w:r>
          </w:p>
        </w:tc>
        <w:tc>
          <w:tcPr>
            <w:tcW w:w="3906"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0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3</w:t>
            </w:r>
          </w:p>
        </w:tc>
        <w:tc>
          <w:tcPr>
            <w:tcW w:w="9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88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二次供水</w:t>
            </w:r>
          </w:p>
        </w:tc>
        <w:tc>
          <w:tcPr>
            <w:tcW w:w="39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色度、浑浊度、臭和味、肉眼可见物、总大肠菌群，细菌总数、余氯、总硬度、氯化物、硝酸盐氮、挥发酚、氰化物、砷六价铬、铁、锰、铅、氨氮、亚硝酸盐氮、耗氧量21项 </w:t>
            </w:r>
            <w:r>
              <w:rPr>
                <w:rStyle w:val="29"/>
                <w:lang w:val="en-US" w:eastAsia="zh-CN" w:bidi="ar"/>
              </w:rPr>
              <w:t xml:space="preserve">  </w:t>
            </w:r>
          </w:p>
        </w:tc>
        <w:tc>
          <w:tcPr>
            <w:tcW w:w="8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1次/季度</w:t>
            </w:r>
          </w:p>
        </w:tc>
        <w:tc>
          <w:tcPr>
            <w:tcW w:w="80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5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4</w:t>
            </w:r>
          </w:p>
        </w:tc>
        <w:tc>
          <w:tcPr>
            <w:tcW w:w="95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889"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5"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洁净手术室</w:t>
            </w:r>
          </w:p>
        </w:tc>
        <w:tc>
          <w:tcPr>
            <w:tcW w:w="390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空气细菌浓度、尘粒计数、温度、相对湿度、静压差、噪声、换气次数、最低照度、新风量、风速、排风量、送风量</w:t>
            </w:r>
          </w:p>
        </w:tc>
        <w:tc>
          <w:tcPr>
            <w:tcW w:w="80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80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5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5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8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（百级）</w:t>
            </w:r>
          </w:p>
        </w:tc>
        <w:tc>
          <w:tcPr>
            <w:tcW w:w="3906"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0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5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5</w:t>
            </w:r>
          </w:p>
        </w:tc>
        <w:tc>
          <w:tcPr>
            <w:tcW w:w="95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889"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5"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洁净手术室</w:t>
            </w:r>
          </w:p>
        </w:tc>
        <w:tc>
          <w:tcPr>
            <w:tcW w:w="390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空气细菌浓度、尘粒计数、温度、相对湿度、静压差、噪声、换气次数、最低照度、新风量、风速、排风量、送风量</w:t>
            </w:r>
          </w:p>
        </w:tc>
        <w:tc>
          <w:tcPr>
            <w:tcW w:w="80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80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5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5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8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（千级）</w:t>
            </w:r>
          </w:p>
        </w:tc>
        <w:tc>
          <w:tcPr>
            <w:tcW w:w="3906"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0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5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6</w:t>
            </w:r>
          </w:p>
        </w:tc>
        <w:tc>
          <w:tcPr>
            <w:tcW w:w="95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889"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5"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洁净手术室</w:t>
            </w:r>
          </w:p>
        </w:tc>
        <w:tc>
          <w:tcPr>
            <w:tcW w:w="390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空气细菌浓度、尘粒计数、温度、相对湿度、静压差、噪声、换气次数、最低照度、新风量、风速、排风量、送风量</w:t>
            </w:r>
          </w:p>
        </w:tc>
        <w:tc>
          <w:tcPr>
            <w:tcW w:w="80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80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5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5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8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（万级）</w:t>
            </w:r>
          </w:p>
        </w:tc>
        <w:tc>
          <w:tcPr>
            <w:tcW w:w="3906"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0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55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7</w:t>
            </w:r>
          </w:p>
        </w:tc>
        <w:tc>
          <w:tcPr>
            <w:tcW w:w="95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889"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5"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洁净手术室</w:t>
            </w:r>
          </w:p>
        </w:tc>
        <w:tc>
          <w:tcPr>
            <w:tcW w:w="390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空气细菌浓度、尘粒计数、温度、相对湿度、静压差、噪声、换气次数、最低照度、新风量、风速、排风量、送风量</w:t>
            </w:r>
          </w:p>
        </w:tc>
        <w:tc>
          <w:tcPr>
            <w:tcW w:w="80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805"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55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5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89"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（辅助用房）</w:t>
            </w:r>
          </w:p>
        </w:tc>
        <w:tc>
          <w:tcPr>
            <w:tcW w:w="3906"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0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05"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8</w:t>
            </w:r>
          </w:p>
        </w:tc>
        <w:tc>
          <w:tcPr>
            <w:tcW w:w="9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88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病理科生物安全柜</w:t>
            </w:r>
          </w:p>
        </w:tc>
        <w:tc>
          <w:tcPr>
            <w:tcW w:w="39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静压差、尘粒计数、温度、湿度、风速、噪声、照度、空气细菌(沉降菌)</w:t>
            </w:r>
          </w:p>
        </w:tc>
        <w:tc>
          <w:tcPr>
            <w:tcW w:w="80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80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9</w:t>
            </w:r>
          </w:p>
        </w:tc>
        <w:tc>
          <w:tcPr>
            <w:tcW w:w="9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88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病理科空气检测</w:t>
            </w:r>
          </w:p>
        </w:tc>
        <w:tc>
          <w:tcPr>
            <w:tcW w:w="390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甲醛、甲苯、二甲苯</w:t>
            </w:r>
          </w:p>
        </w:tc>
        <w:tc>
          <w:tcPr>
            <w:tcW w:w="80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80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10</w:t>
            </w:r>
          </w:p>
        </w:tc>
        <w:tc>
          <w:tcPr>
            <w:tcW w:w="9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88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直饮水</w:t>
            </w:r>
          </w:p>
        </w:tc>
        <w:tc>
          <w:tcPr>
            <w:tcW w:w="39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感官性状:(色度、浑浊度、臭和味、肉眼可见物)2、细菌学指标:(细菌总数、总大肠菌群、耐热大肠菌群)3、一般化学指标:(pH、铝、铁、锰、铜、锌、氯化物、硫酸盐、溶解性总固体、总硬度、耗氧量、挥发酚类、阴离子合成洗涤剂)4、毒理学指标:(砷、镉、六价铬、铅、汞、硒、氟化物、硝酸盐氮、三氯甲烷、四氯化碳)</w:t>
            </w:r>
          </w:p>
        </w:tc>
        <w:tc>
          <w:tcPr>
            <w:tcW w:w="80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80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11</w:t>
            </w:r>
          </w:p>
        </w:tc>
        <w:tc>
          <w:tcPr>
            <w:tcW w:w="9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88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候诊室微小气</w:t>
            </w:r>
          </w:p>
        </w:tc>
        <w:tc>
          <w:tcPr>
            <w:tcW w:w="39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风速、二氧化碳、一氧化碳、甲醛、可吸入颗粒(PM1O)、苯、甲苯、二甲苯、空气细菌数、噪声、照度</w:t>
            </w:r>
          </w:p>
        </w:tc>
        <w:tc>
          <w:tcPr>
            <w:tcW w:w="80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80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12</w:t>
            </w:r>
          </w:p>
        </w:tc>
        <w:tc>
          <w:tcPr>
            <w:tcW w:w="9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88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医用织物</w:t>
            </w:r>
          </w:p>
        </w:tc>
        <w:tc>
          <w:tcPr>
            <w:tcW w:w="39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外观、细菌总数、大肠菌群、金黄色葡萄菌群、绿脓杆菌</w:t>
            </w:r>
          </w:p>
        </w:tc>
        <w:tc>
          <w:tcPr>
            <w:tcW w:w="80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1次/年</w:t>
            </w:r>
          </w:p>
        </w:tc>
        <w:tc>
          <w:tcPr>
            <w:tcW w:w="80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5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13</w:t>
            </w:r>
          </w:p>
        </w:tc>
        <w:tc>
          <w:tcPr>
            <w:tcW w:w="9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同心院区</w:t>
            </w:r>
          </w:p>
        </w:tc>
        <w:tc>
          <w:tcPr>
            <w:tcW w:w="8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集中空调通风系统监测</w:t>
            </w:r>
          </w:p>
        </w:tc>
        <w:tc>
          <w:tcPr>
            <w:tcW w:w="10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送风系统、风管内</w:t>
            </w:r>
          </w:p>
        </w:tc>
        <w:tc>
          <w:tcPr>
            <w:tcW w:w="39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风管内：积尘量、细菌总数、真菌总数；送风中：新风量、PM10、细菌总数、真菌总数、β-溶血性链球菌、嗜肺军团菌等。</w:t>
            </w:r>
          </w:p>
        </w:tc>
        <w:tc>
          <w:tcPr>
            <w:tcW w:w="8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1次/半年</w:t>
            </w:r>
          </w:p>
        </w:tc>
        <w:tc>
          <w:tcPr>
            <w:tcW w:w="80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8998"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备注：1.检测项目包括但不限于以上内容，根据最新国家及行业标准进行调整以达到相关主管部门检查要求；2.须明列每项标的的分项报价，仅报总价做无效报价处理。</w:t>
            </w:r>
          </w:p>
        </w:tc>
      </w:tr>
    </w:tbl>
    <w:p>
      <w:pPr>
        <w:numPr>
          <w:ilvl w:val="0"/>
          <w:numId w:val="0"/>
        </w:numPr>
        <w:rPr>
          <w:rFonts w:hint="eastAsia"/>
          <w:lang w:val="en-US" w:eastAsia="zh-CN"/>
        </w:rPr>
      </w:pPr>
    </w:p>
    <w:p>
      <w:pPr>
        <w:pageBreakBefore w:val="0"/>
        <w:widowControl/>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黑体" w:hAnsi="黑体" w:eastAsia="黑体" w:cs="黑体"/>
          <w:b w:val="0"/>
          <w:bCs w:val="0"/>
          <w:sz w:val="28"/>
          <w:szCs w:val="28"/>
          <w:lang w:val="en-US" w:eastAsia="zh-CN"/>
        </w:rPr>
      </w:pPr>
      <w:bookmarkStart w:id="8" w:name="_Toc2076"/>
      <w:bookmarkStart w:id="9" w:name="_Toc3120"/>
      <w:bookmarkStart w:id="10" w:name="_Toc4701"/>
      <w:bookmarkStart w:id="11" w:name="_Toc16486"/>
      <w:bookmarkStart w:id="12" w:name="_Toc1573"/>
      <w:bookmarkStart w:id="13" w:name="_Toc24400"/>
      <w:r>
        <w:rPr>
          <w:rFonts w:hint="eastAsia" w:ascii="黑体" w:hAnsi="黑体" w:eastAsia="黑体" w:cs="黑体"/>
          <w:b w:val="0"/>
          <w:bCs w:val="0"/>
          <w:sz w:val="28"/>
          <w:szCs w:val="28"/>
          <w:lang w:val="en-US" w:eastAsia="zh-CN"/>
        </w:rPr>
        <w:t>二、</w:t>
      </w:r>
      <w:r>
        <w:rPr>
          <w:rFonts w:hint="eastAsia" w:ascii="宋体" w:hAnsi="宋体" w:eastAsia="宋体" w:cs="宋体"/>
          <w:sz w:val="24"/>
          <w:szCs w:val="24"/>
        </w:rPr>
        <w:t>★</w:t>
      </w:r>
      <w:r>
        <w:rPr>
          <w:rFonts w:hint="eastAsia" w:ascii="黑体" w:hAnsi="黑体" w:eastAsia="黑体" w:cs="黑体"/>
          <w:b w:val="0"/>
          <w:bCs w:val="0"/>
          <w:sz w:val="28"/>
          <w:szCs w:val="28"/>
          <w:lang w:val="en-US" w:eastAsia="zh-CN"/>
        </w:rPr>
        <w:t>监测要求</w:t>
      </w:r>
    </w:p>
    <w:p>
      <w:pPr>
        <w:pStyle w:val="4"/>
        <w:pageBreakBefore w:val="0"/>
        <w:kinsoku/>
        <w:wordWrap/>
        <w:overflowPunct/>
        <w:topLinePunct w:val="0"/>
        <w:autoSpaceDE/>
        <w:autoSpaceDN/>
        <w:bidi w:val="0"/>
        <w:adjustRightInd/>
        <w:snapToGrid/>
        <w:spacing w:line="560" w:lineRule="exact"/>
        <w:ind w:firstLine="480"/>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监测技术服务要求：监测及评价依据按照相关国家及行业标准方法进行监测，如服务期限内，相关标准有最新改动，依据最新标准方法监测并出具报告。</w:t>
      </w:r>
      <w:r>
        <w:rPr>
          <w:rFonts w:hint="default" w:ascii="仿宋_GB2312" w:hAnsi="仿宋_GB2312" w:eastAsia="仿宋_GB2312" w:cs="仿宋_GB2312"/>
          <w:sz w:val="28"/>
          <w:szCs w:val="28"/>
          <w:highlight w:val="none"/>
          <w:lang w:eastAsia="zh-CN"/>
        </w:rPr>
        <w:t>包括但不限于以下标准：</w:t>
      </w:r>
    </w:p>
    <w:p>
      <w:pPr>
        <w:pStyle w:val="4"/>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eastAsia="zh-CN"/>
        </w:rPr>
      </w:pP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二次供水：执行《生活饮用水卫生标准》（GB 5749-2022）表1、表2及表3标准限值。</w:t>
      </w:r>
      <w:r>
        <w:rPr>
          <w:rFonts w:hint="eastAsia" w:ascii="仿宋_GB2312" w:hAnsi="仿宋_GB2312" w:eastAsia="仿宋_GB2312" w:cs="仿宋_GB2312"/>
          <w:sz w:val="28"/>
          <w:szCs w:val="28"/>
          <w:highlight w:val="none"/>
          <w:lang w:val="en-US" w:eastAsia="zh-CN"/>
        </w:rPr>
        <w:br w:type="textWrapping"/>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门诊空气及物理因素：照度、噪声、风速、可吸入颗粒物、二氧化碳、一氧化碳、细菌总数、甲醛、苯、甲苯、二甲苯执行GB 37488-2019《公共场所卫生指标及限制要求》的规定</w:t>
      </w: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br w:type="textWrapping"/>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医用织物：菌落总数、大肠菌群、金黄色葡萄球菌、绿脓杆菌、外观执行 WS／T 508-2016《医院医用织物洗涤消毒技术规范》的规定</w:t>
      </w: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br w:type="textWrapping"/>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生物安全柜：噪声、温升、下降气流流速、流入气流流速执行YY 0569-2011《11级生物安全柜》的规定</w:t>
      </w:r>
      <w:r>
        <w:rPr>
          <w:rFonts w:hint="default" w:ascii="仿宋_GB2312" w:hAnsi="仿宋_GB2312" w:eastAsia="仿宋_GB2312" w:cs="仿宋_GB2312"/>
          <w:sz w:val="28"/>
          <w:szCs w:val="28"/>
          <w:highlight w:val="none"/>
          <w:lang w:eastAsia="zh-CN"/>
        </w:rPr>
        <w:t>。</w:t>
      </w:r>
    </w:p>
    <w:p>
      <w:pPr>
        <w:pStyle w:val="4"/>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病理标本脱水室空气：甲醛、二甲苯、甲苯执行GB50325-2020《民用建筑工程室内环境污染控制标准》I类民用建筑工程的规定</w:t>
      </w: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br w:type="textWrapping"/>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手术室、无菌库房：温度、相对湿度、照度、静压差、噪声、风速、新风量、20.5um微粒数、25um微粒数、细菌浓度执行GB20333-2013《医用洁净手术部建筑技术规范》的规定。</w:t>
      </w:r>
    </w:p>
    <w:p>
      <w:pPr>
        <w:pStyle w:val="4"/>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eastAsia="zh-CN"/>
        </w:rPr>
      </w:pP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default"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集中空调通风系统</w:t>
      </w:r>
      <w:r>
        <w:rPr>
          <w:rFonts w:hint="default" w:ascii="仿宋_GB2312" w:hAnsi="仿宋_GB2312" w:eastAsia="仿宋_GB2312" w:cs="仿宋_GB2312"/>
          <w:sz w:val="28"/>
          <w:szCs w:val="28"/>
          <w:highlight w:val="none"/>
          <w:lang w:eastAsia="zh-CN"/>
        </w:rPr>
        <w:t>：执行</w:t>
      </w:r>
      <w:r>
        <w:rPr>
          <w:rFonts w:hint="eastAsia" w:ascii="仿宋_GB2312" w:hAnsi="仿宋_GB2312" w:eastAsia="仿宋_GB2312" w:cs="仿宋_GB2312"/>
          <w:sz w:val="28"/>
          <w:szCs w:val="28"/>
          <w:highlight w:val="none"/>
          <w:lang w:val="en-US" w:eastAsia="zh-CN"/>
        </w:rPr>
        <w:t>WS/T10013-2023《公共场所集中空调通风系统卫生规范》</w:t>
      </w:r>
      <w:r>
        <w:rPr>
          <w:rFonts w:hint="default" w:ascii="仿宋_GB2312" w:hAnsi="仿宋_GB2312" w:eastAsia="仿宋_GB2312" w:cs="仿宋_GB2312"/>
          <w:sz w:val="28"/>
          <w:szCs w:val="28"/>
          <w:highlight w:val="none"/>
          <w:lang w:eastAsia="zh-CN"/>
        </w:rPr>
        <w:t>的规定。</w:t>
      </w:r>
    </w:p>
    <w:p>
      <w:pPr>
        <w:pStyle w:val="4"/>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highlight w:val="none"/>
          <w:lang w:eastAsia="zh-CN"/>
        </w:rPr>
      </w:pPr>
      <w:r>
        <w:rPr>
          <w:rFonts w:hint="default" w:ascii="仿宋_GB2312" w:hAnsi="仿宋_GB2312" w:eastAsia="仿宋_GB2312" w:cs="仿宋_GB2312"/>
          <w:sz w:val="28"/>
          <w:szCs w:val="28"/>
          <w:highlight w:val="none"/>
          <w:lang w:eastAsia="zh-CN"/>
        </w:rPr>
        <w:t>2.</w:t>
      </w:r>
      <w:r>
        <w:rPr>
          <w:rFonts w:hint="eastAsia" w:ascii="仿宋_GB2312" w:hAnsi="仿宋_GB2312" w:eastAsia="仿宋_GB2312" w:cs="仿宋_GB2312"/>
          <w:sz w:val="28"/>
          <w:szCs w:val="28"/>
          <w:highlight w:val="none"/>
          <w:lang w:eastAsia="zh-CN"/>
        </w:rPr>
        <w:t>所有监测项目需</w:t>
      </w:r>
      <w:r>
        <w:rPr>
          <w:rFonts w:hint="eastAsia" w:ascii="仿宋_GB2312" w:hAnsi="仿宋_GB2312" w:eastAsia="仿宋_GB2312" w:cs="仿宋_GB2312"/>
          <w:sz w:val="28"/>
          <w:szCs w:val="28"/>
          <w:highlight w:val="none"/>
        </w:rPr>
        <w:t>供应商</w:t>
      </w:r>
      <w:r>
        <w:rPr>
          <w:rFonts w:hint="eastAsia" w:ascii="仿宋_GB2312" w:hAnsi="仿宋_GB2312" w:eastAsia="仿宋_GB2312" w:cs="仿宋_GB2312"/>
          <w:sz w:val="28"/>
          <w:szCs w:val="28"/>
          <w:highlight w:val="none"/>
          <w:lang w:eastAsia="zh-CN"/>
        </w:rPr>
        <w:t>现场取样，监测频次及时间按照医院的要求和有关规定安排。</w:t>
      </w:r>
    </w:p>
    <w:p>
      <w:pPr>
        <w:pStyle w:val="4"/>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eastAsia="zh-CN"/>
        </w:rPr>
        <w:t>4</w:t>
      </w:r>
      <w:r>
        <w:rPr>
          <w:rFonts w:hint="eastAsia" w:ascii="仿宋_GB2312" w:hAnsi="仿宋_GB2312" w:eastAsia="仿宋_GB2312" w:cs="仿宋_GB2312"/>
          <w:sz w:val="28"/>
          <w:szCs w:val="28"/>
          <w:highlight w:val="none"/>
        </w:rPr>
        <w:t>.所有监测结果均以 CMA 认证监测报告的形式呈现并符合相关部门要求，向医院提供纸质版和扫描版。</w:t>
      </w:r>
    </w:p>
    <w:p>
      <w:pPr>
        <w:pStyle w:val="10"/>
        <w:pageBreakBefore w:val="0"/>
        <w:numPr>
          <w:ilvl w:val="0"/>
          <w:numId w:val="0"/>
        </w:numPr>
        <w:kinsoku/>
        <w:wordWrap/>
        <w:overflowPunct/>
        <w:topLinePunct w:val="0"/>
        <w:autoSpaceDE/>
        <w:autoSpaceDN/>
        <w:bidi w:val="0"/>
        <w:adjustRightInd/>
        <w:snapToGrid/>
        <w:spacing w:line="560" w:lineRule="exact"/>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三、</w:t>
      </w:r>
      <w:r>
        <w:rPr>
          <w:rFonts w:hint="eastAsia" w:ascii="黑体" w:hAnsi="黑体" w:eastAsia="黑体" w:cs="黑体"/>
          <w:b w:val="0"/>
          <w:bCs w:val="0"/>
          <w:sz w:val="28"/>
          <w:szCs w:val="28"/>
        </w:rPr>
        <w:t>★</w:t>
      </w:r>
      <w:r>
        <w:rPr>
          <w:rFonts w:hint="eastAsia" w:ascii="黑体" w:hAnsi="黑体" w:eastAsia="黑体" w:cs="黑体"/>
          <w:b w:val="0"/>
          <w:bCs w:val="0"/>
          <w:sz w:val="28"/>
          <w:szCs w:val="28"/>
          <w:lang w:eastAsia="zh-CN"/>
        </w:rPr>
        <w:t>商务</w:t>
      </w:r>
      <w:r>
        <w:rPr>
          <w:rFonts w:hint="eastAsia" w:ascii="黑体" w:hAnsi="黑体" w:eastAsia="黑体" w:cs="黑体"/>
          <w:b w:val="0"/>
          <w:bCs w:val="0"/>
          <w:sz w:val="28"/>
          <w:szCs w:val="28"/>
        </w:rPr>
        <w:t>要求：</w:t>
      </w:r>
    </w:p>
    <w:p>
      <w:pPr>
        <w:pStyle w:val="4"/>
        <w:pageBreakBefore w:val="0"/>
        <w:kinsoku/>
        <w:wordWrap/>
        <w:overflowPunct/>
        <w:topLinePunct w:val="0"/>
        <w:autoSpaceDE/>
        <w:autoSpaceDN/>
        <w:bidi w:val="0"/>
        <w:adjustRightInd/>
        <w:snapToGrid/>
        <w:spacing w:line="560" w:lineRule="exact"/>
        <w:ind w:left="0" w:leftChars="0" w:firstLine="48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color w:val="000000"/>
          <w:kern w:val="0"/>
          <w:sz w:val="28"/>
          <w:szCs w:val="28"/>
        </w:rPr>
        <w:t>1.</w:t>
      </w:r>
      <w:r>
        <w:rPr>
          <w:rFonts w:hint="eastAsia" w:ascii="仿宋_GB2312" w:hAnsi="仿宋_GB2312" w:eastAsia="仿宋_GB2312" w:cs="仿宋_GB2312"/>
          <w:b w:val="0"/>
          <w:bCs w:val="0"/>
          <w:sz w:val="28"/>
          <w:szCs w:val="28"/>
          <w:highlight w:val="none"/>
          <w:lang w:val="en-US" w:eastAsia="zh-CN"/>
        </w:rPr>
        <w:t>服务地点：富顺县中医医院富达路院区、同心院区。</w:t>
      </w:r>
    </w:p>
    <w:p>
      <w:pPr>
        <w:pStyle w:val="4"/>
        <w:pageBreakBefore w:val="0"/>
        <w:kinsoku/>
        <w:wordWrap/>
        <w:overflowPunct/>
        <w:topLinePunct w:val="0"/>
        <w:autoSpaceDE/>
        <w:autoSpaceDN/>
        <w:bidi w:val="0"/>
        <w:adjustRightInd/>
        <w:snapToGrid/>
        <w:spacing w:line="560" w:lineRule="exact"/>
        <w:ind w:left="0" w:leftChars="0" w:firstLine="480"/>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2.服务时间：2024年8月1日至2025年7月31日（一年）</w:t>
      </w:r>
    </w:p>
    <w:p>
      <w:pPr>
        <w:pStyle w:val="4"/>
        <w:pageBreakBefore w:val="0"/>
        <w:kinsoku/>
        <w:wordWrap/>
        <w:overflowPunct/>
        <w:topLinePunct w:val="0"/>
        <w:autoSpaceDE/>
        <w:autoSpaceDN/>
        <w:bidi w:val="0"/>
        <w:adjustRightInd/>
        <w:snapToGrid/>
        <w:spacing w:line="560" w:lineRule="exact"/>
        <w:ind w:left="0" w:leftChars="0" w:firstLine="480"/>
        <w:textAlignment w:val="auto"/>
        <w:rPr>
          <w:rFonts w:hint="default" w:ascii="仿宋_GB2312" w:hAnsi="仿宋_GB2312" w:eastAsia="仿宋_GB2312" w:cs="仿宋_GB2312"/>
          <w:b w:val="0"/>
          <w:bCs w:val="0"/>
          <w:color w:val="000000"/>
          <w:kern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3.乙方按照甲方要求在规定时间、规定地点进行检测，</w:t>
      </w:r>
      <w:r>
        <w:rPr>
          <w:rFonts w:hint="eastAsia" w:ascii="仿宋_GB2312" w:hAnsi="仿宋_GB2312" w:eastAsia="仿宋_GB2312" w:cs="仿宋_GB2312"/>
          <w:b w:val="0"/>
          <w:bCs w:val="0"/>
          <w:sz w:val="28"/>
          <w:szCs w:val="28"/>
          <w:highlight w:val="none"/>
          <w:lang w:val="en-US" w:eastAsia="zh-CN"/>
        </w:rPr>
        <w:t>在满足正常监测工作条件的情况下，取收样后10个工作日以内，供应商</w:t>
      </w:r>
      <w:r>
        <w:rPr>
          <w:rFonts w:hint="eastAsia" w:ascii="仿宋_GB2312" w:hAnsi="仿宋_GB2312" w:eastAsia="仿宋_GB2312" w:cs="仿宋_GB2312"/>
          <w:b w:val="0"/>
          <w:bCs w:val="0"/>
          <w:color w:val="000000"/>
          <w:kern w:val="0"/>
          <w:sz w:val="28"/>
          <w:szCs w:val="28"/>
          <w:lang w:val="en-US" w:eastAsia="zh-CN"/>
        </w:rPr>
        <w:t>分类别按</w:t>
      </w:r>
      <w:bookmarkStart w:id="14" w:name="_GoBack"/>
      <w:bookmarkEnd w:id="14"/>
      <w:r>
        <w:rPr>
          <w:rFonts w:hint="eastAsia" w:ascii="仿宋_GB2312" w:hAnsi="仿宋_GB2312" w:eastAsia="仿宋_GB2312" w:cs="仿宋_GB2312"/>
          <w:b w:val="0"/>
          <w:bCs w:val="0"/>
          <w:sz w:val="28"/>
          <w:szCs w:val="28"/>
          <w:highlight w:val="none"/>
          <w:lang w:val="en-US" w:eastAsia="zh-CN"/>
        </w:rPr>
        <w:t>向医院</w:t>
      </w:r>
      <w:r>
        <w:rPr>
          <w:rFonts w:hint="eastAsia" w:ascii="仿宋_GB2312" w:hAnsi="仿宋_GB2312" w:eastAsia="仿宋_GB2312" w:cs="仿宋_GB2312"/>
          <w:b w:val="0"/>
          <w:bCs w:val="0"/>
          <w:color w:val="000000"/>
          <w:kern w:val="0"/>
          <w:sz w:val="28"/>
          <w:szCs w:val="28"/>
          <w:lang w:val="en-US" w:eastAsia="zh-CN"/>
        </w:rPr>
        <w:t>出具检测报告，</w:t>
      </w:r>
      <w:r>
        <w:rPr>
          <w:rFonts w:hint="eastAsia" w:ascii="仿宋_GB2312" w:hAnsi="仿宋_GB2312" w:eastAsia="仿宋_GB2312" w:cs="仿宋_GB2312"/>
          <w:b w:val="0"/>
          <w:bCs w:val="0"/>
          <w:color w:val="000000"/>
          <w:kern w:val="0"/>
          <w:sz w:val="28"/>
          <w:szCs w:val="28"/>
        </w:rPr>
        <w:t>各项技术参数符合询价文件要求和乙方投递的询价文件承诺。</w:t>
      </w:r>
    </w:p>
    <w:p>
      <w:pPr>
        <w:pStyle w:val="4"/>
        <w:pageBreakBefore w:val="0"/>
        <w:kinsoku/>
        <w:wordWrap/>
        <w:overflowPunct/>
        <w:topLinePunct w:val="0"/>
        <w:autoSpaceDE/>
        <w:autoSpaceDN/>
        <w:bidi w:val="0"/>
        <w:adjustRightInd/>
        <w:snapToGrid/>
        <w:spacing w:line="560" w:lineRule="exact"/>
        <w:ind w:left="0" w:leftChars="0" w:firstLine="560" w:firstLineChars="200"/>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4.乙方所报监测服务单价在合同履行期间不调整。如有检测不合格项目，乙方提供技术指导，并</w:t>
      </w:r>
      <w:r>
        <w:rPr>
          <w:rFonts w:hint="eastAsia" w:ascii="仿宋_GB2312" w:hAnsi="仿宋_GB2312" w:eastAsia="仿宋_GB2312" w:cs="仿宋_GB2312"/>
          <w:b w:val="0"/>
          <w:bCs w:val="0"/>
          <w:sz w:val="28"/>
          <w:szCs w:val="28"/>
          <w:highlight w:val="none"/>
        </w:rPr>
        <w:t>提供免费复检服务。</w:t>
      </w:r>
    </w:p>
    <w:p>
      <w:pPr>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kern w:val="0"/>
          <w:sz w:val="28"/>
          <w:szCs w:val="28"/>
          <w:lang w:val="en-US" w:eastAsia="zh-CN"/>
        </w:rPr>
        <w:t>5.</w:t>
      </w:r>
      <w:r>
        <w:rPr>
          <w:rFonts w:hint="eastAsia" w:ascii="仿宋_GB2312" w:hAnsi="仿宋_GB2312" w:eastAsia="仿宋_GB2312" w:cs="仿宋_GB2312"/>
          <w:b w:val="0"/>
          <w:bCs w:val="0"/>
          <w:color w:val="000000"/>
          <w:kern w:val="0"/>
          <w:sz w:val="28"/>
          <w:szCs w:val="28"/>
        </w:rPr>
        <w:t>乙方承诺，</w:t>
      </w:r>
      <w:r>
        <w:rPr>
          <w:rFonts w:hint="eastAsia" w:ascii="仿宋_GB2312" w:hAnsi="仿宋_GB2312" w:eastAsia="仿宋_GB2312" w:cs="仿宋_GB2312"/>
          <w:b w:val="0"/>
          <w:bCs w:val="0"/>
          <w:color w:val="000000"/>
          <w:kern w:val="0"/>
          <w:sz w:val="28"/>
          <w:szCs w:val="28"/>
          <w:lang w:val="en-US" w:eastAsia="zh-CN"/>
        </w:rPr>
        <w:t>所有检测样本的采集按流程、按标准严格执行</w:t>
      </w:r>
      <w:r>
        <w:rPr>
          <w:rFonts w:hint="eastAsia" w:ascii="仿宋_GB2312" w:hAnsi="仿宋_GB2312" w:eastAsia="仿宋_GB2312" w:cs="仿宋_GB2312"/>
          <w:b w:val="0"/>
          <w:bCs w:val="0"/>
          <w:color w:val="000000"/>
          <w:kern w:val="0"/>
          <w:sz w:val="28"/>
          <w:szCs w:val="28"/>
        </w:rPr>
        <w:t>，</w:t>
      </w:r>
      <w:r>
        <w:rPr>
          <w:rFonts w:hint="eastAsia" w:ascii="仿宋_GB2312" w:hAnsi="仿宋_GB2312" w:eastAsia="仿宋_GB2312" w:cs="仿宋_GB2312"/>
          <w:b w:val="0"/>
          <w:bCs w:val="0"/>
          <w:color w:val="000000"/>
          <w:kern w:val="0"/>
          <w:sz w:val="28"/>
          <w:szCs w:val="28"/>
          <w:lang w:val="en-US" w:eastAsia="zh-CN"/>
        </w:rPr>
        <w:t>在检测样本运输过程中保证不出现污染、泄露等情况</w:t>
      </w:r>
      <w:r>
        <w:rPr>
          <w:rFonts w:hint="eastAsia" w:ascii="仿宋_GB2312" w:hAnsi="仿宋_GB2312" w:eastAsia="仿宋_GB2312" w:cs="仿宋_GB2312"/>
          <w:b w:val="0"/>
          <w:bCs w:val="0"/>
          <w:color w:val="000000"/>
          <w:kern w:val="0"/>
          <w:sz w:val="28"/>
          <w:szCs w:val="28"/>
          <w:lang w:eastAsia="zh-CN"/>
        </w:rPr>
        <w:t>，</w:t>
      </w:r>
      <w:r>
        <w:rPr>
          <w:rFonts w:hint="eastAsia" w:ascii="仿宋_GB2312" w:hAnsi="仿宋_GB2312" w:eastAsia="仿宋_GB2312" w:cs="仿宋_GB2312"/>
          <w:b w:val="0"/>
          <w:bCs w:val="0"/>
          <w:color w:val="000000"/>
          <w:kern w:val="0"/>
          <w:sz w:val="28"/>
          <w:szCs w:val="28"/>
          <w:lang w:val="en-US" w:eastAsia="zh-CN"/>
        </w:rPr>
        <w:t>如出现以上情况，</w:t>
      </w:r>
      <w:r>
        <w:rPr>
          <w:rFonts w:hint="eastAsia" w:ascii="仿宋_GB2312" w:hAnsi="仿宋_GB2312" w:eastAsia="仿宋_GB2312" w:cs="仿宋_GB2312"/>
          <w:b w:val="0"/>
          <w:bCs w:val="0"/>
          <w:color w:val="000000"/>
          <w:kern w:val="0"/>
          <w:sz w:val="28"/>
          <w:szCs w:val="28"/>
        </w:rPr>
        <w:t>由乙方承担相应责任。</w:t>
      </w:r>
    </w:p>
    <w:p>
      <w:pPr>
        <w:pStyle w:val="4"/>
        <w:pageBreakBefore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验收方式：按照《财政部关于进一步加强政府采购需求和履约验收管理的指导意见》（财库[2016]205号）的要求进行验收；双方如对质量要求和技术指标的约定标准有相互抵触或异议的事项，由采购方在谈判与响应文件中按质量要求和技术指标比较优胜的原则确定该项的约定标准进行验收。</w:t>
      </w:r>
      <w:bookmarkEnd w:id="7"/>
      <w:bookmarkEnd w:id="8"/>
      <w:bookmarkEnd w:id="9"/>
      <w:bookmarkEnd w:id="10"/>
      <w:bookmarkEnd w:id="11"/>
      <w:bookmarkEnd w:id="12"/>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4BDAA"/>
    <w:multiLevelType w:val="singleLevel"/>
    <w:tmpl w:val="4F64BD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WNhOWQzNjNiYWY0NDgyZjIzNTNhMmNiMmFlNDQifQ=="/>
    <w:docVar w:name="KSO_WPS_MARK_KEY" w:val="cb3c0c12-8c1a-48a5-b776-fd5e1add2370"/>
  </w:docVars>
  <w:rsids>
    <w:rsidRoot w:val="0060493D"/>
    <w:rsid w:val="00070353"/>
    <w:rsid w:val="001A5570"/>
    <w:rsid w:val="001C45A8"/>
    <w:rsid w:val="0022005D"/>
    <w:rsid w:val="00260AA1"/>
    <w:rsid w:val="002717AE"/>
    <w:rsid w:val="003E7360"/>
    <w:rsid w:val="00430335"/>
    <w:rsid w:val="00437B38"/>
    <w:rsid w:val="00502679"/>
    <w:rsid w:val="005B0F9A"/>
    <w:rsid w:val="0060493D"/>
    <w:rsid w:val="0066299C"/>
    <w:rsid w:val="006B1DFC"/>
    <w:rsid w:val="00791F63"/>
    <w:rsid w:val="00852B39"/>
    <w:rsid w:val="00914A83"/>
    <w:rsid w:val="0092215F"/>
    <w:rsid w:val="00950507"/>
    <w:rsid w:val="009643CC"/>
    <w:rsid w:val="00A24BC4"/>
    <w:rsid w:val="00A95AD4"/>
    <w:rsid w:val="00B76B3D"/>
    <w:rsid w:val="00C0390F"/>
    <w:rsid w:val="00C102B1"/>
    <w:rsid w:val="00DA685C"/>
    <w:rsid w:val="00DA6E58"/>
    <w:rsid w:val="00DE3DFC"/>
    <w:rsid w:val="00DF2BF8"/>
    <w:rsid w:val="00E04538"/>
    <w:rsid w:val="00E2611C"/>
    <w:rsid w:val="00F15879"/>
    <w:rsid w:val="00FB3AE6"/>
    <w:rsid w:val="00FB7900"/>
    <w:rsid w:val="00FD743D"/>
    <w:rsid w:val="00FF2D59"/>
    <w:rsid w:val="011614C1"/>
    <w:rsid w:val="02E132C9"/>
    <w:rsid w:val="07F86735"/>
    <w:rsid w:val="0C087F9C"/>
    <w:rsid w:val="11DA3D05"/>
    <w:rsid w:val="140873FB"/>
    <w:rsid w:val="1D1A66F9"/>
    <w:rsid w:val="1D8A0330"/>
    <w:rsid w:val="2018198A"/>
    <w:rsid w:val="25C41B6B"/>
    <w:rsid w:val="29A4237F"/>
    <w:rsid w:val="2DAD00C8"/>
    <w:rsid w:val="308507BF"/>
    <w:rsid w:val="33574D5E"/>
    <w:rsid w:val="35CB616D"/>
    <w:rsid w:val="364049F9"/>
    <w:rsid w:val="370028D9"/>
    <w:rsid w:val="3803592B"/>
    <w:rsid w:val="393B3C5A"/>
    <w:rsid w:val="3B1F0857"/>
    <w:rsid w:val="3B586F42"/>
    <w:rsid w:val="3CD15B81"/>
    <w:rsid w:val="3D802641"/>
    <w:rsid w:val="40AF050F"/>
    <w:rsid w:val="42F205FF"/>
    <w:rsid w:val="4BC8377F"/>
    <w:rsid w:val="51D73CE3"/>
    <w:rsid w:val="5416184C"/>
    <w:rsid w:val="585737EB"/>
    <w:rsid w:val="5DC11295"/>
    <w:rsid w:val="60164DBF"/>
    <w:rsid w:val="62B12960"/>
    <w:rsid w:val="62BB574D"/>
    <w:rsid w:val="66587CBC"/>
    <w:rsid w:val="66786ADC"/>
    <w:rsid w:val="69290213"/>
    <w:rsid w:val="69D34437"/>
    <w:rsid w:val="6A521800"/>
    <w:rsid w:val="6D1C60F5"/>
    <w:rsid w:val="6D714693"/>
    <w:rsid w:val="6F0112ED"/>
    <w:rsid w:val="6F0C1BC9"/>
    <w:rsid w:val="6F5E155E"/>
    <w:rsid w:val="764D51CF"/>
    <w:rsid w:val="7DAE5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5"/>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6"/>
    <w:semiHidden/>
    <w:unhideWhenUsed/>
    <w:qFormat/>
    <w:uiPriority w:val="0"/>
    <w:pPr>
      <w:ind w:firstLine="420" w:firstLineChars="200"/>
    </w:pPr>
    <w:rPr>
      <w:rFonts w:asciiTheme="minorHAnsi" w:hAnsiTheme="minorHAnsi" w:eastAsiaTheme="minorEastAsia" w:cstheme="minorBidi"/>
    </w:rPr>
  </w:style>
  <w:style w:type="paragraph" w:styleId="5">
    <w:name w:val="Body Text"/>
    <w:basedOn w:val="1"/>
    <w:next w:val="6"/>
    <w:qFormat/>
    <w:uiPriority w:val="0"/>
    <w:rPr>
      <w:rFonts w:ascii="Calibri"/>
    </w:rPr>
  </w:style>
  <w:style w:type="paragraph" w:customStyle="1" w:styleId="6">
    <w:name w:val="引用1"/>
    <w:next w:val="1"/>
    <w:qFormat/>
    <w:uiPriority w:val="99"/>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Balloon Text"/>
    <w:basedOn w:val="1"/>
    <w:link w:val="26"/>
    <w:semiHidden/>
    <w:unhideWhenUsed/>
    <w:qFormat/>
    <w:uiPriority w:val="99"/>
    <w:rPr>
      <w:sz w:val="18"/>
      <w:szCs w:val="18"/>
    </w:rPr>
  </w:style>
  <w:style w:type="paragraph" w:styleId="8">
    <w:name w:val="footer"/>
    <w:basedOn w:val="1"/>
    <w:link w:val="14"/>
    <w:semiHidden/>
    <w:unhideWhenUsed/>
    <w:qFormat/>
    <w:uiPriority w:val="99"/>
    <w:pPr>
      <w:tabs>
        <w:tab w:val="center" w:pos="4153"/>
        <w:tab w:val="right" w:pos="8306"/>
      </w:tabs>
      <w:snapToGrid w:val="0"/>
      <w:jc w:val="left"/>
    </w:pPr>
    <w:rPr>
      <w:sz w:val="18"/>
      <w:szCs w:val="18"/>
    </w:rPr>
  </w:style>
  <w:style w:type="paragraph" w:styleId="9">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unhideWhenUsed/>
    <w:qFormat/>
    <w:uiPriority w:val="99"/>
    <w:pPr>
      <w:ind w:firstLine="420" w:firstLineChars="100"/>
    </w:pPr>
  </w:style>
  <w:style w:type="character" w:customStyle="1" w:styleId="13">
    <w:name w:val="页眉 Char"/>
    <w:basedOn w:val="12"/>
    <w:link w:val="9"/>
    <w:semiHidden/>
    <w:qFormat/>
    <w:uiPriority w:val="99"/>
    <w:rPr>
      <w:sz w:val="18"/>
      <w:szCs w:val="18"/>
    </w:rPr>
  </w:style>
  <w:style w:type="character" w:customStyle="1" w:styleId="14">
    <w:name w:val="页脚 Char"/>
    <w:basedOn w:val="12"/>
    <w:link w:val="8"/>
    <w:semiHidden/>
    <w:qFormat/>
    <w:uiPriority w:val="99"/>
    <w:rPr>
      <w:sz w:val="18"/>
      <w:szCs w:val="18"/>
    </w:rPr>
  </w:style>
  <w:style w:type="character" w:customStyle="1" w:styleId="15">
    <w:name w:val="标题 2 Char"/>
    <w:basedOn w:val="12"/>
    <w:link w:val="3"/>
    <w:qFormat/>
    <w:uiPriority w:val="0"/>
    <w:rPr>
      <w:rFonts w:ascii="Arial" w:hAnsi="Arial" w:eastAsia="黑体" w:cs="Times New Roman"/>
      <w:b/>
      <w:bCs/>
      <w:sz w:val="32"/>
      <w:szCs w:val="32"/>
    </w:rPr>
  </w:style>
  <w:style w:type="character" w:customStyle="1" w:styleId="16">
    <w:name w:val="正文缩进 Char"/>
    <w:link w:val="4"/>
    <w:semiHidden/>
    <w:qFormat/>
    <w:locked/>
    <w:uiPriority w:val="0"/>
    <w:rPr>
      <w:szCs w:val="24"/>
    </w:rPr>
  </w:style>
  <w:style w:type="paragraph" w:customStyle="1" w:styleId="17">
    <w:name w:val="Default"/>
    <w:basedOn w:val="1"/>
    <w:qFormat/>
    <w:uiPriority w:val="0"/>
    <w:pPr>
      <w:autoSpaceDE w:val="0"/>
      <w:autoSpaceDN w:val="0"/>
      <w:adjustRightInd w:val="0"/>
      <w:jc w:val="left"/>
    </w:pPr>
    <w:rPr>
      <w:rFonts w:ascii="Arial" w:hAnsi="Arial"/>
      <w:color w:val="000000"/>
      <w:kern w:val="0"/>
      <w:sz w:val="24"/>
    </w:rPr>
  </w:style>
  <w:style w:type="paragraph" w:customStyle="1" w:styleId="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font31"/>
    <w:basedOn w:val="12"/>
    <w:qFormat/>
    <w:uiPriority w:val="0"/>
    <w:rPr>
      <w:rFonts w:hint="default" w:ascii="Calibri" w:hAnsi="Calibri" w:cs="Calibri"/>
      <w:color w:val="000000"/>
      <w:sz w:val="22"/>
      <w:szCs w:val="22"/>
      <w:u w:val="none"/>
    </w:rPr>
  </w:style>
  <w:style w:type="character" w:customStyle="1" w:styleId="21">
    <w:name w:val="font01"/>
    <w:basedOn w:val="12"/>
    <w:qFormat/>
    <w:uiPriority w:val="0"/>
    <w:rPr>
      <w:rFonts w:hint="eastAsia" w:ascii="宋体" w:hAnsi="宋体" w:eastAsia="宋体" w:cs="宋体"/>
      <w:color w:val="000000"/>
      <w:sz w:val="22"/>
      <w:szCs w:val="22"/>
      <w:u w:val="none"/>
    </w:rPr>
  </w:style>
  <w:style w:type="character" w:customStyle="1" w:styleId="22">
    <w:name w:val="font61"/>
    <w:basedOn w:val="12"/>
    <w:qFormat/>
    <w:uiPriority w:val="0"/>
    <w:rPr>
      <w:rFonts w:hint="default" w:ascii="Calibri" w:hAnsi="Calibri" w:cs="Calibri"/>
      <w:color w:val="000000"/>
      <w:sz w:val="22"/>
      <w:szCs w:val="22"/>
      <w:u w:val="none"/>
    </w:rPr>
  </w:style>
  <w:style w:type="character" w:customStyle="1" w:styleId="23">
    <w:name w:val="font41"/>
    <w:basedOn w:val="12"/>
    <w:qFormat/>
    <w:uiPriority w:val="0"/>
    <w:rPr>
      <w:rFonts w:hint="eastAsia" w:ascii="宋体" w:hAnsi="宋体" w:eastAsia="宋体" w:cs="宋体"/>
      <w:color w:val="000000"/>
      <w:sz w:val="22"/>
      <w:szCs w:val="22"/>
      <w:u w:val="none"/>
    </w:rPr>
  </w:style>
  <w:style w:type="character" w:customStyle="1" w:styleId="24">
    <w:name w:val="font21"/>
    <w:basedOn w:val="12"/>
    <w:qFormat/>
    <w:uiPriority w:val="0"/>
    <w:rPr>
      <w:rFonts w:hint="eastAsia" w:ascii="宋体" w:hAnsi="宋体" w:eastAsia="宋体" w:cs="宋体"/>
      <w:color w:val="000000"/>
      <w:sz w:val="22"/>
      <w:szCs w:val="22"/>
      <w:u w:val="none"/>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character" w:customStyle="1" w:styleId="26">
    <w:name w:val="批注框文本 Char"/>
    <w:basedOn w:val="12"/>
    <w:link w:val="7"/>
    <w:semiHidden/>
    <w:qFormat/>
    <w:uiPriority w:val="99"/>
    <w:rPr>
      <w:kern w:val="2"/>
      <w:sz w:val="18"/>
      <w:szCs w:val="18"/>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character" w:customStyle="1" w:styleId="29">
    <w:name w:val="font11"/>
    <w:basedOn w:val="12"/>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2102</Words>
  <Characters>2245</Characters>
  <Lines>3</Lines>
  <Paragraphs>1</Paragraphs>
  <TotalTime>6</TotalTime>
  <ScaleCrop>false</ScaleCrop>
  <LinksUpToDate>false</LinksUpToDate>
  <CharactersWithSpaces>2595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2023-02-22T00:46:00Z</dcterms:created>
  <dc:creator>HP</dc:creator>
  <cp:lastModifiedBy>富顺中医院</cp:lastModifiedBy>
  <dcterms:modified xsi:type="dcterms:W3CDTF">2024-05-21T08:56:18Z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BD32A1E17EE44AB6942CDFBDE7C4EEAA</vt:lpwstr>
  </property>
</Properties>
</file>