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富</w:t>
      </w:r>
      <w:r>
        <w:rPr>
          <w:rFonts w:hint="eastAsia"/>
          <w:sz w:val="44"/>
          <w:szCs w:val="44"/>
        </w:rPr>
        <w:t>顺县中医医院</w:t>
      </w:r>
      <w:r>
        <w:rPr>
          <w:rFonts w:hint="eastAsia"/>
          <w:sz w:val="44"/>
          <w:szCs w:val="44"/>
          <w:lang w:val="en-US" w:eastAsia="zh-CN"/>
        </w:rPr>
        <w:t>病理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</w:rPr>
        <w:t>外送服务采购项目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一、技术要求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b/>
          <w:color w:val="000000"/>
          <w:sz w:val="26"/>
        </w:rPr>
        <w:t>（一）病理采购清单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病理项目清单见下表。外送项目包括但不限于表中所列项目，其增减不受服务协议的限制，而是根据采购人业务发展和临床的需求进行增减。具体项目及数量以实际病理为准。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表：病理项目清单</w:t>
      </w:r>
    </w:p>
    <w:tbl>
      <w:tblPr>
        <w:tblStyle w:val="2"/>
        <w:tblW w:w="894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8"/>
        <w:gridCol w:w="3661"/>
        <w:gridCol w:w="1294"/>
        <w:gridCol w:w="1719"/>
        <w:gridCol w:w="153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序号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项目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预计数量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单价（元）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总价（元）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1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宫颈细胞DNA定量分析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900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384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345600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2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肾脏穿刺组织检查（常规检查＋3项特殊染色＋7项免疫荧光＋电镜＋图文）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6"/>
              </w:rPr>
              <w:t>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/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/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3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345600.00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1" w:firstLineChars="10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b/>
          <w:color w:val="000000"/>
          <w:sz w:val="26"/>
        </w:rPr>
        <w:t>（二）项目要求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1、服务时间：2年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2、服务要求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（1）必须配备完善医疗冷链物流系统和信息服务体系，要保证接收、送检标本运输过程的安全，保证标本的质量。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（2）提供每周七天的上门接收标本的服务，时间为8：30至17：30。遇特殊标本可机动收取。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（3）具有规范标本接收、登记和包装流程，保证标本质量和安全，确保标本顺利和交接，方便查核。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（4）标本接收人员要通过严格培训，负责标本质量的初检、标识的核对，标本的接收登记及包装储存。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（5）必须确保及时接收、送检标本和及时</w:t>
      </w:r>
      <w:r>
        <w:rPr>
          <w:rFonts w:hint="eastAsia" w:ascii="仿宋" w:hAnsi="仿宋" w:eastAsia="仿宋" w:cs="仿宋"/>
          <w:color w:val="000000"/>
          <w:sz w:val="26"/>
          <w:lang w:eastAsia="zh-CN"/>
        </w:rPr>
        <w:t>病理</w:t>
      </w:r>
      <w:r>
        <w:rPr>
          <w:rFonts w:hint="eastAsia" w:ascii="仿宋" w:hAnsi="仿宋" w:eastAsia="仿宋" w:cs="仿宋"/>
          <w:color w:val="000000"/>
          <w:sz w:val="26"/>
        </w:rPr>
        <w:t>。标本不符合病理要求时，应及时通知重新取样。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（6）标本在送检过程中出现延迟、遗漏、丢失等情况，应有完善的应急预</w:t>
      </w:r>
      <w:r>
        <w:rPr>
          <w:rFonts w:hint="eastAsia" w:ascii="仿宋" w:hAnsi="仿宋" w:eastAsia="仿宋" w:cs="仿宋"/>
          <w:color w:val="000000"/>
          <w:sz w:val="27"/>
        </w:rPr>
        <w:t>案予以妥善解决，否则应承担相应责任。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（7）病理报告单必须由具备相应资质的病理人员签发，上级病理师或医师复核。出现因病理结果错误导致医疗纠纷等不良后果，责任由该检测单位承担。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（8）病理报告单在病理结果出具后24小时内送至医院。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（9）免费提供部分特殊检查项目需要的采样器、知情同意书、专用的患者资料登记申请单等。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3、结果查询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（1）为保证病理结果实时网络传送，实现实验室数据的汇总、储存、传输功能，可以与医院中心LIS和HIS系统对接，需符合国家信息安全有关的规定和要求。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（2）提供网上查询服务，以供随时查询进度和结果。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（3）提供电话查询服务，危急值专人电话跟进，确保患者检测信息与临床医生的畅通。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（4）医务人员可以随时调阅病理结果，须保证病人的资料的准确性和病理结果的及时性，并提供系统使用的必要培训与技术支持。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（5）按照检测项目常规报告时间提供检测结果，并能满足急诊项目的优先检测。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4、技术支持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（1）供应商为医院病理科提供病理报告系统且要与医院中心LIS和HIS系统对接。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（2）提供7x24小时远程病理会诊服务，满足病理检测工作需要，负责远程病理会诊平台的搭建，包括数字切片扫描仪、软件应用系统等，同时与医院中心LIS和HIS系统对接。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7"/>
        </w:rPr>
        <w:t>（3）拥有医学院校背景的技术支撑，能依托医学院校背景以及同一系统内的三甲医院的资源，协助开展进修培训、协助医院中心开展继续教育、学术交流活动。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color w:val="000000"/>
          <w:sz w:val="27"/>
        </w:rPr>
      </w:pPr>
      <w:r>
        <w:rPr>
          <w:rFonts w:hint="eastAsia" w:ascii="仿宋" w:hAnsi="仿宋" w:eastAsia="仿宋" w:cs="仿宋"/>
          <w:color w:val="000000"/>
          <w:sz w:val="27"/>
        </w:rPr>
        <w:t>5、设备支持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2" w:firstLineChars="200"/>
        <w:jc w:val="both"/>
        <w:textAlignment w:val="auto"/>
        <w:rPr>
          <w:rFonts w:hint="default" w:ascii="仿宋" w:hAnsi="仿宋" w:eastAsia="仿宋" w:cs="仿宋"/>
          <w:sz w:val="26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6"/>
        </w:rPr>
        <w:t>供应商需提供</w:t>
      </w:r>
      <w:r>
        <w:rPr>
          <w:rFonts w:hint="eastAsia" w:ascii="仿宋" w:hAnsi="仿宋" w:eastAsia="仿宋" w:cs="仿宋"/>
          <w:b/>
          <w:color w:val="000000"/>
          <w:sz w:val="26"/>
          <w:lang w:val="en-US" w:eastAsia="zh-CN"/>
        </w:rPr>
        <w:t>输入+输出设备（不限品牌）。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6、人员要求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所选派本项目的支持人员配备必须合理，职责明确，提供完备的服务团队，包括项目负责人等。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7、车辆要求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配备接收、送检的车辆：车辆必须配备专用车载冰箱或保温箱，冰箱或保温箱必须有相应的温度记录表等。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8、提供售后服务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设有客服专线电话，处理相关的日常咨询及售后服务工作。具有完善管理制度和服务流程以保障上门服务及时有效性，并定期选派具有病理背景的专业技术人员提供售后服务。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b/>
          <w:color w:val="000000"/>
          <w:sz w:val="26"/>
        </w:rPr>
        <w:t>二、商务要求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1、项目内容：病理检查外送服务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2、付款方式：每月结算一次，申请付款时须提供相应额度的国家正式发票。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6"/>
        </w:rPr>
      </w:pPr>
      <w:r>
        <w:rPr>
          <w:rFonts w:hint="eastAsia" w:ascii="仿宋" w:hAnsi="仿宋" w:eastAsia="仿宋" w:cs="仿宋"/>
          <w:color w:val="auto"/>
          <w:sz w:val="26"/>
          <w:lang w:val="en-US" w:eastAsia="zh-CN"/>
        </w:rPr>
        <w:t>单价以</w:t>
      </w:r>
      <w:r>
        <w:rPr>
          <w:rFonts w:hint="eastAsia" w:ascii="仿宋" w:hAnsi="仿宋" w:eastAsia="仿宋" w:cs="仿宋"/>
          <w:color w:val="auto"/>
          <w:sz w:val="26"/>
        </w:rPr>
        <w:t>《自贡市医疗服务价格（试行）》</w:t>
      </w:r>
      <w:r>
        <w:rPr>
          <w:rFonts w:hint="eastAsia" w:ascii="仿宋" w:hAnsi="仿宋" w:eastAsia="仿宋" w:cs="仿宋"/>
          <w:color w:val="auto"/>
          <w:sz w:val="26"/>
          <w:lang w:val="en-US" w:eastAsia="zh-CN"/>
        </w:rPr>
        <w:t>中的</w:t>
      </w:r>
      <w:r>
        <w:rPr>
          <w:rFonts w:hint="eastAsia" w:ascii="仿宋" w:hAnsi="仿宋" w:eastAsia="仿宋" w:cs="仿宋"/>
          <w:color w:val="auto"/>
          <w:sz w:val="26"/>
        </w:rPr>
        <w:t>规定单价为标准</w:t>
      </w:r>
      <w:r>
        <w:rPr>
          <w:rFonts w:hint="eastAsia" w:ascii="仿宋" w:hAnsi="仿宋" w:eastAsia="仿宋" w:cs="仿宋"/>
          <w:color w:val="auto"/>
          <w:sz w:val="26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6"/>
        </w:rPr>
        <w:t>如在服务期限内，物价部门调整了</w:t>
      </w:r>
      <w:r>
        <w:rPr>
          <w:rFonts w:hint="eastAsia" w:ascii="仿宋" w:hAnsi="仿宋" w:eastAsia="仿宋" w:cs="仿宋"/>
          <w:color w:val="auto"/>
          <w:sz w:val="26"/>
          <w:lang w:eastAsia="zh-CN"/>
        </w:rPr>
        <w:t>病理</w:t>
      </w:r>
      <w:r>
        <w:rPr>
          <w:rFonts w:hint="eastAsia" w:ascii="仿宋" w:hAnsi="仿宋" w:eastAsia="仿宋" w:cs="仿宋"/>
          <w:color w:val="auto"/>
          <w:sz w:val="26"/>
        </w:rPr>
        <w:t>单价时，应按照物价部门调整的</w:t>
      </w:r>
      <w:r>
        <w:rPr>
          <w:rFonts w:hint="eastAsia" w:ascii="仿宋" w:hAnsi="仿宋" w:eastAsia="仿宋" w:cs="仿宋"/>
          <w:color w:val="auto"/>
          <w:sz w:val="26"/>
          <w:lang w:eastAsia="zh-CN"/>
        </w:rPr>
        <w:t>病理</w:t>
      </w:r>
      <w:r>
        <w:rPr>
          <w:rFonts w:hint="eastAsia" w:ascii="仿宋" w:hAnsi="仿宋" w:eastAsia="仿宋" w:cs="仿宋"/>
          <w:color w:val="auto"/>
          <w:sz w:val="26"/>
        </w:rPr>
        <w:t>单价浮动比例调整结算单价。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6"/>
        </w:rPr>
      </w:pPr>
      <w:r>
        <w:rPr>
          <w:rFonts w:hint="eastAsia" w:ascii="仿宋" w:hAnsi="仿宋" w:eastAsia="仿宋" w:cs="仿宋"/>
          <w:color w:val="auto"/>
          <w:sz w:val="26"/>
          <w:lang w:val="en-US" w:eastAsia="zh-CN"/>
        </w:rPr>
        <w:t>若在</w:t>
      </w:r>
      <w:r>
        <w:rPr>
          <w:rFonts w:hint="eastAsia" w:ascii="仿宋" w:hAnsi="仿宋" w:eastAsia="仿宋" w:cs="仿宋"/>
          <w:color w:val="auto"/>
          <w:sz w:val="26"/>
        </w:rPr>
        <w:t>《自贡市医疗服务价格（试行）》规定以外的送检项目，价格由双方比质比价后共同商定。如在服务期限内，物价部门调整了</w:t>
      </w:r>
      <w:r>
        <w:rPr>
          <w:rFonts w:hint="eastAsia" w:ascii="仿宋" w:hAnsi="仿宋" w:eastAsia="仿宋" w:cs="仿宋"/>
          <w:color w:val="auto"/>
          <w:sz w:val="26"/>
          <w:lang w:eastAsia="zh-CN"/>
        </w:rPr>
        <w:t>病理</w:t>
      </w:r>
      <w:r>
        <w:rPr>
          <w:rFonts w:hint="eastAsia" w:ascii="仿宋" w:hAnsi="仿宋" w:eastAsia="仿宋" w:cs="仿宋"/>
          <w:color w:val="auto"/>
          <w:sz w:val="26"/>
        </w:rPr>
        <w:t>单价时，应按照物价部门调整的</w:t>
      </w:r>
      <w:r>
        <w:rPr>
          <w:rFonts w:hint="eastAsia" w:ascii="仿宋" w:hAnsi="仿宋" w:eastAsia="仿宋" w:cs="仿宋"/>
          <w:color w:val="auto"/>
          <w:sz w:val="26"/>
          <w:lang w:eastAsia="zh-CN"/>
        </w:rPr>
        <w:t>病理</w:t>
      </w:r>
      <w:r>
        <w:rPr>
          <w:rFonts w:hint="eastAsia" w:ascii="仿宋" w:hAnsi="仿宋" w:eastAsia="仿宋" w:cs="仿宋"/>
          <w:color w:val="auto"/>
          <w:sz w:val="26"/>
        </w:rPr>
        <w:t>单价浮动比例调整结算单价。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20" w:firstLineChars="20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</w:t>
      </w:r>
      <w:r>
        <w:rPr>
          <w:rFonts w:hint="eastAsia" w:ascii="仿宋" w:hAnsi="仿宋" w:eastAsia="仿宋" w:cs="仿宋"/>
          <w:color w:val="000000"/>
          <w:sz w:val="26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6"/>
        </w:rPr>
        <w:t>）实际服务费用＝每月实际检测项目数量x</w:t>
      </w:r>
      <w:r>
        <w:rPr>
          <w:rFonts w:hint="eastAsia" w:ascii="仿宋" w:hAnsi="仿宋" w:eastAsia="仿宋" w:cs="仿宋"/>
          <w:color w:val="000000"/>
          <w:sz w:val="26"/>
          <w:lang w:val="en-US" w:eastAsia="zh-CN"/>
        </w:rPr>
        <w:t>控制</w:t>
      </w:r>
      <w:r>
        <w:rPr>
          <w:rFonts w:hint="eastAsia" w:ascii="仿宋" w:hAnsi="仿宋" w:eastAsia="仿宋" w:cs="仿宋"/>
          <w:color w:val="000000"/>
          <w:sz w:val="26"/>
        </w:rPr>
        <w:t>单价</w:t>
      </w:r>
      <w:r>
        <w:rPr>
          <w:rFonts w:hint="eastAsia" w:ascii="仿宋" w:hAnsi="仿宋" w:eastAsia="仿宋" w:cs="仿宋"/>
          <w:color w:val="000000"/>
          <w:sz w:val="26"/>
          <w:lang w:val="en-US" w:eastAsia="zh-CN"/>
        </w:rPr>
        <w:t>/</w:t>
      </w:r>
      <w:r>
        <w:rPr>
          <w:rFonts w:hint="eastAsia" w:ascii="仿宋" w:hAnsi="仿宋" w:eastAsia="仿宋" w:cs="仿宋"/>
          <w:color w:val="000000"/>
          <w:sz w:val="26"/>
        </w:rPr>
        <w:t>（1-下浮率）。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3、服务地点：采购方指定及招标范围要求的地点。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4、价格要求：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0"/>
        <w:jc w:val="both"/>
        <w:textAlignment w:val="auto"/>
        <w:rPr>
          <w:rFonts w:hint="eastAsia" w:ascii="仿宋" w:hAnsi="仿宋" w:eastAsia="仿宋" w:cs="仿宋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（1）本项目采用整体下浮率报价，供应商对采购执行时报整体下浮率。供应商填报下浮率要求：下浮率≥0％，但报价时下浮率超过100％为无效报价；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0"/>
        <w:jc w:val="both"/>
        <w:textAlignment w:val="auto"/>
        <w:rPr>
          <w:rFonts w:hint="eastAsia" w:ascii="仿宋" w:hAnsi="仿宋" w:eastAsia="仿宋" w:cs="仿宋"/>
          <w:color w:val="000000"/>
          <w:sz w:val="26"/>
        </w:rPr>
      </w:pPr>
      <w:r>
        <w:rPr>
          <w:rFonts w:hint="eastAsia" w:ascii="仿宋" w:hAnsi="仿宋" w:eastAsia="仿宋" w:cs="仿宋"/>
          <w:color w:val="000000"/>
          <w:sz w:val="26"/>
        </w:rPr>
        <w:t>（2）必须对本项目的全部内容报价，不可有缺漏；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0"/>
        <w:jc w:val="both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color w:val="000000"/>
          <w:sz w:val="26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9"/>
        </w:rPr>
        <w:t>3）报价应为人民币含税全包价，包括：国家规定的所有税费及与项目相关的所有费用。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0"/>
        <w:jc w:val="both"/>
        <w:textAlignment w:val="auto"/>
        <w:rPr>
          <w:rFonts w:hint="eastAsia" w:ascii="仿宋" w:hAnsi="仿宋" w:eastAsia="仿宋" w:cs="仿宋"/>
          <w:color w:val="000000"/>
          <w:sz w:val="27"/>
          <w:lang w:val="en-US" w:eastAsia="zh-CN"/>
        </w:rPr>
        <w:sectPr>
          <w:headerReference r:id="rId3" w:type="default"/>
          <w:footerReference r:id="rId4" w:type="default"/>
          <w:type w:val="continuous"/>
          <w:pgSz w:w="11900" w:h="17080"/>
          <w:pgMar w:top="1440" w:right="1800" w:bottom="1440" w:left="1800" w:header="720" w:footer="360" w:gutter="0"/>
          <w:cols w:space="720" w:num="1"/>
        </w:sectPr>
      </w:pPr>
      <w:r>
        <w:rPr>
          <w:rFonts w:hint="eastAsia" w:ascii="仿宋" w:hAnsi="仿宋" w:eastAsia="仿宋" w:cs="仿宋"/>
          <w:color w:val="000000"/>
          <w:sz w:val="29"/>
        </w:rPr>
        <w:t>5、服务范围：富顺县中医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>医院。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6"/>
        </w:rPr>
        <w:sectPr>
          <w:footerReference r:id="rId5" w:type="default"/>
          <w:type w:val="continuous"/>
          <w:pgSz w:w="11900" w:h="18000"/>
          <w:pgMar w:top="1440" w:right="1800" w:bottom="1440" w:left="1800" w:header="960" w:footer="360" w:gutter="0"/>
          <w:cols w:space="720" w:num="1"/>
        </w:sectPr>
      </w:pPr>
    </w:p>
    <w:p>
      <w:pPr>
        <w:spacing w:line="264" w:lineRule="auto"/>
        <w:jc w:val="both"/>
        <w:rPr>
          <w:sz w:val="29"/>
        </w:rPr>
      </w:pPr>
    </w:p>
    <w:sectPr>
      <w:headerReference r:id="rId6" w:type="default"/>
      <w:footerReference r:id="rId7" w:type="default"/>
      <w:type w:val="continuous"/>
      <w:pgSz w:w="11900" w:h="18620"/>
      <w:pgMar w:top="1680" w:right="1680" w:bottom="2880" w:left="1680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36" w:lineRule="auto"/>
      <w:ind w:firstLine="0"/>
      <w:jc w:val="right"/>
    </w:pPr>
    <w:r>
      <w:rPr>
        <w:rFonts w:hint="eastAsia" w:ascii="Calibri" w:hAnsi="Calibri" w:eastAsia="Calibri"/>
        <w:color w:val="000000"/>
        <w:sz w:val="21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CB77B"/>
    <w:multiLevelType w:val="singleLevel"/>
    <w:tmpl w:val="3C9CB77B"/>
    <w:lvl w:ilvl="0" w:tentative="0">
      <w:start w:val="1"/>
      <w:numFmt w:val="decimal"/>
      <w:suff w:val="nothing"/>
      <w:lvlText w:val="（%1）"/>
      <w:lvlJc w:val="left"/>
      <w:pPr>
        <w:ind w:left="-5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ZDE3YmViZTg4OTEyYjE4MTU1Mzg5ZWYxYTM0ZjQifQ=="/>
  </w:docVars>
  <w:rsids>
    <w:rsidRoot w:val="00BD0BC8"/>
    <w:rsid w:val="000D6051"/>
    <w:rsid w:val="009F0BE0"/>
    <w:rsid w:val="00BA6D97"/>
    <w:rsid w:val="00BD0BC8"/>
    <w:rsid w:val="0F7A0E2B"/>
    <w:rsid w:val="102D3FA5"/>
    <w:rsid w:val="219341AA"/>
    <w:rsid w:val="32BD7F6B"/>
    <w:rsid w:val="5035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1625</Words>
  <Characters>1667</Characters>
  <TotalTime>17</TotalTime>
  <ScaleCrop>false</ScaleCrop>
  <LinksUpToDate>false</LinksUpToDate>
  <CharactersWithSpaces>1667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2024-07-12T00:39:00Z</dcterms:created>
  <dc:creator>INTSIG</dc:creator>
  <dc:description>Intsig Word Converter</dc:description>
  <cp:lastModifiedBy>烟酒高跟鞋</cp:lastModifiedBy>
  <cp:lastPrinted>2024-07-12T02:59:59Z</cp:lastPrinted>
  <dcterms:modified xsi:type="dcterms:W3CDTF">2024-07-12T03:00:40Z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045680187716453EA1E71EFC0DC53E44_13</vt:lpwstr>
  </property>
</Properties>
</file>