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C23D5">
      <w:pPr>
        <w:pStyle w:val="34"/>
        <w:spacing w:before="46" w:after="46"/>
        <w:ind w:firstLine="0" w:firstLineChars="0"/>
        <w:jc w:val="center"/>
        <w:rPr>
          <w:rFonts w:hint="eastAsia" w:ascii="仿宋" w:hAnsi="仿宋" w:eastAsia="仿宋" w:cs="仿宋"/>
          <w:b/>
          <w:sz w:val="36"/>
          <w:szCs w:val="36"/>
          <w:highlight w:val="none"/>
          <w:lang w:val="zh-CN"/>
        </w:rPr>
      </w:pPr>
      <w:bookmarkStart w:id="0" w:name="_Hlt101233737"/>
      <w:bookmarkEnd w:id="0"/>
      <w:bookmarkStart w:id="1" w:name="_Hlt101843627"/>
      <w:bookmarkEnd w:id="1"/>
    </w:p>
    <w:p w14:paraId="44A18455">
      <w:pPr>
        <w:pStyle w:val="34"/>
        <w:spacing w:before="46" w:after="46"/>
        <w:ind w:firstLine="0" w:firstLineChars="0"/>
        <w:jc w:val="center"/>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lang w:val="zh-CN"/>
        </w:rPr>
        <w:t>项目编号：SCZC-20250226</w:t>
      </w:r>
    </w:p>
    <w:p w14:paraId="1C6A69CA">
      <w:pPr>
        <w:pStyle w:val="34"/>
        <w:spacing w:before="46" w:after="46"/>
        <w:ind w:left="2409" w:hanging="2409" w:hangingChars="500"/>
        <w:jc w:val="center"/>
        <w:rPr>
          <w:rFonts w:hint="eastAsia" w:ascii="仿宋" w:hAnsi="仿宋" w:eastAsia="仿宋" w:cs="仿宋"/>
          <w:b/>
          <w:bCs/>
          <w:sz w:val="48"/>
          <w:szCs w:val="48"/>
          <w:highlight w:val="none"/>
          <w:lang w:bidi="ar"/>
        </w:rPr>
      </w:pPr>
    </w:p>
    <w:p w14:paraId="21DC9678">
      <w:pPr>
        <w:pStyle w:val="34"/>
        <w:spacing w:before="46" w:after="46"/>
        <w:ind w:firstLine="0" w:firstLineChars="0"/>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lang w:eastAsia="zh-CN"/>
        </w:rPr>
        <w:t>富顺县中医医院2025年第三批医疗耗材采购项目</w:t>
      </w:r>
      <w:r>
        <w:rPr>
          <w:rFonts w:hint="eastAsia" w:ascii="仿宋" w:hAnsi="仿宋" w:eastAsia="仿宋" w:cs="仿宋"/>
          <w:b/>
          <w:bCs/>
          <w:sz w:val="72"/>
          <w:szCs w:val="72"/>
          <w:highlight w:val="none"/>
        </w:rPr>
        <w:t xml:space="preserve"> </w:t>
      </w:r>
    </w:p>
    <w:p w14:paraId="64737B16">
      <w:pPr>
        <w:pStyle w:val="34"/>
        <w:spacing w:before="46" w:after="46"/>
        <w:ind w:firstLine="0" w:firstLineChars="0"/>
        <w:jc w:val="center"/>
        <w:rPr>
          <w:rFonts w:hint="eastAsia" w:ascii="仿宋" w:hAnsi="仿宋" w:eastAsia="仿宋" w:cs="仿宋"/>
          <w:sz w:val="72"/>
          <w:szCs w:val="72"/>
          <w:highlight w:val="none"/>
        </w:rPr>
      </w:pPr>
    </w:p>
    <w:p w14:paraId="29C26C9B">
      <w:pPr>
        <w:pStyle w:val="34"/>
        <w:spacing w:before="46" w:after="46"/>
        <w:ind w:firstLine="0" w:firstLineChars="0"/>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公开招标文件</w:t>
      </w:r>
    </w:p>
    <w:p w14:paraId="7B561B10">
      <w:pPr>
        <w:pStyle w:val="34"/>
        <w:spacing w:before="46" w:after="46"/>
        <w:ind w:firstLine="0" w:firstLineChars="0"/>
        <w:jc w:val="center"/>
        <w:rPr>
          <w:rFonts w:hint="eastAsia" w:ascii="仿宋" w:hAnsi="仿宋" w:eastAsia="仿宋" w:cs="仿宋"/>
          <w:sz w:val="96"/>
          <w:szCs w:val="96"/>
          <w:highlight w:val="none"/>
        </w:rPr>
      </w:pPr>
    </w:p>
    <w:p w14:paraId="0E08B9B1">
      <w:pPr>
        <w:pStyle w:val="34"/>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采购人：富顺县中医医院</w:t>
      </w:r>
    </w:p>
    <w:p w14:paraId="41A893E5">
      <w:pPr>
        <w:pStyle w:val="34"/>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代理机构：四川中采项目管理有限公司</w:t>
      </w:r>
    </w:p>
    <w:p w14:paraId="736D0B86">
      <w:pPr>
        <w:pStyle w:val="34"/>
        <w:spacing w:before="46" w:after="46"/>
        <w:ind w:firstLine="0" w:firstLineChars="0"/>
        <w:jc w:val="center"/>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文件编制：共同编制</w:t>
      </w:r>
    </w:p>
    <w:p w14:paraId="5A7128F3">
      <w:pPr>
        <w:pStyle w:val="34"/>
        <w:spacing w:before="46" w:after="46"/>
        <w:ind w:firstLine="0" w:firstLineChars="0"/>
        <w:rPr>
          <w:rFonts w:hint="eastAsia" w:ascii="仿宋" w:hAnsi="仿宋" w:eastAsia="仿宋" w:cs="仿宋"/>
          <w:b/>
          <w:sz w:val="32"/>
          <w:szCs w:val="32"/>
          <w:highlight w:val="none"/>
        </w:rPr>
      </w:pPr>
    </w:p>
    <w:p w14:paraId="18D4107E">
      <w:pPr>
        <w:pStyle w:val="34"/>
        <w:spacing w:before="46" w:after="46"/>
        <w:ind w:firstLine="640"/>
        <w:rPr>
          <w:rFonts w:hint="eastAsia" w:ascii="仿宋" w:hAnsi="仿宋" w:eastAsia="仿宋" w:cs="仿宋"/>
          <w:sz w:val="32"/>
          <w:szCs w:val="32"/>
          <w:highlight w:val="none"/>
        </w:rPr>
      </w:pPr>
    </w:p>
    <w:p w14:paraId="0D09FC10">
      <w:pPr>
        <w:pStyle w:val="34"/>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中国·四川·自贡</w:t>
      </w:r>
    </w:p>
    <w:p w14:paraId="3441531A">
      <w:pPr>
        <w:pStyle w:val="34"/>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eastAsia="zh-CN"/>
        </w:rPr>
        <w:t>五</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eastAsia="zh-CN"/>
        </w:rPr>
        <w:t>三</w:t>
      </w:r>
      <w:r>
        <w:rPr>
          <w:rFonts w:hint="eastAsia" w:ascii="仿宋" w:hAnsi="仿宋" w:eastAsia="仿宋" w:cs="仿宋"/>
          <w:b/>
          <w:sz w:val="32"/>
          <w:szCs w:val="32"/>
          <w:highlight w:val="none"/>
        </w:rPr>
        <w:t>月</w:t>
      </w:r>
    </w:p>
    <w:p w14:paraId="649902A4">
      <w:pPr>
        <w:pStyle w:val="34"/>
        <w:spacing w:before="46" w:after="46"/>
        <w:ind w:firstLine="640"/>
        <w:jc w:val="center"/>
        <w:rPr>
          <w:rFonts w:hint="eastAsia" w:ascii="仿宋" w:hAnsi="仿宋" w:eastAsia="仿宋" w:cs="仿宋"/>
          <w:sz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134" w:header="851" w:footer="992" w:gutter="0"/>
          <w:pgNumType w:start="1"/>
          <w:cols w:space="0" w:num="1"/>
          <w:titlePg/>
          <w:docGrid w:type="lines" w:linePitch="312" w:charSpace="0"/>
        </w:sectPr>
      </w:pPr>
    </w:p>
    <w:p w14:paraId="7AD4C5F1">
      <w:pPr>
        <w:spacing w:line="360" w:lineRule="auto"/>
        <w:rPr>
          <w:rFonts w:hint="eastAsia" w:ascii="仿宋" w:hAnsi="仿宋" w:eastAsia="仿宋" w:cs="仿宋"/>
          <w:b/>
          <w:bCs/>
          <w:sz w:val="24"/>
          <w:szCs w:val="24"/>
          <w:highlight w:val="none"/>
        </w:rPr>
      </w:pPr>
    </w:p>
    <w:p w14:paraId="7BE420D7">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    录</w:t>
      </w:r>
    </w:p>
    <w:p w14:paraId="6811D07B">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第一章  投标邀请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20B481D">
      <w:pPr>
        <w:rPr>
          <w:rFonts w:hint="eastAsia"/>
        </w:rPr>
      </w:pPr>
    </w:p>
    <w:p w14:paraId="2FF6C32B">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"_Toc20133"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_Toc20133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19E8095">
      <w:pPr>
        <w:pStyle w:val="18"/>
        <w:tabs>
          <w:tab w:val="right" w:leader="dot" w:pos="9582"/>
        </w:tabs>
        <w:spacing w:line="360" w:lineRule="auto"/>
        <w:ind w:left="680"/>
        <w:rPr>
          <w:rFonts w:hint="eastAsia" w:ascii="仿宋" w:hAnsi="仿宋" w:eastAsia="仿宋" w:cs="仿宋"/>
          <w:sz w:val="24"/>
          <w:szCs w:val="24"/>
          <w:highlight w:val="none"/>
        </w:rPr>
      </w:pPr>
    </w:p>
    <w:p w14:paraId="4F17D9E8">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"_Toc13625"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第三章  投标人资格条件要求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3662783">
      <w:pPr>
        <w:pStyle w:val="18"/>
        <w:tabs>
          <w:tab w:val="right" w:leader="dot" w:pos="9582"/>
        </w:tabs>
        <w:spacing w:line="360" w:lineRule="auto"/>
        <w:ind w:left="680"/>
        <w:rPr>
          <w:rFonts w:hint="eastAsia" w:ascii="仿宋" w:hAnsi="仿宋" w:eastAsia="仿宋" w:cs="仿宋"/>
          <w:sz w:val="24"/>
          <w:szCs w:val="24"/>
          <w:highlight w:val="none"/>
        </w:rPr>
      </w:pPr>
    </w:p>
    <w:p w14:paraId="72421866">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"_Toc8105"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第四章  投标人资格证明材料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4EEFB76">
      <w:pPr>
        <w:rPr>
          <w:rFonts w:hint="eastAsia"/>
        </w:rPr>
      </w:pPr>
    </w:p>
    <w:p w14:paraId="3279D149">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"_Toc30908"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第五章 招标项目技术、服务、采购合同内容条款及其他商务要求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_Toc30908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6B43523">
      <w:pPr>
        <w:pStyle w:val="18"/>
        <w:tabs>
          <w:tab w:val="right" w:leader="dot" w:pos="9582"/>
        </w:tabs>
        <w:spacing w:line="360" w:lineRule="auto"/>
        <w:ind w:left="680"/>
        <w:rPr>
          <w:rFonts w:hint="eastAsia" w:ascii="仿宋" w:hAnsi="仿宋" w:eastAsia="仿宋" w:cs="仿宋"/>
          <w:sz w:val="24"/>
          <w:szCs w:val="24"/>
          <w:highlight w:val="none"/>
        </w:rPr>
      </w:pPr>
    </w:p>
    <w:p w14:paraId="5E4F638C">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bCs/>
          <w:sz w:val="24"/>
          <w:szCs w:val="24"/>
          <w:highlight w:val="none"/>
        </w:rPr>
        <w:t>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96FB161">
      <w:pPr>
        <w:pStyle w:val="18"/>
        <w:tabs>
          <w:tab w:val="right" w:leader="dot" w:pos="9582"/>
        </w:tabs>
        <w:spacing w:line="360" w:lineRule="auto"/>
        <w:ind w:left="680"/>
        <w:rPr>
          <w:rFonts w:hint="eastAsia" w:ascii="仿宋" w:hAnsi="仿宋" w:eastAsia="仿宋" w:cs="仿宋"/>
          <w:sz w:val="24"/>
          <w:szCs w:val="24"/>
          <w:highlight w:val="none"/>
        </w:rPr>
      </w:pPr>
    </w:p>
    <w:p w14:paraId="70C28CFF">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"_Toc8851"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第七章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40B5272">
      <w:pPr>
        <w:pStyle w:val="18"/>
        <w:tabs>
          <w:tab w:val="right" w:leader="dot" w:pos="9582"/>
        </w:tabs>
        <w:spacing w:line="360" w:lineRule="auto"/>
        <w:ind w:left="680"/>
        <w:rPr>
          <w:rFonts w:hint="eastAsia" w:ascii="仿宋" w:hAnsi="仿宋" w:eastAsia="仿宋" w:cs="仿宋"/>
          <w:sz w:val="24"/>
          <w:szCs w:val="24"/>
          <w:highlight w:val="none"/>
        </w:rPr>
      </w:pPr>
    </w:p>
    <w:p w14:paraId="1AB3AB67">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第八章  采购合同（草案）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C5D8BA4">
      <w:pPr>
        <w:rPr>
          <w:rFonts w:hint="eastAsia"/>
        </w:rPr>
      </w:pPr>
    </w:p>
    <w:p w14:paraId="45A721CA">
      <w:pPr>
        <w:pStyle w:val="16"/>
        <w:tabs>
          <w:tab w:val="right" w:leader="dot" w:pos="9582"/>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"_Toc28817" </w:instrText>
      </w:r>
      <w:r>
        <w:rPr>
          <w:rFonts w:hint="eastAsia" w:ascii="仿宋" w:hAnsi="仿宋" w:eastAsia="仿宋" w:cs="仿宋"/>
          <w:highlight w:val="none"/>
        </w:rPr>
        <w:fldChar w:fldCharType="separate"/>
      </w:r>
      <w:r>
        <w:rPr>
          <w:rFonts w:hint="eastAsia" w:ascii="仿宋" w:hAnsi="仿宋" w:eastAsia="仿宋" w:cs="仿宋"/>
          <w:bCs/>
          <w:sz w:val="24"/>
          <w:szCs w:val="24"/>
          <w:highlight w:val="none"/>
        </w:rPr>
        <w:t>第九章 附件</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14:paraId="57BF59D8">
      <w:pPr>
        <w:pStyle w:val="18"/>
        <w:tabs>
          <w:tab w:val="right" w:leader="dot" w:pos="9582"/>
        </w:tabs>
        <w:spacing w:line="360" w:lineRule="auto"/>
        <w:ind w:left="680"/>
        <w:rPr>
          <w:rFonts w:hint="eastAsia" w:ascii="仿宋" w:hAnsi="仿宋" w:eastAsia="仿宋" w:cs="仿宋"/>
          <w:sz w:val="24"/>
          <w:szCs w:val="24"/>
          <w:highlight w:val="none"/>
        </w:rPr>
      </w:pPr>
    </w:p>
    <w:p w14:paraId="27AAE75D">
      <w:pPr>
        <w:spacing w:line="360" w:lineRule="auto"/>
        <w:ind w:firstLine="480" w:firstLineChars="200"/>
        <w:rPr>
          <w:rFonts w:hint="eastAsia" w:ascii="仿宋" w:hAnsi="仿宋" w:eastAsia="仿宋" w:cs="仿宋"/>
          <w:bCs/>
          <w:sz w:val="24"/>
          <w:szCs w:val="24"/>
          <w:highlight w:val="none"/>
        </w:rPr>
        <w:sectPr>
          <w:footerReference r:id="rId11" w:type="first"/>
          <w:headerReference r:id="rId9" w:type="default"/>
          <w:footerReference r:id="rId10" w:type="default"/>
          <w:pgSz w:w="11850" w:h="16783"/>
          <w:pgMar w:top="1417" w:right="1134" w:bottom="1417" w:left="1134" w:header="851" w:footer="992" w:gutter="0"/>
          <w:pgNumType w:start="1"/>
          <w:cols w:space="0" w:num="1"/>
          <w:titlePg/>
          <w:docGrid w:type="linesAndChars" w:linePitch="312" w:charSpace="0"/>
        </w:sectPr>
      </w:pPr>
      <w:r>
        <w:rPr>
          <w:rFonts w:hint="eastAsia" w:ascii="仿宋" w:hAnsi="仿宋" w:eastAsia="仿宋" w:cs="仿宋"/>
          <w:sz w:val="24"/>
          <w:szCs w:val="24"/>
          <w:highlight w:val="none"/>
        </w:rPr>
        <w:fldChar w:fldCharType="end"/>
      </w:r>
    </w:p>
    <w:p w14:paraId="0BA85BFA">
      <w:pPr>
        <w:pStyle w:val="4"/>
        <w:keepNext w:val="0"/>
        <w:keepLines w:val="0"/>
        <w:spacing w:line="360" w:lineRule="auto"/>
        <w:jc w:val="center"/>
        <w:rPr>
          <w:rFonts w:hint="eastAsia" w:ascii="仿宋" w:hAnsi="仿宋" w:eastAsia="仿宋" w:cs="仿宋"/>
          <w:bCs w:val="0"/>
          <w:sz w:val="36"/>
          <w:szCs w:val="36"/>
          <w:highlight w:val="none"/>
        </w:rPr>
      </w:pPr>
      <w:bookmarkStart w:id="2" w:name="_Toc22921"/>
      <w:r>
        <w:rPr>
          <w:rFonts w:hint="eastAsia" w:ascii="仿宋" w:hAnsi="仿宋" w:eastAsia="仿宋" w:cs="仿宋"/>
          <w:bCs w:val="0"/>
          <w:sz w:val="36"/>
          <w:szCs w:val="36"/>
          <w:highlight w:val="none"/>
        </w:rPr>
        <w:t>第一章  投标邀请</w:t>
      </w:r>
      <w:bookmarkEnd w:id="2"/>
    </w:p>
    <w:p w14:paraId="341E51EC">
      <w:pPr>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eastAsia="zh-CN"/>
        </w:rPr>
        <w:t>四川中采项目管理有限公司</w:t>
      </w:r>
      <w:r>
        <w:rPr>
          <w:rFonts w:hint="eastAsia" w:ascii="仿宋" w:hAnsi="仿宋" w:eastAsia="仿宋" w:cs="仿宋"/>
          <w:kern w:val="2"/>
          <w:sz w:val="24"/>
          <w:szCs w:val="24"/>
          <w:highlight w:val="none"/>
        </w:rPr>
        <w:t>受</w:t>
      </w:r>
      <w:r>
        <w:rPr>
          <w:rFonts w:hint="eastAsia" w:ascii="仿宋" w:hAnsi="仿宋" w:eastAsia="仿宋" w:cs="仿宋"/>
          <w:kern w:val="2"/>
          <w:sz w:val="24"/>
          <w:szCs w:val="24"/>
          <w:highlight w:val="none"/>
          <w:u w:val="single"/>
        </w:rPr>
        <w:t>富顺县中医医院</w:t>
      </w:r>
      <w:r>
        <w:rPr>
          <w:rFonts w:hint="eastAsia" w:ascii="仿宋" w:hAnsi="仿宋" w:eastAsia="仿宋" w:cs="仿宋"/>
          <w:kern w:val="2"/>
          <w:sz w:val="24"/>
          <w:szCs w:val="24"/>
          <w:highlight w:val="none"/>
        </w:rPr>
        <w:t>委托，拟对</w:t>
      </w:r>
      <w:r>
        <w:rPr>
          <w:rFonts w:hint="eastAsia" w:ascii="仿宋" w:hAnsi="仿宋" w:eastAsia="仿宋" w:cs="仿宋"/>
          <w:kern w:val="2"/>
          <w:sz w:val="24"/>
          <w:szCs w:val="24"/>
          <w:highlight w:val="none"/>
          <w:u w:val="single"/>
          <w:lang w:eastAsia="zh-CN"/>
        </w:rPr>
        <w:t>富顺县中医医院2025年第三批医疗耗材采购项目</w:t>
      </w:r>
      <w:r>
        <w:rPr>
          <w:rFonts w:hint="eastAsia" w:ascii="仿宋" w:hAnsi="仿宋" w:eastAsia="仿宋" w:cs="仿宋"/>
          <w:kern w:val="2"/>
          <w:sz w:val="24"/>
          <w:szCs w:val="24"/>
          <w:highlight w:val="none"/>
        </w:rPr>
        <w:t>进行公开招标，兹邀请符合本次招标要求的投标人参加投标。</w:t>
      </w:r>
    </w:p>
    <w:p w14:paraId="646B2538">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14:paraId="245B212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1.招标编号：</w:t>
      </w:r>
      <w:r>
        <w:rPr>
          <w:rFonts w:hint="eastAsia" w:ascii="仿宋" w:hAnsi="仿宋" w:eastAsia="仿宋" w:cs="仿宋"/>
          <w:sz w:val="24"/>
          <w:szCs w:val="24"/>
          <w:highlight w:val="none"/>
          <w:lang w:val="zh-CN"/>
        </w:rPr>
        <w:t>SCZC-20250226</w:t>
      </w:r>
      <w:r>
        <w:rPr>
          <w:rFonts w:hint="eastAsia" w:ascii="仿宋" w:hAnsi="仿宋" w:eastAsia="仿宋" w:cs="仿宋"/>
          <w:sz w:val="24"/>
          <w:szCs w:val="24"/>
          <w:highlight w:val="none"/>
        </w:rPr>
        <w:t>。</w:t>
      </w:r>
    </w:p>
    <w:p w14:paraId="66B212B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2.招标项目名称：</w:t>
      </w:r>
      <w:bookmarkStart w:id="3" w:name="OLE_LINK3"/>
      <w:r>
        <w:rPr>
          <w:rFonts w:hint="eastAsia" w:ascii="仿宋" w:hAnsi="仿宋" w:eastAsia="仿宋" w:cs="仿宋"/>
          <w:sz w:val="24"/>
          <w:szCs w:val="24"/>
          <w:highlight w:val="none"/>
          <w:lang w:eastAsia="zh-CN"/>
        </w:rPr>
        <w:t>富顺县中医医院2025年第三批医疗耗材采购项目</w:t>
      </w:r>
      <w:bookmarkEnd w:id="3"/>
      <w:r>
        <w:rPr>
          <w:rFonts w:hint="eastAsia" w:ascii="仿宋" w:hAnsi="仿宋" w:eastAsia="仿宋" w:cs="仿宋"/>
          <w:sz w:val="24"/>
          <w:szCs w:val="24"/>
          <w:highlight w:val="none"/>
        </w:rPr>
        <w:t>。</w:t>
      </w:r>
    </w:p>
    <w:p w14:paraId="7E795C00">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3.预算金额：</w:t>
      </w:r>
      <w:bookmarkStart w:id="4" w:name="OLE_LINK13"/>
      <w:r>
        <w:rPr>
          <w:rFonts w:hint="eastAsia" w:ascii="仿宋" w:hAnsi="仿宋" w:eastAsia="仿宋" w:cs="仿宋"/>
          <w:sz w:val="24"/>
          <w:szCs w:val="24"/>
          <w:highlight w:val="none"/>
          <w:lang w:val="en-US" w:eastAsia="zh-CN"/>
        </w:rPr>
        <w:t>1383943.52元（大写：壹佰叁拾捌万叁仟玖佰肆拾叁元伍角贰分）</w:t>
      </w:r>
    </w:p>
    <w:bookmarkEnd w:id="4"/>
    <w:p w14:paraId="6CF1768F">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w:t>
      </w:r>
      <w:bookmarkStart w:id="5" w:name="OLE_LINK10"/>
      <w:r>
        <w:rPr>
          <w:rFonts w:hint="eastAsia" w:ascii="仿宋" w:hAnsi="仿宋" w:eastAsia="仿宋" w:cs="仿宋"/>
          <w:sz w:val="24"/>
          <w:szCs w:val="24"/>
          <w:highlight w:val="none"/>
          <w:lang w:val="en-US" w:eastAsia="zh-CN"/>
        </w:rPr>
        <w:t>第一包：</w:t>
      </w:r>
      <w:bookmarkStart w:id="6" w:name="OLE_LINK5"/>
      <w:r>
        <w:rPr>
          <w:rFonts w:hint="eastAsia" w:ascii="仿宋" w:hAnsi="仿宋" w:eastAsia="仿宋" w:cs="仿宋"/>
          <w:sz w:val="24"/>
          <w:szCs w:val="24"/>
          <w:highlight w:val="none"/>
          <w:lang w:val="en-US" w:eastAsia="zh-CN"/>
        </w:rPr>
        <w:t>200526.00</w:t>
      </w:r>
      <w:bookmarkEnd w:id="6"/>
      <w:r>
        <w:rPr>
          <w:rFonts w:hint="eastAsia" w:ascii="仿宋" w:hAnsi="仿宋" w:eastAsia="仿宋" w:cs="仿宋"/>
          <w:sz w:val="24"/>
          <w:szCs w:val="24"/>
          <w:highlight w:val="none"/>
          <w:lang w:val="en-US" w:eastAsia="zh-CN"/>
        </w:rPr>
        <w:t>元（大写：贰拾万零伍佰贰拾陆元整）；</w:t>
      </w:r>
    </w:p>
    <w:p w14:paraId="01947C89">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第二包：</w:t>
      </w:r>
      <w:bookmarkStart w:id="7" w:name="OLE_LINK2"/>
      <w:r>
        <w:rPr>
          <w:rFonts w:hint="eastAsia" w:ascii="仿宋" w:hAnsi="仿宋" w:eastAsia="仿宋" w:cs="仿宋"/>
          <w:sz w:val="24"/>
          <w:szCs w:val="24"/>
          <w:highlight w:val="none"/>
          <w:lang w:val="en-US" w:eastAsia="zh-CN"/>
        </w:rPr>
        <w:t>108000.00</w:t>
      </w:r>
      <w:bookmarkEnd w:id="7"/>
      <w:r>
        <w:rPr>
          <w:rFonts w:hint="eastAsia" w:ascii="仿宋" w:hAnsi="仿宋" w:eastAsia="仿宋" w:cs="仿宋"/>
          <w:sz w:val="24"/>
          <w:szCs w:val="24"/>
          <w:highlight w:val="none"/>
          <w:lang w:val="en-US" w:eastAsia="zh-CN"/>
        </w:rPr>
        <w:t>元（大写：壹拾万零捌仟元整）；</w:t>
      </w:r>
    </w:p>
    <w:p w14:paraId="0E07C877">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第三包：</w:t>
      </w:r>
      <w:bookmarkStart w:id="8" w:name="OLE_LINK4"/>
      <w:r>
        <w:rPr>
          <w:rFonts w:hint="eastAsia" w:ascii="仿宋" w:hAnsi="仿宋" w:eastAsia="仿宋" w:cs="仿宋"/>
          <w:sz w:val="24"/>
          <w:szCs w:val="24"/>
          <w:highlight w:val="none"/>
          <w:lang w:val="en-US" w:eastAsia="zh-CN"/>
        </w:rPr>
        <w:t>105168.00</w:t>
      </w:r>
      <w:bookmarkEnd w:id="8"/>
      <w:r>
        <w:rPr>
          <w:rFonts w:hint="eastAsia" w:ascii="仿宋" w:hAnsi="仿宋" w:eastAsia="仿宋" w:cs="仿宋"/>
          <w:sz w:val="24"/>
          <w:szCs w:val="24"/>
          <w:highlight w:val="none"/>
          <w:lang w:val="en-US" w:eastAsia="zh-CN"/>
        </w:rPr>
        <w:t>元（大写：壹拾万零伍仟壹佰陆拾捌元整）；</w:t>
      </w:r>
    </w:p>
    <w:p w14:paraId="4CDC7258">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第四包：</w:t>
      </w:r>
      <w:bookmarkStart w:id="9" w:name="OLE_LINK6"/>
      <w:r>
        <w:rPr>
          <w:rFonts w:hint="eastAsia" w:ascii="仿宋" w:hAnsi="仿宋" w:eastAsia="仿宋" w:cs="仿宋"/>
          <w:sz w:val="24"/>
          <w:szCs w:val="24"/>
          <w:highlight w:val="none"/>
          <w:lang w:val="en-US" w:eastAsia="zh-CN"/>
        </w:rPr>
        <w:t>139294.28</w:t>
      </w:r>
      <w:bookmarkEnd w:id="9"/>
      <w:r>
        <w:rPr>
          <w:rFonts w:hint="eastAsia" w:ascii="仿宋" w:hAnsi="仿宋" w:eastAsia="仿宋" w:cs="仿宋"/>
          <w:sz w:val="24"/>
          <w:szCs w:val="24"/>
          <w:highlight w:val="none"/>
          <w:lang w:val="en-US" w:eastAsia="zh-CN"/>
        </w:rPr>
        <w:t>元（大写：壹拾叁万玖仟贰佰玖拾肆元贰角捌分）；</w:t>
      </w:r>
    </w:p>
    <w:p w14:paraId="0E49421C">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第五包：</w:t>
      </w:r>
      <w:bookmarkStart w:id="10" w:name="OLE_LINK7"/>
      <w:r>
        <w:rPr>
          <w:rFonts w:hint="eastAsia" w:ascii="仿宋" w:hAnsi="仿宋" w:eastAsia="仿宋" w:cs="仿宋"/>
          <w:sz w:val="24"/>
          <w:szCs w:val="24"/>
          <w:highlight w:val="none"/>
          <w:lang w:val="en-US" w:eastAsia="zh-CN"/>
        </w:rPr>
        <w:t>188212.00</w:t>
      </w:r>
      <w:bookmarkEnd w:id="10"/>
      <w:r>
        <w:rPr>
          <w:rFonts w:hint="eastAsia" w:ascii="仿宋" w:hAnsi="仿宋" w:eastAsia="仿宋" w:cs="仿宋"/>
          <w:sz w:val="24"/>
          <w:szCs w:val="24"/>
          <w:highlight w:val="none"/>
          <w:lang w:val="en-US" w:eastAsia="zh-CN"/>
        </w:rPr>
        <w:t>元（大写：壹拾捌万捌仟贰佰壹拾贰元整）；</w:t>
      </w:r>
    </w:p>
    <w:p w14:paraId="0E3EEED6">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第六包：</w:t>
      </w:r>
      <w:bookmarkStart w:id="11" w:name="OLE_LINK8"/>
      <w:r>
        <w:rPr>
          <w:rFonts w:hint="eastAsia" w:ascii="仿宋" w:hAnsi="仿宋" w:eastAsia="仿宋" w:cs="仿宋"/>
          <w:sz w:val="24"/>
          <w:szCs w:val="24"/>
          <w:highlight w:val="none"/>
          <w:lang w:val="en-US" w:eastAsia="zh-CN"/>
        </w:rPr>
        <w:t>120864.00</w:t>
      </w:r>
      <w:bookmarkEnd w:id="11"/>
      <w:r>
        <w:rPr>
          <w:rFonts w:hint="eastAsia" w:ascii="仿宋" w:hAnsi="仿宋" w:eastAsia="仿宋" w:cs="仿宋"/>
          <w:sz w:val="24"/>
          <w:szCs w:val="24"/>
          <w:highlight w:val="none"/>
          <w:lang w:val="en-US" w:eastAsia="zh-CN"/>
        </w:rPr>
        <w:t>元（大写：壹拾贰万零捌佰陆拾肆元整）；</w:t>
      </w:r>
    </w:p>
    <w:p w14:paraId="5F9FA885">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第七包：</w:t>
      </w:r>
      <w:bookmarkStart w:id="12" w:name="OLE_LINK9"/>
      <w:r>
        <w:rPr>
          <w:rFonts w:hint="eastAsia" w:ascii="仿宋" w:hAnsi="仿宋" w:eastAsia="仿宋" w:cs="仿宋"/>
          <w:sz w:val="24"/>
          <w:szCs w:val="24"/>
          <w:highlight w:val="none"/>
          <w:lang w:val="en-US" w:eastAsia="zh-CN"/>
        </w:rPr>
        <w:t>521879.24</w:t>
      </w:r>
      <w:bookmarkEnd w:id="12"/>
      <w:r>
        <w:rPr>
          <w:rFonts w:hint="eastAsia" w:ascii="仿宋" w:hAnsi="仿宋" w:eastAsia="仿宋" w:cs="仿宋"/>
          <w:sz w:val="24"/>
          <w:szCs w:val="24"/>
          <w:highlight w:val="none"/>
          <w:lang w:val="en-US" w:eastAsia="zh-CN"/>
        </w:rPr>
        <w:t>元（大写：伍拾贰万壹仟捌佰柒拾玖元贰角肆分）</w:t>
      </w:r>
      <w:bookmarkEnd w:id="5"/>
      <w:r>
        <w:rPr>
          <w:rFonts w:hint="eastAsia" w:ascii="仿宋" w:hAnsi="仿宋" w:eastAsia="仿宋" w:cs="仿宋"/>
          <w:sz w:val="24"/>
          <w:szCs w:val="24"/>
          <w:highlight w:val="none"/>
          <w:lang w:val="en-US" w:eastAsia="zh-CN"/>
        </w:rPr>
        <w:t>。</w:t>
      </w:r>
    </w:p>
    <w:p w14:paraId="1EE54B4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4.采购人：富顺县中医医院。</w:t>
      </w:r>
    </w:p>
    <w:p w14:paraId="7430B0C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5.采购代理机构：</w:t>
      </w:r>
      <w:r>
        <w:rPr>
          <w:rFonts w:hint="eastAsia" w:ascii="仿宋" w:hAnsi="仿宋" w:eastAsia="仿宋" w:cs="仿宋"/>
          <w:sz w:val="24"/>
          <w:szCs w:val="24"/>
          <w:highlight w:val="none"/>
          <w:lang w:eastAsia="zh-CN"/>
        </w:rPr>
        <w:t>四川中采项目管理有限公司</w:t>
      </w:r>
      <w:r>
        <w:rPr>
          <w:rFonts w:hint="eastAsia" w:ascii="仿宋" w:hAnsi="仿宋" w:eastAsia="仿宋" w:cs="仿宋"/>
          <w:sz w:val="24"/>
          <w:szCs w:val="24"/>
          <w:highlight w:val="none"/>
        </w:rPr>
        <w:t>。</w:t>
      </w:r>
    </w:p>
    <w:p w14:paraId="3E4DD776">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招标项目简介</w:t>
      </w:r>
    </w:p>
    <w:p w14:paraId="119FF0B8">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根据富顺县中医医院的实际工作需要，现需对</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年第三批医疗耗材</w:t>
      </w:r>
      <w:r>
        <w:rPr>
          <w:rFonts w:hint="eastAsia" w:ascii="仿宋" w:hAnsi="仿宋" w:eastAsia="仿宋" w:cs="仿宋"/>
          <w:sz w:val="24"/>
          <w:szCs w:val="24"/>
          <w:highlight w:val="none"/>
        </w:rPr>
        <w:t>进行采购，供应商应满足采购人物资运输及售后服务等的要求。</w:t>
      </w:r>
    </w:p>
    <w:p w14:paraId="2682FA3B">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三、投标人邀请方式</w:t>
      </w:r>
    </w:p>
    <w:p w14:paraId="0CD0CE86">
      <w:pPr>
        <w:spacing w:after="12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公告方式：本次招标邀请在</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上</w:t>
      </w:r>
      <w:r>
        <w:rPr>
          <w:rFonts w:hint="eastAsia" w:ascii="仿宋" w:hAnsi="仿宋" w:eastAsia="仿宋" w:cs="仿宋"/>
          <w:sz w:val="24"/>
          <w:highlight w:val="none"/>
        </w:rPr>
        <w:t>以招标公告形式发布。（网址：http://www</w:t>
      </w:r>
      <w:r>
        <w:rPr>
          <w:rFonts w:hint="eastAsia" w:ascii="仿宋" w:hAnsi="仿宋" w:eastAsia="仿宋" w:cs="仿宋"/>
          <w:color w:val="auto"/>
          <w:kern w:val="0"/>
          <w:sz w:val="24"/>
          <w:szCs w:val="24"/>
          <w:highlight w:val="none"/>
          <w:shd w:val="clear" w:color="auto" w:fill="auto"/>
          <w:lang w:val="en-US" w:eastAsia="zh-CN" w:bidi="ar"/>
        </w:rPr>
        <w:t>.scbid.com</w:t>
      </w:r>
      <w:r>
        <w:rPr>
          <w:rFonts w:hint="eastAsia" w:ascii="仿宋" w:hAnsi="仿宋" w:eastAsia="仿宋" w:cs="仿宋"/>
          <w:sz w:val="24"/>
          <w:highlight w:val="none"/>
        </w:rPr>
        <w:t>）</w:t>
      </w:r>
      <w:r>
        <w:rPr>
          <w:rFonts w:hint="eastAsia" w:ascii="仿宋" w:hAnsi="仿宋" w:eastAsia="仿宋" w:cs="仿宋"/>
          <w:bCs/>
          <w:sz w:val="24"/>
          <w:szCs w:val="24"/>
          <w:highlight w:val="none"/>
        </w:rPr>
        <w:t>上以公告形式发布。</w:t>
      </w:r>
    </w:p>
    <w:p w14:paraId="57343DA8">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四、投标人参加本次招标活动应具备下列条件</w:t>
      </w:r>
    </w:p>
    <w:p w14:paraId="3C694312">
      <w:pPr>
        <w:pStyle w:val="31"/>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详见公开招标文件第三章。</w:t>
      </w:r>
    </w:p>
    <w:p w14:paraId="1799891F">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五、招标文件获取方式、时间、地点</w:t>
      </w:r>
    </w:p>
    <w:p w14:paraId="4D85E60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招标文件自202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日9:00至202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日17:00（北京时间，法定节假日除外）在</w:t>
      </w:r>
      <w:r>
        <w:rPr>
          <w:rFonts w:hint="eastAsia" w:ascii="仿宋" w:hAnsi="仿宋" w:eastAsia="仿宋" w:cs="仿宋"/>
          <w:color w:val="auto"/>
          <w:sz w:val="24"/>
          <w:szCs w:val="24"/>
          <w:highlight w:val="none"/>
          <w:u w:val="single"/>
          <w:lang w:eastAsia="zh-CN"/>
        </w:rPr>
        <w:t>四川中采项目管理有限公司（</w:t>
      </w:r>
      <w:r>
        <w:rPr>
          <w:rFonts w:hint="eastAsia" w:ascii="仿宋" w:hAnsi="仿宋" w:eastAsia="仿宋" w:cs="仿宋"/>
          <w:color w:val="auto"/>
          <w:sz w:val="24"/>
          <w:szCs w:val="24"/>
          <w:highlight w:val="none"/>
          <w:u w:val="single"/>
          <w:lang w:val="zh-CN" w:eastAsia="zh-CN"/>
        </w:rPr>
        <w:t>自贡市自流井区丹阳街2号普润电商博览城一期A8-3-40-43 ）</w:t>
      </w:r>
      <w:r>
        <w:rPr>
          <w:rFonts w:hint="eastAsia" w:ascii="仿宋" w:hAnsi="仿宋" w:eastAsia="仿宋" w:cs="仿宋"/>
          <w:sz w:val="24"/>
          <w:szCs w:val="24"/>
          <w:highlight w:val="none"/>
        </w:rPr>
        <w:t>现场获取</w:t>
      </w:r>
      <w:r>
        <w:rPr>
          <w:rFonts w:hint="eastAsia" w:ascii="仿宋" w:hAnsi="仿宋" w:eastAsia="仿宋" w:cs="仿宋"/>
          <w:sz w:val="24"/>
          <w:szCs w:val="24"/>
          <w:highlight w:val="none"/>
          <w:lang w:eastAsia="zh-CN"/>
        </w:rPr>
        <w:t>或自行登录</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获取</w:t>
      </w:r>
      <w:r>
        <w:rPr>
          <w:rFonts w:hint="eastAsia" w:ascii="仿宋" w:hAnsi="仿宋" w:eastAsia="仿宋" w:cs="仿宋"/>
          <w:sz w:val="24"/>
          <w:szCs w:val="24"/>
          <w:highlight w:val="none"/>
        </w:rPr>
        <w:t>。</w:t>
      </w:r>
    </w:p>
    <w:p w14:paraId="593C263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本项目招标文件</w:t>
      </w:r>
      <w:r>
        <w:rPr>
          <w:rFonts w:hint="eastAsia" w:ascii="仿宋" w:hAnsi="仿宋" w:eastAsia="仿宋" w:cs="仿宋"/>
          <w:sz w:val="24"/>
          <w:szCs w:val="24"/>
          <w:highlight w:val="none"/>
          <w:lang w:eastAsia="zh-CN"/>
        </w:rPr>
        <w:t>无</w:t>
      </w:r>
      <w:r>
        <w:rPr>
          <w:rFonts w:hint="eastAsia" w:ascii="仿宋" w:hAnsi="仿宋" w:eastAsia="仿宋" w:cs="仿宋"/>
          <w:sz w:val="24"/>
          <w:szCs w:val="24"/>
          <w:highlight w:val="none"/>
        </w:rPr>
        <w:t>偿获取（报名资格不能转让）。</w:t>
      </w:r>
    </w:p>
    <w:p w14:paraId="7B45653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邮购联系方式：请将报名资料电子版传至</w:t>
      </w:r>
      <w:r>
        <w:rPr>
          <w:rFonts w:hint="eastAsia" w:ascii="仿宋" w:hAnsi="仿宋" w:eastAsia="仿宋" w:cs="仿宋"/>
          <w:color w:val="auto"/>
          <w:sz w:val="24"/>
          <w:szCs w:val="24"/>
          <w:highlight w:val="none"/>
          <w:lang w:val="zh-CN"/>
        </w:rPr>
        <w:t xml:space="preserve">766107639@qq.com </w:t>
      </w:r>
      <w:r>
        <w:rPr>
          <w:rFonts w:hint="eastAsia" w:ascii="仿宋" w:hAnsi="仿宋" w:eastAsia="仿宋" w:cs="仿宋"/>
          <w:sz w:val="24"/>
          <w:szCs w:val="24"/>
          <w:highlight w:val="none"/>
        </w:rPr>
        <w:t>，联系电话：</w:t>
      </w:r>
      <w:r>
        <w:rPr>
          <w:rFonts w:hint="eastAsia" w:ascii="仿宋" w:hAnsi="仿宋" w:eastAsia="仿宋" w:cs="仿宋"/>
          <w:color w:val="auto"/>
          <w:sz w:val="24"/>
          <w:szCs w:val="24"/>
          <w:highlight w:val="none"/>
          <w:lang w:val="zh-CN"/>
        </w:rPr>
        <w:t>0813-8288814</w:t>
      </w:r>
      <w:r>
        <w:rPr>
          <w:rFonts w:hint="eastAsia" w:ascii="仿宋" w:hAnsi="仿宋" w:eastAsia="仿宋" w:cs="仿宋"/>
          <w:sz w:val="24"/>
          <w:szCs w:val="24"/>
          <w:highlight w:val="none"/>
        </w:rPr>
        <w:t>。</w:t>
      </w:r>
    </w:p>
    <w:p w14:paraId="4754427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获取招标文件时必须携带下列有效证明文件：</w:t>
      </w:r>
    </w:p>
    <w:p w14:paraId="6A9A7F6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获取招标文件时，投标人为法人或者其他组织的，须提供单位介绍信原件（加盖单位公章）、经办人身份证复印件（加盖单位公章），经办人身份证原件备查。</w:t>
      </w:r>
    </w:p>
    <w:p w14:paraId="2D3CEA6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注：投标人可以提前填写《投标人报名登记表》（详见第九章 附件1），在获取招标文件时交于报名处。</w:t>
      </w:r>
    </w:p>
    <w:p w14:paraId="5808BE7F">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八、递交投标文件截止时间：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04</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01</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w:t>
      </w:r>
    </w:p>
    <w:p w14:paraId="1EB85593">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九、递交投标文件地点：</w:t>
      </w:r>
      <w:r>
        <w:rPr>
          <w:rFonts w:hint="eastAsia" w:ascii="仿宋" w:hAnsi="仿宋" w:eastAsia="仿宋" w:cs="仿宋"/>
          <w:sz w:val="24"/>
          <w:szCs w:val="24"/>
          <w:highlight w:val="none"/>
        </w:rPr>
        <w:t>投标文件必须在递交投标文件截止时间前送达开标地点。逾期送达、密封和标注错误的投标文件，采购代理机构恕不接收。本次招标不接收邮寄的投标文件。</w:t>
      </w:r>
    </w:p>
    <w:p w14:paraId="5D088D9C">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十、投标文件开启时间：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04</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01</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（北京时间）在招标地点开启。</w:t>
      </w:r>
    </w:p>
    <w:p w14:paraId="3D33C2D3">
      <w:pPr>
        <w:spacing w:line="360" w:lineRule="auto"/>
        <w:ind w:firstLine="487" w:firstLineChars="203"/>
        <w:rPr>
          <w:rFonts w:hint="eastAsia" w:ascii="仿宋" w:hAnsi="仿宋" w:eastAsia="仿宋" w:cs="仿宋"/>
          <w:sz w:val="24"/>
          <w:szCs w:val="24"/>
          <w:highlight w:val="none"/>
        </w:rPr>
      </w:pPr>
      <w:r>
        <w:rPr>
          <w:rFonts w:hint="eastAsia" w:ascii="仿宋" w:hAnsi="仿宋" w:eastAsia="仿宋" w:cs="仿宋"/>
          <w:b/>
          <w:sz w:val="24"/>
          <w:szCs w:val="24"/>
          <w:highlight w:val="none"/>
        </w:rPr>
        <w:t>十一、招标地点：</w:t>
      </w:r>
      <w:r>
        <w:rPr>
          <w:rFonts w:hint="eastAsia" w:ascii="仿宋" w:hAnsi="仿宋" w:eastAsia="仿宋" w:cs="仿宋"/>
          <w:color w:val="auto"/>
          <w:sz w:val="24"/>
          <w:szCs w:val="24"/>
          <w:highlight w:val="none"/>
          <w:u w:val="single"/>
          <w:lang w:val="zh-CN" w:eastAsia="zh-CN"/>
        </w:rPr>
        <w:t xml:space="preserve">自贡市自流井区丹阳街2号普润电商博览城一期A8-3-40-43 </w:t>
      </w:r>
      <w:r>
        <w:rPr>
          <w:rFonts w:hint="eastAsia" w:ascii="仿宋" w:hAnsi="仿宋" w:eastAsia="仿宋" w:cs="仿宋"/>
          <w:sz w:val="24"/>
          <w:szCs w:val="24"/>
          <w:highlight w:val="none"/>
        </w:rPr>
        <w:t>。</w:t>
      </w:r>
    </w:p>
    <w:p w14:paraId="601FC716">
      <w:pPr>
        <w:pStyle w:val="31"/>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十二、联系方式</w:t>
      </w:r>
    </w:p>
    <w:p w14:paraId="0E5A044C">
      <w:pPr>
        <w:spacing w:line="360" w:lineRule="auto"/>
        <w:ind w:right="680" w:righ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采购人：富顺县中医医院</w:t>
      </w:r>
    </w:p>
    <w:p w14:paraId="20C7F4A3">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聂老师</w:t>
      </w:r>
    </w:p>
    <w:p w14:paraId="79AC7365">
      <w:pPr>
        <w:spacing w:line="360" w:lineRule="auto"/>
        <w:ind w:right="680" w:rightChars="20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0813-5197655</w:t>
      </w:r>
    </w:p>
    <w:p w14:paraId="0C2D9EAB">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四川中采项目管理有限公司</w:t>
      </w:r>
    </w:p>
    <w:p w14:paraId="531B820E">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bCs/>
          <w:color w:val="auto"/>
          <w:sz w:val="24"/>
          <w:highlight w:val="none"/>
          <w:lang w:val="zh-CN"/>
        </w:rPr>
        <w:t>自贡市自流井区丹阳街2号普润电商博览城一期A8-3-40-43</w:t>
      </w:r>
    </w:p>
    <w:p w14:paraId="7EEA9A42">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lang w:val="zh-CN"/>
        </w:rPr>
        <w:t>汪女士</w:t>
      </w:r>
    </w:p>
    <w:p w14:paraId="10F3E5E4">
      <w:pPr>
        <w:pStyle w:val="31"/>
        <w:keepNext w:val="0"/>
        <w:keepLines w:val="0"/>
        <w:pageBreakBefore w:val="0"/>
        <w:kinsoku/>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p>
    <w:p w14:paraId="2156566F">
      <w:pPr>
        <w:spacing w:line="360" w:lineRule="auto"/>
        <w:ind w:right="680" w:rightChars="200" w:firstLine="480" w:firstLineChars="200"/>
        <w:rPr>
          <w:rFonts w:hint="eastAsia" w:ascii="仿宋" w:hAnsi="仿宋" w:eastAsia="仿宋" w:cs="仿宋"/>
          <w:sz w:val="24"/>
          <w:szCs w:val="24"/>
          <w:highlight w:val="none"/>
        </w:rPr>
      </w:pPr>
    </w:p>
    <w:p w14:paraId="08BEF961">
      <w:pPr>
        <w:pStyle w:val="19"/>
        <w:spacing w:before="0" w:beforeAutospacing="0" w:after="0" w:afterAutospacing="0" w:line="360" w:lineRule="auto"/>
        <w:rPr>
          <w:rFonts w:hint="eastAsia" w:ascii="仿宋" w:hAnsi="仿宋" w:eastAsia="仿宋" w:cs="仿宋"/>
          <w:sz w:val="24"/>
          <w:szCs w:val="24"/>
          <w:highlight w:val="none"/>
        </w:rPr>
      </w:pPr>
    </w:p>
    <w:p w14:paraId="25F36F49">
      <w:pPr>
        <w:pStyle w:val="19"/>
        <w:spacing w:before="0" w:beforeAutospacing="0" w:after="0" w:afterAutospacing="0" w:line="360" w:lineRule="auto"/>
        <w:rPr>
          <w:rFonts w:hint="eastAsia" w:ascii="仿宋" w:hAnsi="仿宋" w:eastAsia="仿宋" w:cs="仿宋"/>
          <w:sz w:val="24"/>
          <w:szCs w:val="24"/>
          <w:highlight w:val="none"/>
        </w:rPr>
      </w:pPr>
    </w:p>
    <w:p w14:paraId="0452FB2B">
      <w:pPr>
        <w:pStyle w:val="19"/>
        <w:spacing w:before="0" w:beforeAutospacing="0" w:after="0" w:afterAutospacing="0" w:line="360" w:lineRule="auto"/>
        <w:rPr>
          <w:rFonts w:hint="eastAsia" w:ascii="仿宋" w:hAnsi="仿宋" w:eastAsia="仿宋" w:cs="仿宋"/>
          <w:sz w:val="24"/>
          <w:szCs w:val="24"/>
          <w:highlight w:val="none"/>
        </w:rPr>
      </w:pPr>
    </w:p>
    <w:p w14:paraId="644BA26E">
      <w:pPr>
        <w:pStyle w:val="19"/>
        <w:spacing w:before="0" w:beforeAutospacing="0" w:after="0" w:afterAutospacing="0" w:line="360" w:lineRule="auto"/>
        <w:rPr>
          <w:rFonts w:hint="eastAsia" w:ascii="仿宋" w:hAnsi="仿宋" w:eastAsia="仿宋" w:cs="仿宋"/>
          <w:sz w:val="24"/>
          <w:szCs w:val="24"/>
          <w:highlight w:val="none"/>
        </w:rPr>
      </w:pPr>
    </w:p>
    <w:p w14:paraId="083D92BB">
      <w:pPr>
        <w:pStyle w:val="19"/>
        <w:spacing w:before="0" w:beforeAutospacing="0" w:after="0" w:afterAutospacing="0" w:line="360" w:lineRule="auto"/>
        <w:rPr>
          <w:rFonts w:hint="eastAsia" w:ascii="仿宋" w:hAnsi="仿宋" w:eastAsia="仿宋" w:cs="仿宋"/>
          <w:sz w:val="24"/>
          <w:szCs w:val="24"/>
          <w:highlight w:val="none"/>
        </w:rPr>
      </w:pPr>
    </w:p>
    <w:p w14:paraId="65D6B736">
      <w:pPr>
        <w:pStyle w:val="19"/>
        <w:spacing w:before="0" w:beforeAutospacing="0" w:after="0" w:afterAutospacing="0" w:line="360" w:lineRule="auto"/>
        <w:rPr>
          <w:rFonts w:hint="eastAsia" w:ascii="仿宋" w:hAnsi="仿宋" w:eastAsia="仿宋" w:cs="仿宋"/>
          <w:sz w:val="24"/>
          <w:szCs w:val="24"/>
          <w:highlight w:val="none"/>
        </w:rPr>
      </w:pPr>
    </w:p>
    <w:p w14:paraId="3AE5A0BB">
      <w:pPr>
        <w:jc w:val="center"/>
        <w:rPr>
          <w:rFonts w:hint="eastAsia" w:ascii="仿宋" w:hAnsi="仿宋" w:eastAsia="仿宋" w:cs="仿宋"/>
          <w:b/>
          <w:bCs/>
          <w:sz w:val="36"/>
          <w:szCs w:val="36"/>
          <w:highlight w:val="none"/>
        </w:rPr>
      </w:pPr>
      <w:bookmarkStart w:id="13" w:name="_Toc213496267"/>
      <w:bookmarkStart w:id="14" w:name="_Toc213396945"/>
      <w:bookmarkStart w:id="15" w:name="_Toc213397009"/>
      <w:bookmarkStart w:id="16" w:name="_Toc217446031"/>
      <w:bookmarkStart w:id="17" w:name="_Toc20133"/>
      <w:bookmarkStart w:id="18" w:name="_Toc213396759"/>
      <w:r>
        <w:rPr>
          <w:rFonts w:hint="eastAsia" w:ascii="仿宋" w:hAnsi="仿宋" w:eastAsia="仿宋" w:cs="仿宋"/>
          <w:b/>
          <w:bCs/>
          <w:sz w:val="36"/>
          <w:szCs w:val="36"/>
          <w:highlight w:val="none"/>
        </w:rPr>
        <w:t>第二章  投标人须知</w:t>
      </w:r>
      <w:bookmarkEnd w:id="13"/>
      <w:bookmarkEnd w:id="14"/>
      <w:bookmarkEnd w:id="15"/>
      <w:bookmarkEnd w:id="16"/>
      <w:bookmarkEnd w:id="17"/>
      <w:bookmarkEnd w:id="18"/>
    </w:p>
    <w:p w14:paraId="09BDB6DF">
      <w:pPr>
        <w:pStyle w:val="5"/>
        <w:keepNext w:val="0"/>
        <w:keepLines w:val="0"/>
        <w:spacing w:line="360" w:lineRule="auto"/>
        <w:jc w:val="center"/>
        <w:rPr>
          <w:rFonts w:hint="eastAsia" w:ascii="仿宋" w:hAnsi="仿宋" w:eastAsia="仿宋" w:cs="仿宋"/>
          <w:sz w:val="24"/>
          <w:szCs w:val="24"/>
          <w:highlight w:val="none"/>
        </w:rPr>
      </w:pPr>
      <w:bookmarkStart w:id="19" w:name="_Toc27148"/>
      <w:r>
        <w:rPr>
          <w:rFonts w:hint="eastAsia" w:ascii="仿宋" w:hAnsi="仿宋" w:eastAsia="仿宋" w:cs="仿宋"/>
          <w:sz w:val="28"/>
          <w:szCs w:val="28"/>
          <w:highlight w:val="none"/>
        </w:rPr>
        <w:t>一、</w:t>
      </w:r>
      <w:bookmarkStart w:id="20" w:name="OLE_LINK18"/>
      <w:r>
        <w:rPr>
          <w:rFonts w:hint="eastAsia" w:ascii="仿宋" w:hAnsi="仿宋" w:eastAsia="仿宋" w:cs="仿宋"/>
          <w:sz w:val="28"/>
          <w:szCs w:val="28"/>
          <w:highlight w:val="none"/>
        </w:rPr>
        <w:t>投标人须知附表</w:t>
      </w:r>
      <w:bookmarkEnd w:id="19"/>
      <w:bookmarkEnd w:id="20"/>
    </w:p>
    <w:tbl>
      <w:tblPr>
        <w:tblStyle w:val="22"/>
        <w:tblW w:w="962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907"/>
        <w:gridCol w:w="6994"/>
      </w:tblGrid>
      <w:tr w14:paraId="3B8967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tblHeader/>
          <w:jc w:val="center"/>
        </w:trPr>
        <w:tc>
          <w:tcPr>
            <w:tcW w:w="725" w:type="dxa"/>
            <w:tcBorders>
              <w:tl2br w:val="nil"/>
              <w:tr2bl w:val="nil"/>
            </w:tcBorders>
            <w:shd w:val="clear" w:color="auto" w:fill="D7D7D7" w:themeFill="background1" w:themeFillShade="D8"/>
            <w:vAlign w:val="center"/>
          </w:tcPr>
          <w:p w14:paraId="77BF166D">
            <w:pPr>
              <w:pStyle w:val="30"/>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序号 </w:t>
            </w:r>
          </w:p>
        </w:tc>
        <w:tc>
          <w:tcPr>
            <w:tcW w:w="1907" w:type="dxa"/>
            <w:tcBorders>
              <w:tl2br w:val="nil"/>
              <w:tr2bl w:val="nil"/>
            </w:tcBorders>
            <w:shd w:val="clear" w:color="auto" w:fill="D7D7D7" w:themeFill="background1" w:themeFillShade="D8"/>
            <w:vAlign w:val="center"/>
          </w:tcPr>
          <w:p w14:paraId="278FE93C">
            <w:pPr>
              <w:pStyle w:val="30"/>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应知事项 </w:t>
            </w:r>
          </w:p>
        </w:tc>
        <w:tc>
          <w:tcPr>
            <w:tcW w:w="6994" w:type="dxa"/>
            <w:tcBorders>
              <w:tl2br w:val="nil"/>
              <w:tr2bl w:val="nil"/>
            </w:tcBorders>
            <w:shd w:val="clear" w:color="auto" w:fill="D7D7D7" w:themeFill="background1" w:themeFillShade="D8"/>
            <w:vAlign w:val="center"/>
          </w:tcPr>
          <w:p w14:paraId="5536051A">
            <w:pPr>
              <w:pStyle w:val="30"/>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说明和要求</w:t>
            </w:r>
          </w:p>
        </w:tc>
      </w:tr>
      <w:tr w14:paraId="3BCFDD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7D58688">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1</w:t>
            </w:r>
          </w:p>
        </w:tc>
        <w:tc>
          <w:tcPr>
            <w:tcW w:w="1907" w:type="dxa"/>
            <w:tcBorders>
              <w:tl2br w:val="nil"/>
              <w:tr2bl w:val="nil"/>
            </w:tcBorders>
            <w:vAlign w:val="center"/>
          </w:tcPr>
          <w:p w14:paraId="152B6EBA">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采购预算</w:t>
            </w:r>
          </w:p>
        </w:tc>
        <w:tc>
          <w:tcPr>
            <w:tcW w:w="6994" w:type="dxa"/>
            <w:tcBorders>
              <w:tl2br w:val="nil"/>
              <w:tr2bl w:val="nil"/>
            </w:tcBorders>
          </w:tcPr>
          <w:p w14:paraId="3C1C0D4B">
            <w:pPr>
              <w:kinsoku w:val="0"/>
              <w:overflowPunct w:val="0"/>
              <w:autoSpaceDE w:val="0"/>
              <w:autoSpaceDN w:val="0"/>
              <w:snapToGri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14:paraId="370B2C42">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4153831.30元（大写：肆佰壹拾伍万叁仟捌佰叁拾壹元叁角整）</w:t>
            </w:r>
          </w:p>
          <w:p w14:paraId="26B63BB5">
            <w:pPr>
              <w:pStyle w:val="3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超过采购预算的报价无效。</w:t>
            </w:r>
          </w:p>
          <w:p w14:paraId="792FDCB4">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rPr>
              <w:t>其中：</w:t>
            </w:r>
            <w:r>
              <w:rPr>
                <w:rFonts w:hint="eastAsia" w:ascii="仿宋" w:hAnsi="仿宋" w:eastAsia="仿宋" w:cs="仿宋"/>
                <w:color w:val="auto"/>
                <w:highlight w:val="none"/>
                <w:lang w:val="zh-CN" w:eastAsia="zh-CN"/>
              </w:rPr>
              <w:t>第一包：200526.00元（大写：贰拾万零伍佰贰拾陆元整）；</w:t>
            </w:r>
          </w:p>
          <w:p w14:paraId="6A900F73">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第二包：108000.00元（大写：壹拾万零捌仟元整）；</w:t>
            </w:r>
          </w:p>
          <w:p w14:paraId="464FAEC0">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第三包：105168.00元（大写：壹拾万零伍仟壹佰陆拾捌元整）；</w:t>
            </w:r>
          </w:p>
          <w:p w14:paraId="1738E21E">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第四包：139294.28元（大写：壹拾叁万玖仟贰佰玖拾肆元贰角捌分）；</w:t>
            </w:r>
          </w:p>
          <w:p w14:paraId="4AC66D0A">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第五包：188212.00元（大写：壹拾捌万捌仟贰佰壹拾贰元整）；</w:t>
            </w:r>
          </w:p>
          <w:p w14:paraId="6A3ED977">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第六包：120864.00元（大写：壹拾贰万零捌佰陆拾肆元整）；</w:t>
            </w:r>
          </w:p>
          <w:p w14:paraId="6D12FBCE">
            <w:pPr>
              <w:pStyle w:val="3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eastAsia="zh-CN"/>
              </w:rPr>
              <w:t>第七包：521879.24元（大写：伍拾贰万壹仟捌佰柒拾玖元贰角肆分）</w:t>
            </w:r>
          </w:p>
        </w:tc>
      </w:tr>
      <w:tr w14:paraId="4BAE28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6FD7E16A">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2</w:t>
            </w:r>
          </w:p>
        </w:tc>
        <w:tc>
          <w:tcPr>
            <w:tcW w:w="1907" w:type="dxa"/>
            <w:tcBorders>
              <w:tl2br w:val="nil"/>
              <w:tr2bl w:val="nil"/>
            </w:tcBorders>
            <w:vAlign w:val="center"/>
          </w:tcPr>
          <w:p w14:paraId="41358034">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最高限价</w:t>
            </w:r>
          </w:p>
        </w:tc>
        <w:tc>
          <w:tcPr>
            <w:tcW w:w="6994" w:type="dxa"/>
            <w:tcBorders>
              <w:tl2br w:val="nil"/>
              <w:tr2bl w:val="nil"/>
            </w:tcBorders>
            <w:vAlign w:val="center"/>
          </w:tcPr>
          <w:p w14:paraId="3DF9263F">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本次采购最高限价：</w:t>
            </w:r>
          </w:p>
          <w:p w14:paraId="04ED9468">
            <w:pPr>
              <w:kinsoku w:val="0"/>
              <w:overflowPunct w:val="0"/>
              <w:autoSpaceDE w:val="0"/>
              <w:autoSpaceDN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详见第五章二、项目</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及技术参数要求限价；</w:t>
            </w:r>
          </w:p>
          <w:p w14:paraId="433AE3FF">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超过最高限价的报价无效。</w:t>
            </w:r>
          </w:p>
        </w:tc>
      </w:tr>
      <w:tr w14:paraId="67F39F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725" w:type="dxa"/>
            <w:tcBorders>
              <w:tl2br w:val="nil"/>
              <w:tr2bl w:val="nil"/>
            </w:tcBorders>
            <w:vAlign w:val="center"/>
          </w:tcPr>
          <w:p w14:paraId="49F5DB35">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3</w:t>
            </w:r>
          </w:p>
        </w:tc>
        <w:tc>
          <w:tcPr>
            <w:tcW w:w="1907" w:type="dxa"/>
            <w:tcBorders>
              <w:tl2br w:val="nil"/>
              <w:tr2bl w:val="nil"/>
            </w:tcBorders>
            <w:vAlign w:val="center"/>
          </w:tcPr>
          <w:p w14:paraId="20A1FB0B">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w:t>
            </w:r>
          </w:p>
        </w:tc>
        <w:tc>
          <w:tcPr>
            <w:tcW w:w="6994" w:type="dxa"/>
            <w:tcBorders>
              <w:tl2br w:val="nil"/>
              <w:tr2bl w:val="nil"/>
            </w:tcBorders>
            <w:vAlign w:val="center"/>
          </w:tcPr>
          <w:p w14:paraId="6A5E8687">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不允许联合体。</w:t>
            </w:r>
          </w:p>
        </w:tc>
      </w:tr>
      <w:tr w14:paraId="481207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B2B3EB6">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4</w:t>
            </w:r>
          </w:p>
        </w:tc>
        <w:tc>
          <w:tcPr>
            <w:tcW w:w="1907" w:type="dxa"/>
            <w:tcBorders>
              <w:tl2br w:val="nil"/>
              <w:tr2bl w:val="nil"/>
            </w:tcBorders>
            <w:vAlign w:val="center"/>
          </w:tcPr>
          <w:p w14:paraId="40FBA298">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低于成本价</w:t>
            </w:r>
          </w:p>
          <w:p w14:paraId="580BCD31">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不正当竞争预防措施</w:t>
            </w:r>
          </w:p>
        </w:tc>
        <w:tc>
          <w:tcPr>
            <w:tcW w:w="6994" w:type="dxa"/>
            <w:tcBorders>
              <w:tl2br w:val="nil"/>
              <w:tr2bl w:val="nil"/>
            </w:tcBorders>
            <w:vAlign w:val="center"/>
          </w:tcPr>
          <w:p w14:paraId="3475B001">
            <w:pPr>
              <w:pStyle w:val="30"/>
              <w:ind w:firstLine="240" w:firstLineChars="100"/>
              <w:jc w:val="both"/>
              <w:rPr>
                <w:rFonts w:hint="eastAsia" w:ascii="仿宋" w:hAnsi="仿宋" w:eastAsia="仿宋" w:cs="仿宋"/>
                <w:color w:val="auto"/>
                <w:highlight w:val="none"/>
              </w:rPr>
            </w:pPr>
            <w:r>
              <w:rPr>
                <w:rFonts w:hint="eastAsia" w:ascii="仿宋" w:hAnsi="仿宋" w:eastAsia="仿宋" w:cs="仿宋"/>
                <w:color w:val="auto"/>
                <w:highlight w:val="none"/>
                <w:lang w:val="zh-CN"/>
              </w:rPr>
              <w:t>1. 在评标过程中，评标委员会认为投标人的报价明显低于其他通过符合性审查投标人的报价，有可能影响产品质量或者不能 诚信履约的，评标委员会应当要求其在评标现场合理的时间内提 供成本构成书面说明，并提交相关证明材料。 投标人书面说明应当按照国家财务会计制度的规定要求，逐项 就投标人提供的货物、工程和服务的主营业务成本（应根据投标 人企业类型予以区别）、税金及附加、销售费用、管理费用、财 务费用等成本构成事项详细陈述。 2.投标人书面说明应当签字确认或者加盖公章，否则无效。书 面说明的签字确认，投标人为法人的，由其法定代表人或者代理 人签字确认；投标人为其他组织的，由其单位负责人或者代理人 签字确认；投标人为自然人的，由其本人或者代理人签字确认。 3.投标人提供书面说明后，评标委员会应当结合采购项目采购 需求、专业实际情况、投标人财务状况报告、与其他投标人比较 情况等就投标人书面说明进行审查评价。投标人拒绝或者变相拒 绝提供有效书面说明或者书面说明不能证明其报价合理性的，评 标委员会应当将其投标文件作为无效处理。</w:t>
            </w:r>
          </w:p>
        </w:tc>
      </w:tr>
      <w:tr w14:paraId="31F17C2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2127B9B1">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907" w:type="dxa"/>
            <w:tcBorders>
              <w:tl2br w:val="nil"/>
              <w:tr2bl w:val="nil"/>
            </w:tcBorders>
            <w:vAlign w:val="center"/>
          </w:tcPr>
          <w:p w14:paraId="00C6BDC6">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履约保证金</w:t>
            </w:r>
          </w:p>
        </w:tc>
        <w:tc>
          <w:tcPr>
            <w:tcW w:w="6994" w:type="dxa"/>
            <w:tcBorders>
              <w:tl2br w:val="nil"/>
              <w:tr2bl w:val="nil"/>
            </w:tcBorders>
            <w:vAlign w:val="center"/>
          </w:tcPr>
          <w:p w14:paraId="624DEB11">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收取履约保证金：1、履约保证金金额：合同金额的 1%。</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2、履约保证金缴纳形式：中标人自行选择以支票、汇票、本票或者金融机构、担保机构出具的保函等非现金形式在合同签订前提交。</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银行账户信息如下：</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账户名：富顺县中医医院</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账号：11820120000037316</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开户行：四川富顺农村商业银行股份有限公司营业部</w:t>
            </w:r>
          </w:p>
          <w:p w14:paraId="5DED1BA4">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应注明（项目名称、项目编号）履约保证金。</w:t>
            </w:r>
          </w:p>
          <w:p w14:paraId="6337EC34">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履约保证金退还：耗材供货后6个月，货物无任何质量问题且中标人履行了售后服务义务，采购人凭中标人提供的退还履约保证金申请无息退还履约保证金。</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履约保证金不予退还情形：未按合同履约不退还。采用非保函形式缴纳的履约保证金在 15 个工作日内无息返还，采用保函形式缴纳的履约保证金在担保有效期后，担保责任终止。</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5、递交和退还保函原件时乙方须到甲方现场提供以下证明材料：</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①法定代表人授权委托书原件；②委托代理人身份证复印件。</w:t>
            </w:r>
          </w:p>
        </w:tc>
      </w:tr>
      <w:tr w14:paraId="135AB6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39D45534">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6</w:t>
            </w:r>
          </w:p>
        </w:tc>
        <w:tc>
          <w:tcPr>
            <w:tcW w:w="1907" w:type="dxa"/>
            <w:tcBorders>
              <w:tl2br w:val="nil"/>
              <w:tr2bl w:val="nil"/>
            </w:tcBorders>
            <w:vAlign w:val="center"/>
          </w:tcPr>
          <w:p w14:paraId="1FAA9EBC">
            <w:pPr>
              <w:pStyle w:val="30"/>
              <w:jc w:val="center"/>
              <w:rPr>
                <w:rFonts w:hint="eastAsia" w:ascii="仿宋" w:hAnsi="仿宋" w:eastAsia="仿宋" w:cs="仿宋"/>
                <w:color w:val="auto"/>
                <w:highlight w:val="none"/>
                <w:lang w:val="zh-CN"/>
              </w:rPr>
            </w:pPr>
            <w:r>
              <w:rPr>
                <w:rFonts w:hint="eastAsia" w:ascii="仿宋" w:hAnsi="仿宋" w:eastAsia="仿宋" w:cs="仿宋"/>
                <w:bCs/>
                <w:color w:val="auto"/>
                <w:highlight w:val="none"/>
              </w:rPr>
              <w:t>招标文件</w:t>
            </w:r>
          </w:p>
          <w:p w14:paraId="5E8CCDC9">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咨询</w:t>
            </w:r>
          </w:p>
        </w:tc>
        <w:tc>
          <w:tcPr>
            <w:tcW w:w="6994" w:type="dxa"/>
            <w:tcBorders>
              <w:tl2br w:val="nil"/>
              <w:tr2bl w:val="nil"/>
            </w:tcBorders>
            <w:vAlign w:val="center"/>
          </w:tcPr>
          <w:p w14:paraId="7F8604D7">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7AA54F52">
            <w:pPr>
              <w:pStyle w:val="30"/>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3AFA7C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2F262DA4">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7</w:t>
            </w:r>
          </w:p>
        </w:tc>
        <w:tc>
          <w:tcPr>
            <w:tcW w:w="1907" w:type="dxa"/>
            <w:tcBorders>
              <w:tl2br w:val="nil"/>
              <w:tr2bl w:val="nil"/>
            </w:tcBorders>
            <w:vAlign w:val="center"/>
          </w:tcPr>
          <w:p w14:paraId="5C6D727F">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招标过程、结果</w:t>
            </w:r>
          </w:p>
          <w:p w14:paraId="65E0A3EB">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工作咨询</w:t>
            </w:r>
          </w:p>
        </w:tc>
        <w:tc>
          <w:tcPr>
            <w:tcW w:w="6994" w:type="dxa"/>
            <w:tcBorders>
              <w:tl2br w:val="nil"/>
              <w:tr2bl w:val="nil"/>
            </w:tcBorders>
            <w:vAlign w:val="center"/>
          </w:tcPr>
          <w:p w14:paraId="04916A16">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29E089CB">
            <w:pPr>
              <w:pStyle w:val="30"/>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w:t>
            </w:r>
            <w:r>
              <w:rPr>
                <w:rFonts w:hint="eastAsia" w:ascii="仿宋" w:hAnsi="仿宋" w:eastAsia="仿宋" w:cs="仿宋"/>
                <w:color w:val="auto"/>
                <w:sz w:val="24"/>
                <w:highlight w:val="none"/>
                <w:lang w:val="en-US" w:eastAsia="zh-CN"/>
              </w:rPr>
              <w:t>814</w:t>
            </w:r>
            <w:r>
              <w:rPr>
                <w:rFonts w:hint="eastAsia" w:ascii="仿宋" w:hAnsi="仿宋" w:eastAsia="仿宋" w:cs="仿宋"/>
                <w:color w:val="auto"/>
                <w:highlight w:val="none"/>
                <w:lang w:val="zh-CN"/>
              </w:rPr>
              <w:t xml:space="preserve">           </w:t>
            </w:r>
          </w:p>
        </w:tc>
      </w:tr>
      <w:tr w14:paraId="25A6C1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237B77B0">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907" w:type="dxa"/>
            <w:tcBorders>
              <w:tl2br w:val="nil"/>
              <w:tr2bl w:val="nil"/>
            </w:tcBorders>
            <w:vAlign w:val="center"/>
          </w:tcPr>
          <w:p w14:paraId="2FB8676A">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中标通知书</w:t>
            </w:r>
          </w:p>
          <w:p w14:paraId="2ECAFAE2">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领取</w:t>
            </w:r>
          </w:p>
        </w:tc>
        <w:tc>
          <w:tcPr>
            <w:tcW w:w="6994" w:type="dxa"/>
            <w:tcBorders>
              <w:tl2br w:val="nil"/>
              <w:tr2bl w:val="nil"/>
            </w:tcBorders>
            <w:vAlign w:val="center"/>
          </w:tcPr>
          <w:p w14:paraId="3C769A54">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招标结果公告在</w:t>
            </w:r>
            <w:r>
              <w:rPr>
                <w:rFonts w:hint="eastAsia" w:ascii="仿宋" w:hAnsi="仿宋" w:eastAsia="仿宋" w:cs="仿宋"/>
                <w:color w:val="auto"/>
                <w:highlight w:val="none"/>
                <w:lang w:eastAsia="zh-CN"/>
              </w:rPr>
              <w:t>四川招投标网</w:t>
            </w:r>
            <w:r>
              <w:rPr>
                <w:rFonts w:hint="eastAsia" w:ascii="仿宋" w:hAnsi="仿宋" w:eastAsia="仿宋" w:cs="仿宋"/>
                <w:color w:val="auto"/>
                <w:highlight w:val="none"/>
                <w:lang w:val="zh-CN"/>
              </w:rPr>
              <w:t>上发布后，请中标人凭有效身份证明证件到</w:t>
            </w:r>
            <w:r>
              <w:rPr>
                <w:rFonts w:hint="eastAsia" w:ascii="仿宋" w:hAnsi="仿宋" w:eastAsia="仿宋" w:cs="仿宋"/>
                <w:color w:val="auto"/>
                <w:highlight w:val="none"/>
                <w:lang w:val="zh-CN" w:eastAsia="zh-CN"/>
              </w:rPr>
              <w:t>自贡市自流井区丹阳街2号普润电商博览城一期A8-3-40-43</w:t>
            </w:r>
            <w:r>
              <w:rPr>
                <w:rFonts w:hint="eastAsia" w:ascii="仿宋" w:hAnsi="仿宋" w:eastAsia="仿宋" w:cs="仿宋"/>
                <w:color w:val="auto"/>
                <w:highlight w:val="none"/>
                <w:lang w:val="zh-CN"/>
              </w:rPr>
              <w:t>领取中标通知书。</w:t>
            </w:r>
          </w:p>
          <w:p w14:paraId="34C47085">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rPr>
              <w:t>。</w:t>
            </w:r>
          </w:p>
        </w:tc>
      </w:tr>
      <w:tr w14:paraId="633927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41E8AC0D">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907" w:type="dxa"/>
            <w:tcBorders>
              <w:tl2br w:val="nil"/>
              <w:tr2bl w:val="nil"/>
            </w:tcBorders>
            <w:vAlign w:val="center"/>
          </w:tcPr>
          <w:p w14:paraId="0E154F7A">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投标人询问</w:t>
            </w:r>
          </w:p>
        </w:tc>
        <w:tc>
          <w:tcPr>
            <w:tcW w:w="6994" w:type="dxa"/>
            <w:tcBorders>
              <w:tl2br w:val="nil"/>
              <w:tr2bl w:val="nil"/>
            </w:tcBorders>
          </w:tcPr>
          <w:p w14:paraId="17416F6B">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根据委托代理协议约定，投标人询问由四川中采项目管理有限公司负责答复。</w:t>
            </w:r>
          </w:p>
          <w:p w14:paraId="1EDC081B">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6D919C21">
            <w:pPr>
              <w:pStyle w:val="30"/>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347F3E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7B7B5C30">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907" w:type="dxa"/>
            <w:tcBorders>
              <w:tl2br w:val="nil"/>
              <w:tr2bl w:val="nil"/>
            </w:tcBorders>
            <w:vAlign w:val="center"/>
          </w:tcPr>
          <w:p w14:paraId="2F7CECAB">
            <w:pPr>
              <w:pStyle w:val="34"/>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招标代理服务费</w:t>
            </w:r>
          </w:p>
        </w:tc>
        <w:tc>
          <w:tcPr>
            <w:tcW w:w="6994" w:type="dxa"/>
            <w:tcBorders>
              <w:tl2br w:val="nil"/>
              <w:tr2bl w:val="nil"/>
            </w:tcBorders>
            <w:vAlign w:val="center"/>
          </w:tcPr>
          <w:p w14:paraId="1E9C7057">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因本项目预算已包含招标代理服务费，以现金或者转账方式向中标人收取</w:t>
            </w:r>
            <w:r>
              <w:rPr>
                <w:rFonts w:hint="eastAsia" w:ascii="仿宋" w:hAnsi="仿宋" w:eastAsia="仿宋" w:cs="仿宋"/>
                <w:color w:val="auto"/>
                <w:highlight w:val="none"/>
                <w:lang w:eastAsia="zh-CN"/>
              </w:rPr>
              <w:t>（第一包：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元，第二包：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元，第三包：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元，第四包：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元，第五包：</w:t>
            </w:r>
            <w:bookmarkStart w:id="21" w:name="OLE_LINK1"/>
            <w:r>
              <w:rPr>
                <w:rFonts w:hint="eastAsia" w:ascii="仿宋" w:hAnsi="仿宋" w:eastAsia="仿宋" w:cs="仿宋"/>
                <w:color w:val="auto"/>
                <w:highlight w:val="none"/>
                <w:lang w:val="en-US" w:eastAsia="zh-CN"/>
              </w:rPr>
              <w:t>3000.00</w:t>
            </w:r>
            <w:bookmarkEnd w:id="21"/>
            <w:r>
              <w:rPr>
                <w:rFonts w:hint="eastAsia" w:ascii="仿宋" w:hAnsi="仿宋" w:eastAsia="仿宋" w:cs="仿宋"/>
                <w:color w:val="auto"/>
                <w:highlight w:val="none"/>
                <w:lang w:eastAsia="zh-CN"/>
              </w:rPr>
              <w:t>元，</w:t>
            </w:r>
            <w:bookmarkStart w:id="22" w:name="OLE_LINK12"/>
            <w:r>
              <w:rPr>
                <w:rFonts w:hint="eastAsia" w:ascii="仿宋" w:hAnsi="仿宋" w:eastAsia="仿宋" w:cs="仿宋"/>
                <w:color w:val="auto"/>
                <w:highlight w:val="none"/>
                <w:lang w:eastAsia="zh-CN"/>
              </w:rPr>
              <w:t>第六包：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w:t>
            </w:r>
            <w:bookmarkEnd w:id="22"/>
            <w:r>
              <w:rPr>
                <w:rFonts w:hint="eastAsia" w:ascii="仿宋" w:hAnsi="仿宋" w:eastAsia="仿宋" w:cs="仿宋"/>
                <w:color w:val="auto"/>
                <w:highlight w:val="none"/>
                <w:lang w:eastAsia="zh-CN"/>
              </w:rPr>
              <w:t>，第七包：</w:t>
            </w:r>
            <w:r>
              <w:rPr>
                <w:rFonts w:hint="eastAsia" w:ascii="仿宋" w:hAnsi="仿宋" w:eastAsia="仿宋" w:cs="仿宋"/>
                <w:color w:val="auto"/>
                <w:highlight w:val="none"/>
                <w:lang w:val="en-US" w:eastAsia="zh-CN"/>
              </w:rPr>
              <w:t>5479.00</w:t>
            </w:r>
            <w:r>
              <w:rPr>
                <w:rFonts w:hint="eastAsia" w:ascii="仿宋" w:hAnsi="仿宋" w:eastAsia="仿宋" w:cs="仿宋"/>
                <w:color w:val="auto"/>
                <w:highlight w:val="none"/>
                <w:lang w:eastAsia="zh-CN"/>
              </w:rPr>
              <w:t>元）</w:t>
            </w:r>
            <w:r>
              <w:rPr>
                <w:rFonts w:hint="eastAsia" w:ascii="仿宋" w:hAnsi="仿宋" w:eastAsia="仿宋" w:cs="仿宋"/>
                <w:color w:val="auto"/>
                <w:highlight w:val="none"/>
              </w:rPr>
              <w:t>。</w:t>
            </w:r>
          </w:p>
        </w:tc>
      </w:tr>
      <w:tr w14:paraId="46E815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6875940D">
            <w:pPr>
              <w:pStyle w:val="3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907" w:type="dxa"/>
            <w:tcBorders>
              <w:tl2br w:val="nil"/>
              <w:tr2bl w:val="nil"/>
            </w:tcBorders>
            <w:vAlign w:val="center"/>
          </w:tcPr>
          <w:p w14:paraId="6AC25923">
            <w:pPr>
              <w:pStyle w:val="34"/>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6994" w:type="dxa"/>
            <w:tcBorders>
              <w:tl2br w:val="nil"/>
              <w:tr2bl w:val="nil"/>
            </w:tcBorders>
            <w:vAlign w:val="center"/>
          </w:tcPr>
          <w:p w14:paraId="2F44BCE0">
            <w:pPr>
              <w:pStyle w:val="30"/>
              <w:ind w:firstLine="240" w:firstLineChars="100"/>
              <w:jc w:val="both"/>
              <w:rPr>
                <w:rFonts w:hint="eastAsia" w:ascii="仿宋" w:hAnsi="仿宋" w:eastAsia="仿宋" w:cs="仿宋"/>
                <w:color w:val="auto"/>
                <w:highlight w:val="none"/>
              </w:rPr>
            </w:pPr>
            <w:r>
              <w:rPr>
                <w:rFonts w:hint="eastAsia" w:ascii="仿宋" w:hAnsi="仿宋" w:eastAsia="仿宋" w:cs="仿宋"/>
                <w:color w:val="auto"/>
                <w:kern w:val="2"/>
              </w:rPr>
              <w:t>投标人根据自身的实际情况，自主选择参加投标的包数。招标文件对第一包、第二包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第三包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第四包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第五包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第六包</w:t>
            </w:r>
            <w:r>
              <w:rPr>
                <w:rFonts w:hint="eastAsia" w:ascii="仿宋" w:hAnsi="仿宋" w:eastAsia="仿宋" w:cs="仿宋"/>
                <w:color w:val="auto"/>
                <w:kern w:val="2"/>
              </w:rPr>
              <w:t>没有特别说明的，适用于第一包、第二包</w:t>
            </w:r>
            <w:r>
              <w:rPr>
                <w:rFonts w:hint="eastAsia" w:ascii="仿宋" w:hAnsi="仿宋" w:eastAsia="仿宋" w:cs="仿宋"/>
                <w:color w:val="auto"/>
                <w:kern w:val="2"/>
                <w:lang w:eastAsia="zh-CN"/>
              </w:rPr>
              <w:t>、</w:t>
            </w:r>
            <w:bookmarkStart w:id="23" w:name="OLE_LINK11"/>
            <w:r>
              <w:rPr>
                <w:rFonts w:hint="eastAsia" w:ascii="仿宋" w:hAnsi="仿宋" w:eastAsia="仿宋" w:cs="仿宋"/>
                <w:color w:val="auto"/>
                <w:kern w:val="2"/>
                <w:lang w:val="en-US" w:eastAsia="zh-CN"/>
              </w:rPr>
              <w:t>第三包</w:t>
            </w:r>
            <w:bookmarkEnd w:id="23"/>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第四包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第五包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第六包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第七包，</w:t>
            </w:r>
            <w:r>
              <w:rPr>
                <w:rFonts w:hint="eastAsia" w:ascii="仿宋" w:hAnsi="仿宋" w:eastAsia="仿宋" w:cs="仿宋"/>
                <w:color w:val="auto"/>
                <w:kern w:val="2"/>
              </w:rPr>
              <w:t>对各包有特别说明的，适用于各包。</w:t>
            </w:r>
          </w:p>
        </w:tc>
      </w:tr>
      <w:tr w14:paraId="6D441C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0777ACDE">
            <w:pPr>
              <w:pStyle w:val="3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907" w:type="dxa"/>
            <w:tcBorders>
              <w:tl2br w:val="nil"/>
              <w:tr2bl w:val="nil"/>
            </w:tcBorders>
            <w:vAlign w:val="center"/>
          </w:tcPr>
          <w:p w14:paraId="018A1F08">
            <w:pPr>
              <w:pStyle w:val="34"/>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特别说明</w:t>
            </w:r>
          </w:p>
        </w:tc>
        <w:tc>
          <w:tcPr>
            <w:tcW w:w="6994" w:type="dxa"/>
            <w:tcBorders>
              <w:tl2br w:val="nil"/>
              <w:tr2bl w:val="nil"/>
            </w:tcBorders>
            <w:vAlign w:val="center"/>
          </w:tcPr>
          <w:p w14:paraId="3D5A9808">
            <w:pPr>
              <w:pStyle w:val="30"/>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1、本项目为非政府采购项目，本次采购活动不受政府采购法律、法规制度和招投标法律、法规的调整约束。</w:t>
            </w:r>
          </w:p>
          <w:p w14:paraId="0AF9B5F2">
            <w:pPr>
              <w:pStyle w:val="30"/>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2、本项目采购交易活动适用于《中华人民共和国民法典》的相关规定。</w:t>
            </w:r>
          </w:p>
          <w:p w14:paraId="6E0F5471">
            <w:pPr>
              <w:pStyle w:val="30"/>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3、为了最大限度公平、公正开展采购活动，本项目采购文件部分借用（或参考）了政府采购法规制度中的有关采购规则来择优评审选择（确定）成交供应商。</w:t>
            </w:r>
          </w:p>
          <w:p w14:paraId="453457A0">
            <w:pPr>
              <w:pStyle w:val="30"/>
              <w:ind w:firstLine="240" w:firstLineChars="1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lang w:val="en-US" w:eastAsia="zh-CN"/>
              </w:rPr>
              <w:t>特此说明。</w:t>
            </w:r>
          </w:p>
        </w:tc>
      </w:tr>
    </w:tbl>
    <w:p w14:paraId="43A99FE1">
      <w:pPr>
        <w:spacing w:line="360" w:lineRule="auto"/>
        <w:jc w:val="center"/>
        <w:rPr>
          <w:rFonts w:hint="eastAsia" w:ascii="仿宋" w:hAnsi="仿宋" w:eastAsia="仿宋" w:cs="仿宋"/>
          <w:bCs/>
          <w:sz w:val="24"/>
          <w:szCs w:val="24"/>
          <w:highlight w:val="none"/>
        </w:rPr>
      </w:pPr>
    </w:p>
    <w:p w14:paraId="798A9738">
      <w:pPr>
        <w:spacing w:line="360" w:lineRule="auto"/>
        <w:jc w:val="center"/>
        <w:rPr>
          <w:rFonts w:hint="eastAsia" w:ascii="仿宋" w:hAnsi="仿宋" w:eastAsia="仿宋" w:cs="仿宋"/>
          <w:bCs/>
          <w:sz w:val="24"/>
          <w:szCs w:val="24"/>
          <w:highlight w:val="none"/>
        </w:rPr>
      </w:pPr>
    </w:p>
    <w:p w14:paraId="739FB450">
      <w:pPr>
        <w:spacing w:line="360" w:lineRule="auto"/>
        <w:rPr>
          <w:rFonts w:hint="eastAsia" w:ascii="仿宋" w:hAnsi="仿宋" w:eastAsia="仿宋" w:cs="仿宋"/>
          <w:sz w:val="32"/>
          <w:highlight w:val="none"/>
        </w:rPr>
      </w:pPr>
    </w:p>
    <w:p w14:paraId="75DA6DA8">
      <w:pPr>
        <w:pStyle w:val="5"/>
        <w:keepNext w:val="0"/>
        <w:keepLines w:val="0"/>
        <w:spacing w:before="0" w:after="0" w:line="360" w:lineRule="auto"/>
        <w:jc w:val="center"/>
        <w:rPr>
          <w:rFonts w:hint="eastAsia" w:ascii="仿宋" w:hAnsi="仿宋" w:eastAsia="仿宋" w:cs="仿宋"/>
          <w:bCs w:val="0"/>
          <w:sz w:val="24"/>
          <w:szCs w:val="24"/>
          <w:highlight w:val="none"/>
        </w:rPr>
      </w:pPr>
      <w:r>
        <w:rPr>
          <w:rFonts w:hint="eastAsia" w:ascii="仿宋" w:hAnsi="仿宋" w:eastAsia="仿宋" w:cs="仿宋"/>
          <w:bCs w:val="0"/>
          <w:sz w:val="28"/>
          <w:szCs w:val="28"/>
          <w:highlight w:val="none"/>
        </w:rPr>
        <w:br w:type="page"/>
      </w:r>
      <w:bookmarkStart w:id="24" w:name="_Toc12052"/>
      <w:r>
        <w:rPr>
          <w:rFonts w:hint="eastAsia" w:ascii="仿宋" w:hAnsi="仿宋" w:eastAsia="仿宋" w:cs="仿宋"/>
          <w:bCs w:val="0"/>
          <w:sz w:val="28"/>
          <w:szCs w:val="28"/>
          <w:highlight w:val="none"/>
        </w:rPr>
        <w:t>二、总  则</w:t>
      </w:r>
      <w:bookmarkEnd w:id="24"/>
    </w:p>
    <w:p w14:paraId="651009D0">
      <w:pPr>
        <w:spacing w:line="360" w:lineRule="auto"/>
        <w:ind w:firstLine="480" w:firstLineChars="200"/>
        <w:rPr>
          <w:rFonts w:hint="eastAsia" w:ascii="仿宋" w:hAnsi="仿宋" w:eastAsia="仿宋" w:cs="仿宋"/>
          <w:b/>
          <w:bCs/>
          <w:sz w:val="24"/>
          <w:szCs w:val="24"/>
          <w:highlight w:val="none"/>
        </w:rPr>
      </w:pPr>
      <w:bookmarkStart w:id="25" w:name="_Toc183582205"/>
      <w:bookmarkStart w:id="26" w:name="_Toc183682342"/>
      <w:bookmarkStart w:id="27" w:name="_Toc217446034"/>
      <w:r>
        <w:rPr>
          <w:rFonts w:hint="eastAsia" w:ascii="仿宋" w:hAnsi="仿宋" w:eastAsia="仿宋" w:cs="仿宋"/>
          <w:b/>
          <w:bCs/>
          <w:sz w:val="24"/>
          <w:szCs w:val="24"/>
          <w:highlight w:val="none"/>
        </w:rPr>
        <w:t>1.</w:t>
      </w:r>
      <w:bookmarkEnd w:id="25"/>
      <w:bookmarkEnd w:id="26"/>
      <w:r>
        <w:rPr>
          <w:rFonts w:hint="eastAsia" w:ascii="仿宋" w:hAnsi="仿宋" w:eastAsia="仿宋" w:cs="仿宋"/>
          <w:b/>
          <w:bCs/>
          <w:sz w:val="24"/>
          <w:szCs w:val="24"/>
          <w:highlight w:val="none"/>
        </w:rPr>
        <w:t>适用范围</w:t>
      </w:r>
      <w:bookmarkEnd w:id="27"/>
    </w:p>
    <w:p w14:paraId="59580D32">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 本招标文件仅适用于本次采购所叙述的货物采购。</w:t>
      </w:r>
    </w:p>
    <w:p w14:paraId="5623C2EA">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 本招标文件的解释权归采购人和采购代理机构所有。</w:t>
      </w:r>
    </w:p>
    <w:p w14:paraId="4F0B38AF">
      <w:pPr>
        <w:spacing w:line="360" w:lineRule="auto"/>
        <w:ind w:firstLine="480" w:firstLineChars="200"/>
        <w:rPr>
          <w:rFonts w:hint="eastAsia" w:ascii="仿宋" w:hAnsi="仿宋" w:eastAsia="仿宋" w:cs="仿宋"/>
          <w:b/>
          <w:bCs/>
          <w:sz w:val="24"/>
          <w:szCs w:val="24"/>
          <w:highlight w:val="none"/>
        </w:rPr>
      </w:pPr>
      <w:bookmarkStart w:id="28" w:name="_Toc183582206"/>
      <w:bookmarkStart w:id="29" w:name="_Toc217446035"/>
      <w:bookmarkStart w:id="30" w:name="_Toc183682343"/>
      <w:r>
        <w:rPr>
          <w:rFonts w:hint="eastAsia" w:ascii="仿宋" w:hAnsi="仿宋" w:eastAsia="仿宋" w:cs="仿宋"/>
          <w:b/>
          <w:bCs/>
          <w:sz w:val="24"/>
          <w:szCs w:val="24"/>
          <w:highlight w:val="none"/>
        </w:rPr>
        <w:t>2.</w:t>
      </w:r>
      <w:bookmarkEnd w:id="28"/>
      <w:bookmarkEnd w:id="29"/>
      <w:bookmarkEnd w:id="30"/>
      <w:r>
        <w:rPr>
          <w:rFonts w:hint="eastAsia" w:ascii="仿宋" w:hAnsi="仿宋" w:eastAsia="仿宋" w:cs="仿宋"/>
          <w:b/>
          <w:bCs/>
          <w:sz w:val="24"/>
          <w:szCs w:val="24"/>
          <w:highlight w:val="none"/>
        </w:rPr>
        <w:t>采购主体</w:t>
      </w:r>
    </w:p>
    <w:p w14:paraId="70715E91">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2.1本次采购人是</w:t>
      </w:r>
      <w:r>
        <w:rPr>
          <w:rFonts w:hint="eastAsia" w:ascii="仿宋" w:hAnsi="仿宋" w:eastAsia="仿宋" w:cs="仿宋"/>
          <w:sz w:val="24"/>
          <w:szCs w:val="24"/>
          <w:highlight w:val="none"/>
          <w:u w:val="single"/>
        </w:rPr>
        <w:t>富顺县中医医院</w:t>
      </w:r>
      <w:r>
        <w:rPr>
          <w:rFonts w:hint="eastAsia" w:ascii="仿宋" w:hAnsi="仿宋" w:eastAsia="仿宋" w:cs="仿宋"/>
          <w:sz w:val="24"/>
          <w:szCs w:val="24"/>
          <w:highlight w:val="none"/>
        </w:rPr>
        <w:t>。</w:t>
      </w:r>
    </w:p>
    <w:p w14:paraId="0BDAA9C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2.2本次采购代理机构是</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rPr>
        <w:t>。</w:t>
      </w:r>
    </w:p>
    <w:p w14:paraId="111D1CE8">
      <w:pPr>
        <w:spacing w:line="360" w:lineRule="auto"/>
        <w:ind w:firstLine="480" w:firstLineChars="200"/>
        <w:rPr>
          <w:rFonts w:hint="eastAsia" w:ascii="仿宋" w:hAnsi="仿宋" w:eastAsia="仿宋" w:cs="仿宋"/>
          <w:b/>
          <w:bCs/>
          <w:sz w:val="24"/>
          <w:szCs w:val="24"/>
          <w:highlight w:val="none"/>
        </w:rPr>
      </w:pPr>
      <w:bookmarkStart w:id="31" w:name="_Toc183682344"/>
      <w:bookmarkStart w:id="32" w:name="_Toc183582207"/>
      <w:bookmarkStart w:id="33" w:name="_Toc217390843"/>
      <w:bookmarkStart w:id="34" w:name="_Toc217446036"/>
      <w:r>
        <w:rPr>
          <w:rFonts w:hint="eastAsia" w:ascii="仿宋" w:hAnsi="仿宋" w:eastAsia="仿宋" w:cs="仿宋"/>
          <w:b/>
          <w:bCs/>
          <w:sz w:val="24"/>
          <w:szCs w:val="24"/>
          <w:highlight w:val="none"/>
        </w:rPr>
        <w:t>3.合格</w:t>
      </w:r>
      <w:bookmarkEnd w:id="31"/>
      <w:bookmarkEnd w:id="32"/>
      <w:bookmarkEnd w:id="33"/>
      <w:bookmarkEnd w:id="34"/>
      <w:r>
        <w:rPr>
          <w:rFonts w:hint="eastAsia" w:ascii="仿宋" w:hAnsi="仿宋" w:eastAsia="仿宋" w:cs="仿宋"/>
          <w:b/>
          <w:bCs/>
          <w:sz w:val="24"/>
          <w:szCs w:val="24"/>
          <w:highlight w:val="none"/>
        </w:rPr>
        <w:t>投标人（实质性要求）</w:t>
      </w:r>
    </w:p>
    <w:p w14:paraId="3481AF8E">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合格投标人应具备以下条件：</w:t>
      </w:r>
    </w:p>
    <w:p w14:paraId="35812245">
      <w:pPr>
        <w:tabs>
          <w:tab w:val="left" w:pos="7665"/>
        </w:tabs>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3.1 具备本招标文件规定的资格条件</w:t>
      </w:r>
      <w:r>
        <w:rPr>
          <w:rFonts w:hint="eastAsia" w:ascii="仿宋" w:hAnsi="仿宋" w:eastAsia="仿宋" w:cs="仿宋"/>
          <w:spacing w:val="-4"/>
          <w:sz w:val="24"/>
          <w:szCs w:val="24"/>
          <w:highlight w:val="none"/>
        </w:rPr>
        <w:t>；</w:t>
      </w:r>
    </w:p>
    <w:p w14:paraId="6E3A158F">
      <w:pPr>
        <w:tabs>
          <w:tab w:val="left" w:pos="7665"/>
        </w:tabs>
        <w:spacing w:line="360" w:lineRule="auto"/>
        <w:ind w:firstLine="464"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3.2 按照规定</w:t>
      </w:r>
      <w:r>
        <w:rPr>
          <w:rFonts w:hint="eastAsia" w:ascii="仿宋" w:hAnsi="仿宋" w:eastAsia="仿宋" w:cs="仿宋"/>
          <w:sz w:val="24"/>
          <w:szCs w:val="24"/>
          <w:highlight w:val="none"/>
        </w:rPr>
        <w:t>获取了招标文件，属于实质性参加采购活动的投标人。</w:t>
      </w:r>
      <w:bookmarkStart w:id="35" w:name="_Toc183582208"/>
      <w:bookmarkStart w:id="36" w:name="_Toc217446037"/>
      <w:bookmarkStart w:id="37" w:name="_Toc183682345"/>
    </w:p>
    <w:p w14:paraId="686E619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4.费用</w:t>
      </w:r>
      <w:bookmarkEnd w:id="35"/>
      <w:bookmarkEnd w:id="36"/>
      <w:bookmarkEnd w:id="37"/>
    </w:p>
    <w:p w14:paraId="50E51200">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投标人应自行承担参加本次采购活动的全部费用。不论结果如何，采购人、采购代理机构均无义务和责任承担这些费用。</w:t>
      </w:r>
    </w:p>
    <w:p w14:paraId="4317E1EE">
      <w:pPr>
        <w:pStyle w:val="28"/>
        <w:numPr>
          <w:ilvl w:val="0"/>
          <w:numId w:val="0"/>
        </w:numPr>
        <w:spacing w:line="360" w:lineRule="auto"/>
        <w:ind w:firstLine="480" w:firstLineChars="200"/>
        <w:rPr>
          <w:rFonts w:hint="default" w:ascii="仿宋" w:hAnsi="仿宋" w:eastAsia="仿宋" w:cs="仿宋"/>
          <w:i w:val="0"/>
          <w:iCs w:val="0"/>
          <w:color w:val="FF0000"/>
          <w:kern w:val="0"/>
          <w:sz w:val="22"/>
          <w:szCs w:val="22"/>
          <w:u w:val="none"/>
          <w:lang w:val="en-US" w:eastAsia="zh-CN" w:bidi="ar"/>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充分、公平竞争保障措施（实质性要求）</w:t>
      </w:r>
    </w:p>
    <w:p w14:paraId="2565D8C6">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利害关系投标人处理。单位负责人为同一人或者存在直接控股、管理关系的不同投标人不得参加同一合同项下的采购活动。</w:t>
      </w:r>
    </w:p>
    <w:p w14:paraId="43143781">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利害关系授权代表处理。两家以上的投标人不得在同一合同项下的采购项目中，委托同一个自然人、同一家庭的人员、同一单位的人员作为其授权代表，否则，其投标文件作为无效处理。</w:t>
      </w:r>
    </w:p>
    <w:p w14:paraId="0EB09AC4">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前期参与投标人处理。为采购项目提供整体设计、规范编制或者项目管理、监理、检测等服务的投标人，不得再参加该采购项目的其他采购活动。投标人为采购人、采购代理机构在确定招标需求、编制招标文件过程中提供咨询论证，其提供的咨询论证意见成为招标文件中规定的投标人资格条件、技术服务商务要求、评标因素和标准、采购合同等实质性内容条款的，视同为采购项目提供规范编制。</w:t>
      </w:r>
    </w:p>
    <w:p w14:paraId="390BFED9">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投标人实际控制人或者中高级管理人员，同时是采购代理机构工作人员，不得参与本项目采购活动。</w:t>
      </w:r>
    </w:p>
    <w:p w14:paraId="2CF690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投标人与采购代理机构存在关联关系，或者是采购代理机构的母公司或子公司，不得参加本项目采购活动。</w:t>
      </w:r>
    </w:p>
    <w:p w14:paraId="5811EDB0">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回避。采购活动中，采购人员及相关人员与投标人有下列利害关系之一的，应当回避：</w:t>
      </w:r>
    </w:p>
    <w:p w14:paraId="586BCA6F">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14:paraId="0318ABD7">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14:paraId="41BDCCE6">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（3）参加采购活动前3年内是投标人的控股股东或者实际控制人；</w:t>
      </w:r>
    </w:p>
    <w:p w14:paraId="79ED5762">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14:paraId="23BF74D9">
      <w:pPr>
        <w:pStyle w:val="61"/>
        <w:spacing w:after="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14:paraId="2251AFB8">
      <w:pPr>
        <w:pStyle w:val="28"/>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6.联合体参与采购活动</w:t>
      </w:r>
    </w:p>
    <w:p w14:paraId="5D60B3BD">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本项目不接受联合体参与采购活动。</w:t>
      </w:r>
    </w:p>
    <w:p w14:paraId="02B7A982">
      <w:pPr>
        <w:pStyle w:val="28"/>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7.投标保证金：本项目不收取投标保证金。</w:t>
      </w:r>
    </w:p>
    <w:p w14:paraId="09792489">
      <w:pPr>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8.投标文件有效期</w:t>
      </w:r>
    </w:p>
    <w:p w14:paraId="439E8CEF">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本项目投标文件有效期为递交投标文件截止之日起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90 </w:t>
      </w:r>
      <w:r>
        <w:rPr>
          <w:rFonts w:hint="eastAsia" w:ascii="仿宋" w:hAnsi="仿宋" w:eastAsia="仿宋" w:cs="仿宋"/>
          <w:sz w:val="24"/>
          <w:szCs w:val="24"/>
          <w:highlight w:val="none"/>
        </w:rPr>
        <w:t>天。投标人投标文件中必须载明投标文件有效期，投标文件中载明的投标文件有效期可以长于招标文件规定的期限，但不得短于招标文件规定的期限。否则，其投标文件将作为无效处理。</w:t>
      </w:r>
    </w:p>
    <w:p w14:paraId="4E951ABE">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29C9F782">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因采购人招标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48BF20E3">
      <w:pPr>
        <w:pStyle w:val="9"/>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bCs/>
          <w:sz w:val="24"/>
          <w:szCs w:val="24"/>
          <w:highlight w:val="none"/>
        </w:rPr>
        <w:t>知识产权</w:t>
      </w:r>
    </w:p>
    <w:p w14:paraId="06C6FEFE">
      <w:pPr>
        <w:pStyle w:val="9"/>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14:paraId="30205309">
      <w:pPr>
        <w:pStyle w:val="9"/>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 除非招标文件特别规定，采购人享有本项目实施过程中产生的知识成果及知识产权。</w:t>
      </w:r>
    </w:p>
    <w:p w14:paraId="09B5E5C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投标人将在招标项目实施过程中采用自有或者第三方知识成果的，应当在投标文件中载明，并提供相关知识产权证明文件。使用该知识成果后，投标人需提供开发接口和开发手册等技术资料，并承诺提供无限期支持，采购人享有使用权（含采购人委托第三方在该项目后续开发的使用权）。</w:t>
      </w:r>
    </w:p>
    <w:p w14:paraId="17B45972">
      <w:pPr>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如采用投标人所不拥有的知识产权，则在报价中必须包括合法获取该知识产权的相关费用。 </w:t>
      </w:r>
    </w:p>
    <w:p w14:paraId="1FEC8607">
      <w:pPr>
        <w:pStyle w:val="5"/>
        <w:keepNext w:val="0"/>
        <w:keepLines w:val="0"/>
        <w:spacing w:before="0" w:after="0" w:line="360" w:lineRule="auto"/>
        <w:jc w:val="center"/>
        <w:rPr>
          <w:rFonts w:hint="eastAsia" w:ascii="仿宋" w:hAnsi="仿宋" w:eastAsia="仿宋" w:cs="仿宋"/>
          <w:bCs w:val="0"/>
          <w:sz w:val="28"/>
          <w:szCs w:val="28"/>
          <w:highlight w:val="none"/>
        </w:rPr>
      </w:pPr>
      <w:bookmarkStart w:id="38" w:name="_Toc77400779"/>
      <w:bookmarkStart w:id="39" w:name="_Toc183682346"/>
      <w:bookmarkStart w:id="40" w:name="_Toc217446038"/>
      <w:bookmarkStart w:id="41" w:name="_Toc183582209"/>
      <w:bookmarkStart w:id="42" w:name="_Toc89075875"/>
      <w:bookmarkStart w:id="43" w:name="_Toc17392"/>
      <w:r>
        <w:rPr>
          <w:rFonts w:hint="eastAsia" w:ascii="仿宋" w:hAnsi="仿宋" w:eastAsia="仿宋" w:cs="仿宋"/>
          <w:bCs w:val="0"/>
          <w:sz w:val="28"/>
          <w:szCs w:val="28"/>
          <w:highlight w:val="none"/>
        </w:rPr>
        <w:t>三、</w:t>
      </w:r>
      <w:bookmarkEnd w:id="38"/>
      <w:bookmarkEnd w:id="39"/>
      <w:bookmarkEnd w:id="40"/>
      <w:bookmarkEnd w:id="41"/>
      <w:bookmarkEnd w:id="42"/>
      <w:r>
        <w:rPr>
          <w:rFonts w:hint="eastAsia" w:ascii="仿宋" w:hAnsi="仿宋" w:eastAsia="仿宋" w:cs="仿宋"/>
          <w:bCs w:val="0"/>
          <w:sz w:val="28"/>
          <w:szCs w:val="28"/>
          <w:highlight w:val="none"/>
        </w:rPr>
        <w:t>招标文件</w:t>
      </w:r>
      <w:bookmarkEnd w:id="43"/>
    </w:p>
    <w:p w14:paraId="13C49FAE">
      <w:pPr>
        <w:spacing w:line="360" w:lineRule="auto"/>
        <w:ind w:firstLine="480" w:firstLineChars="200"/>
        <w:rPr>
          <w:rFonts w:hint="eastAsia" w:ascii="仿宋" w:hAnsi="仿宋" w:eastAsia="仿宋" w:cs="仿宋"/>
          <w:b/>
          <w:bCs/>
          <w:sz w:val="24"/>
          <w:szCs w:val="24"/>
          <w:highlight w:val="none"/>
        </w:rPr>
      </w:pPr>
      <w:bookmarkStart w:id="44" w:name="_Toc217446039"/>
      <w:bookmarkStart w:id="45" w:name="_Toc183582210"/>
      <w:bookmarkStart w:id="46" w:name="_Toc183682347"/>
      <w:r>
        <w:rPr>
          <w:rFonts w:hint="eastAsia" w:ascii="仿宋" w:hAnsi="仿宋" w:eastAsia="仿宋" w:cs="仿宋"/>
          <w:b/>
          <w:bCs/>
          <w:sz w:val="24"/>
          <w:szCs w:val="24"/>
          <w:highlight w:val="none"/>
        </w:rPr>
        <w:t>10．招标文件的构成</w:t>
      </w:r>
      <w:bookmarkEnd w:id="44"/>
      <w:bookmarkEnd w:id="45"/>
      <w:bookmarkEnd w:id="46"/>
    </w:p>
    <w:p w14:paraId="0D45F5A0">
      <w:pPr>
        <w:tabs>
          <w:tab w:val="left" w:pos="7665"/>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1 招标文件是投标人准备投标文件和参加招标活动的依据，同时也是招标活动的重要依据。招标文件用以阐明招标项目所需的资质、技术、服务及报价等要求、招标程序、有关规定和注意事项以及合同主要条款等。</w:t>
      </w:r>
      <w:r>
        <w:rPr>
          <w:rFonts w:hint="eastAsia" w:ascii="仿宋" w:hAnsi="仿宋" w:eastAsia="仿宋" w:cs="仿宋"/>
          <w:sz w:val="24"/>
          <w:highlight w:val="none"/>
        </w:rPr>
        <w:t>本招标文件包括以下内容：</w:t>
      </w:r>
    </w:p>
    <w:p w14:paraId="185B02A0">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（一）投标邀请；</w:t>
      </w:r>
    </w:p>
    <w:p w14:paraId="27385C29">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（二）投标人须知；</w:t>
      </w:r>
    </w:p>
    <w:p w14:paraId="51D6061E">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（三）投标人资格条件要求；</w:t>
      </w:r>
    </w:p>
    <w:p w14:paraId="1D1798F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（四）投标人资格证明材料；</w:t>
      </w:r>
    </w:p>
    <w:p w14:paraId="1DC484EE">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（五）招标项目技术、服务、采购合同内容条款及其他商务要求；</w:t>
      </w:r>
    </w:p>
    <w:p w14:paraId="0BA983CA">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（六）投标文件格式；</w:t>
      </w:r>
    </w:p>
    <w:p w14:paraId="6108EEB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（七）评标办法；</w:t>
      </w:r>
    </w:p>
    <w:p w14:paraId="42F81F3F">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（八）采购合同（草案）；</w:t>
      </w:r>
    </w:p>
    <w:p w14:paraId="5A29FCB1">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（九）附件。</w:t>
      </w:r>
    </w:p>
    <w:p w14:paraId="327944BA">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 投标人应认真阅读和充分理解招标文件中所有的事项、格式条款和规范要求。投标人应详细阅读招标文件的全部内容，按照招标文件的要求提供投标文件，并保证所提供的全部资料的真实性和有效性，一经发现有虚假行为的，将取消其参加招标活动或中标资格，并承担相应的法律责任。</w:t>
      </w:r>
    </w:p>
    <w:p w14:paraId="07FB1A45">
      <w:pPr>
        <w:spacing w:line="360" w:lineRule="auto"/>
        <w:ind w:firstLine="480" w:firstLineChars="200"/>
        <w:rPr>
          <w:rFonts w:hint="eastAsia" w:ascii="仿宋" w:hAnsi="仿宋" w:eastAsia="仿宋" w:cs="仿宋"/>
          <w:b/>
          <w:bCs/>
          <w:sz w:val="24"/>
          <w:szCs w:val="24"/>
          <w:highlight w:val="none"/>
        </w:rPr>
      </w:pPr>
      <w:bookmarkStart w:id="47" w:name="_Toc183682348"/>
      <w:bookmarkStart w:id="48" w:name="_Toc183582211"/>
      <w:bookmarkStart w:id="49" w:name="_Toc217446040"/>
      <w:r>
        <w:rPr>
          <w:rFonts w:hint="eastAsia" w:ascii="仿宋" w:hAnsi="仿宋" w:eastAsia="仿宋" w:cs="仿宋"/>
          <w:b/>
          <w:bCs/>
          <w:sz w:val="24"/>
          <w:szCs w:val="24"/>
          <w:highlight w:val="none"/>
        </w:rPr>
        <w:t>11. 招标文件的澄清</w:t>
      </w:r>
      <w:bookmarkEnd w:id="47"/>
      <w:bookmarkEnd w:id="48"/>
      <w:r>
        <w:rPr>
          <w:rFonts w:hint="eastAsia" w:ascii="仿宋" w:hAnsi="仿宋" w:eastAsia="仿宋" w:cs="仿宋"/>
          <w:b/>
          <w:bCs/>
          <w:sz w:val="24"/>
          <w:szCs w:val="24"/>
          <w:highlight w:val="none"/>
        </w:rPr>
        <w:t>和修改</w:t>
      </w:r>
      <w:bookmarkEnd w:id="49"/>
    </w:p>
    <w:p w14:paraId="59CD4239">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在递交投标文件截止时间前，采购人、采购代理机构可以对招标文件进行澄清或者修改。</w:t>
      </w:r>
    </w:p>
    <w:p w14:paraId="24018BDA">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采购代理机构对已发出的招标文件进行澄清或者修改，应当以书面形式将澄清或者修改的内容通知所有购买了招标文件的投标人，同时在</w:t>
      </w:r>
      <w:r>
        <w:rPr>
          <w:rFonts w:hint="eastAsia" w:ascii="仿宋" w:hAnsi="仿宋" w:eastAsia="仿宋" w:cs="仿宋"/>
          <w:sz w:val="24"/>
          <w:highlight w:val="none"/>
        </w:rPr>
        <w:t>中国采购与招标网</w:t>
      </w:r>
      <w:r>
        <w:rPr>
          <w:rFonts w:hint="eastAsia" w:ascii="仿宋" w:hAnsi="仿宋" w:eastAsia="仿宋" w:cs="仿宋"/>
          <w:sz w:val="24"/>
          <w:szCs w:val="24"/>
          <w:highlight w:val="none"/>
        </w:rPr>
        <w:t>上发布更正公告。该澄清或者修改的内容为招标文件的组成部分，澄清或者修改的内容可能影响投标文件编制的，采购人或者采购代理机构发布公告并书面通知投标人的时间，应当在提交首次投标文件截止之日起15日前；不足上述时间的，应当顺延递交投标文件的截止时间。</w:t>
      </w:r>
    </w:p>
    <w:p w14:paraId="03FDB9EB">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11.3 投标人应于投标文件递交截止时间之前在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查询本项目的更正公告，以保证其对招标文件做出正确的响应。投标人未按要求下载相关文件，或由于未及时关注更正公告的信息造成的后果，其责任由投标人自行负责。</w:t>
      </w:r>
    </w:p>
    <w:p w14:paraId="6F85CCD0">
      <w:pPr>
        <w:spacing w:line="360" w:lineRule="auto"/>
        <w:ind w:firstLine="480" w:firstLineChars="200"/>
        <w:rPr>
          <w:rFonts w:hint="eastAsia" w:ascii="仿宋" w:hAnsi="仿宋" w:eastAsia="仿宋" w:cs="仿宋"/>
          <w:b/>
          <w:bCs/>
          <w:sz w:val="24"/>
          <w:szCs w:val="24"/>
          <w:highlight w:val="none"/>
        </w:rPr>
      </w:pPr>
      <w:bookmarkStart w:id="50" w:name="_Toc217446041"/>
      <w:bookmarkStart w:id="51" w:name="_Toc208848971"/>
      <w:r>
        <w:rPr>
          <w:rFonts w:hint="eastAsia" w:ascii="仿宋" w:hAnsi="仿宋" w:eastAsia="仿宋" w:cs="仿宋"/>
          <w:b/>
          <w:bCs/>
          <w:sz w:val="24"/>
          <w:szCs w:val="24"/>
          <w:highlight w:val="none"/>
        </w:rPr>
        <w:t>12. 答疑会和现场考察</w:t>
      </w:r>
      <w:bookmarkEnd w:id="50"/>
      <w:bookmarkEnd w:id="51"/>
    </w:p>
    <w:p w14:paraId="0E90AEE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根据招标项目和具体情况，采购人、采购代理机构认为有必要，可以在招标文件提供期限截止后投标文件提交截止前，组织已获取招标文件的潜在投标人现场考察或者召开答疑会。</w:t>
      </w:r>
    </w:p>
    <w:p w14:paraId="0B01BB5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采购人、采购代理机构组织现场考察或者召开答疑会的，将以书面形式通知所有获取招标文件的潜在投标人。投标人接到通知后，不按照要求参加现场考察或者答疑会的，视同放弃参加现场考察或者答疑的权利，采购人、采购代理机构不再对该投标人重新组织，但也不会以此限制投标人提交投标文件或者以此将投标人投标文件直接作为无效处理。</w:t>
      </w:r>
    </w:p>
    <w:p w14:paraId="53F7B52C">
      <w:pPr>
        <w:adjustRightInd w:val="0"/>
        <w:snapToGrid w:val="0"/>
        <w:spacing w:line="360" w:lineRule="auto"/>
        <w:ind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12.3 投标人考察现场或者参加答疑会所发生的一切费用由投标人自己承担。</w:t>
      </w:r>
    </w:p>
    <w:p w14:paraId="3BFFDE04">
      <w:pPr>
        <w:pStyle w:val="5"/>
        <w:keepNext w:val="0"/>
        <w:keepLines w:val="0"/>
        <w:spacing w:before="0" w:after="0" w:line="360" w:lineRule="auto"/>
        <w:jc w:val="center"/>
        <w:rPr>
          <w:rFonts w:hint="eastAsia" w:ascii="仿宋" w:hAnsi="仿宋" w:eastAsia="仿宋" w:cs="仿宋"/>
          <w:bCs w:val="0"/>
          <w:sz w:val="28"/>
          <w:szCs w:val="28"/>
          <w:highlight w:val="none"/>
        </w:rPr>
      </w:pPr>
      <w:bookmarkStart w:id="52" w:name="_Toc183582214"/>
      <w:bookmarkStart w:id="53" w:name="_Toc7281"/>
      <w:bookmarkStart w:id="54" w:name="_Toc77400780"/>
      <w:bookmarkStart w:id="55" w:name="_Toc217446042"/>
      <w:bookmarkStart w:id="56" w:name="_Toc89075876"/>
      <w:bookmarkStart w:id="57" w:name="_Toc183682351"/>
      <w:r>
        <w:rPr>
          <w:rFonts w:hint="eastAsia" w:ascii="仿宋" w:hAnsi="仿宋" w:eastAsia="仿宋" w:cs="仿宋"/>
          <w:bCs w:val="0"/>
          <w:sz w:val="28"/>
          <w:szCs w:val="28"/>
          <w:highlight w:val="none"/>
        </w:rPr>
        <w:t>四、投标文件</w:t>
      </w:r>
      <w:bookmarkEnd w:id="52"/>
      <w:bookmarkEnd w:id="53"/>
      <w:bookmarkEnd w:id="54"/>
      <w:bookmarkEnd w:id="55"/>
      <w:bookmarkEnd w:id="56"/>
      <w:bookmarkEnd w:id="57"/>
    </w:p>
    <w:p w14:paraId="58D9FAA3">
      <w:pPr>
        <w:spacing w:line="360" w:lineRule="auto"/>
        <w:ind w:firstLine="480" w:firstLineChars="200"/>
        <w:rPr>
          <w:rFonts w:hint="eastAsia" w:ascii="仿宋" w:hAnsi="仿宋" w:eastAsia="仿宋" w:cs="仿宋"/>
          <w:b/>
          <w:bCs/>
          <w:sz w:val="24"/>
          <w:szCs w:val="24"/>
          <w:highlight w:val="none"/>
        </w:rPr>
      </w:pPr>
      <w:bookmarkStart w:id="58" w:name="_Toc183682352"/>
      <w:bookmarkStart w:id="59" w:name="_Toc183582215"/>
      <w:bookmarkStart w:id="60" w:name="_Toc217446043"/>
      <w:r>
        <w:rPr>
          <w:rFonts w:hint="eastAsia" w:ascii="仿宋" w:hAnsi="仿宋" w:eastAsia="仿宋" w:cs="仿宋"/>
          <w:b/>
          <w:bCs/>
          <w:sz w:val="24"/>
          <w:szCs w:val="24"/>
          <w:highlight w:val="none"/>
        </w:rPr>
        <w:t>13.投标文件的组成</w:t>
      </w:r>
    </w:p>
    <w:p w14:paraId="30F9FFAA">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投标人应按照招标文件的规定和要求编制投标文件。</w:t>
      </w:r>
      <w:r>
        <w:rPr>
          <w:rFonts w:hint="eastAsia" w:ascii="仿宋" w:hAnsi="仿宋" w:eastAsia="仿宋" w:cs="仿宋"/>
          <w:b/>
          <w:bCs/>
          <w:sz w:val="24"/>
          <w:szCs w:val="24"/>
          <w:highlight w:val="none"/>
        </w:rPr>
        <w:t>投标人编写的投标文件应包括资格性投标文件和其他投标文件两部分，分册装订。</w:t>
      </w:r>
    </w:p>
    <w:p w14:paraId="1CAEF752">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文件一：资格性投标文件（实质性要求）</w:t>
      </w:r>
    </w:p>
    <w:p w14:paraId="64C7482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严格按照第三、四章要求提供相关资格、资质性及其他类似效力要求的相关证明材料。</w:t>
      </w:r>
    </w:p>
    <w:p w14:paraId="19261482">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文件二：其他投标文件</w:t>
      </w:r>
    </w:p>
    <w:p w14:paraId="6DDB6A2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14:paraId="67947B2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投标人</w:t>
      </w:r>
      <w:r>
        <w:rPr>
          <w:rFonts w:hint="eastAsia" w:ascii="仿宋" w:hAnsi="仿宋" w:eastAsia="仿宋" w:cs="仿宋"/>
          <w:sz w:val="24"/>
          <w:szCs w:val="24"/>
          <w:highlight w:val="none"/>
        </w:rPr>
        <w:t>按照招标文件要求填写的“开标一览表”（格式5）（开标一览表还需单独封装一份，用于开标用）。本次招标报价要求：</w:t>
      </w:r>
    </w:p>
    <w:p w14:paraId="3E12EC8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（1）投标人的报价是投标人响应招标项目要求的全部工作内容的价格体现，包括投标人完成本项目所需的一切费用</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23F96C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（2）投标人每种货物或服务只允许有一个报价，并且在合同履行过程中是固定不变的，任何有选择或可调整的报价将不予接受，并按无效投标处理</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55FAE655">
      <w:pPr>
        <w:pStyle w:val="2"/>
        <w:rPr>
          <w:rFonts w:hint="eastAsia"/>
        </w:rPr>
      </w:pPr>
    </w:p>
    <w:p w14:paraId="61FC60D8">
      <w:pPr>
        <w:spacing w:line="360" w:lineRule="auto"/>
        <w:ind w:firstLine="480" w:firstLineChars="200"/>
        <w:rPr>
          <w:rFonts w:hint="eastAsia" w:ascii="仿宋" w:hAnsi="仿宋" w:eastAsia="仿宋" w:cs="仿宋"/>
          <w:b/>
          <w:bCs/>
          <w:spacing w:val="6"/>
          <w:sz w:val="24"/>
          <w:highlight w:val="none"/>
        </w:rPr>
      </w:pPr>
      <w:r>
        <w:rPr>
          <w:rFonts w:hint="eastAsia" w:ascii="仿宋" w:hAnsi="仿宋" w:eastAsia="仿宋" w:cs="仿宋"/>
          <w:b/>
          <w:sz w:val="24"/>
          <w:szCs w:val="24"/>
          <w:highlight w:val="none"/>
        </w:rPr>
        <w:t>（二）</w:t>
      </w:r>
      <w:bookmarkStart w:id="61" w:name="_Toc10601_WPSOffice_Level2"/>
      <w:bookmarkStart w:id="62" w:name="_Toc1471_WPSOffice_Level2"/>
      <w:r>
        <w:rPr>
          <w:rFonts w:hint="eastAsia" w:ascii="仿宋" w:hAnsi="仿宋" w:eastAsia="仿宋" w:cs="仿宋"/>
          <w:b/>
          <w:bCs/>
          <w:spacing w:val="6"/>
          <w:sz w:val="24"/>
          <w:highlight w:val="none"/>
        </w:rPr>
        <w:t>技术服务性响应文件部分，包括但不限于以下内容：</w:t>
      </w:r>
      <w:bookmarkEnd w:id="61"/>
      <w:bookmarkEnd w:id="62"/>
    </w:p>
    <w:p w14:paraId="4E28105F">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（1）投标产品的品牌、型号、配置（包括详细的技术指标和参数）；</w:t>
      </w:r>
    </w:p>
    <w:p w14:paraId="5E7556DD">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（2）技术方案、项目实施方案、</w:t>
      </w:r>
      <w:r>
        <w:rPr>
          <w:rFonts w:hint="eastAsia" w:ascii="仿宋" w:hAnsi="仿宋" w:eastAsia="仿宋" w:cs="仿宋"/>
          <w:sz w:val="24"/>
          <w:szCs w:val="24"/>
          <w:highlight w:val="none"/>
        </w:rPr>
        <w:t>配送服务方案</w:t>
      </w:r>
      <w:r>
        <w:rPr>
          <w:rFonts w:hint="eastAsia" w:ascii="仿宋" w:hAnsi="仿宋" w:eastAsia="仿宋" w:cs="仿宋"/>
          <w:spacing w:val="6"/>
          <w:sz w:val="24"/>
          <w:highlight w:val="none"/>
        </w:rPr>
        <w:t>；</w:t>
      </w:r>
    </w:p>
    <w:p w14:paraId="43C69A5F">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（3）投标人针对本项目主要人员情况表（</w:t>
      </w:r>
      <w:r>
        <w:rPr>
          <w:rFonts w:hint="eastAsia" w:ascii="仿宋" w:hAnsi="仿宋" w:eastAsia="仿宋" w:cs="仿宋"/>
          <w:spacing w:val="6"/>
          <w:sz w:val="24"/>
          <w:szCs w:val="22"/>
          <w:highlight w:val="none"/>
        </w:rPr>
        <w:t>格式8）</w:t>
      </w:r>
      <w:r>
        <w:rPr>
          <w:rFonts w:hint="eastAsia" w:ascii="仿宋" w:hAnsi="仿宋" w:eastAsia="仿宋" w:cs="仿宋"/>
          <w:spacing w:val="6"/>
          <w:sz w:val="24"/>
          <w:highlight w:val="none"/>
        </w:rPr>
        <w:t>；</w:t>
      </w:r>
    </w:p>
    <w:p w14:paraId="541EE5D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（4）技术要求应答表（</w:t>
      </w:r>
      <w:r>
        <w:rPr>
          <w:rFonts w:hint="eastAsia" w:ascii="仿宋" w:hAnsi="仿宋" w:eastAsia="仿宋" w:cs="仿宋"/>
          <w:spacing w:val="6"/>
          <w:sz w:val="24"/>
          <w:szCs w:val="22"/>
          <w:highlight w:val="none"/>
        </w:rPr>
        <w:t>格式6</w:t>
      </w:r>
      <w:r>
        <w:rPr>
          <w:rFonts w:hint="eastAsia" w:ascii="仿宋" w:hAnsi="仿宋" w:eastAsia="仿宋" w:cs="仿宋"/>
          <w:spacing w:val="6"/>
          <w:sz w:val="24"/>
          <w:highlight w:val="none"/>
        </w:rPr>
        <w:t>）；</w:t>
      </w:r>
    </w:p>
    <w:p w14:paraId="58DF7058">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（5）产品彩页资料；</w:t>
      </w:r>
    </w:p>
    <w:p w14:paraId="1BBED9E1">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（6）产品工作环境条件；</w:t>
      </w:r>
    </w:p>
    <w:p w14:paraId="61F75AA6">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（7）产品验收标准和验收方法；</w:t>
      </w:r>
    </w:p>
    <w:p w14:paraId="1E7BA39C">
      <w:pPr>
        <w:snapToGrid w:val="0"/>
        <w:spacing w:line="360" w:lineRule="auto"/>
        <w:ind w:firstLine="504" w:firstLineChars="200"/>
        <w:rPr>
          <w:rFonts w:hint="eastAsia" w:ascii="仿宋" w:hAnsi="仿宋" w:eastAsia="仿宋" w:cs="仿宋"/>
          <w:color w:val="FF0000"/>
          <w:spacing w:val="6"/>
          <w:sz w:val="24"/>
          <w:highlight w:val="none"/>
        </w:rPr>
      </w:pPr>
      <w:r>
        <w:rPr>
          <w:rFonts w:hint="eastAsia" w:ascii="仿宋" w:hAnsi="仿宋" w:eastAsia="仿宋" w:cs="仿宋"/>
          <w:spacing w:val="6"/>
          <w:sz w:val="24"/>
          <w:highlight w:val="none"/>
        </w:rPr>
        <w:t>（8）产品验收清单（注明各部件的品名、数量、价格、规格型号和原产地或生产厂家）；</w:t>
      </w:r>
    </w:p>
    <w:p w14:paraId="4E6096B7">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（9）投标人认为需要提供的文件和资料。</w:t>
      </w:r>
    </w:p>
    <w:p w14:paraId="26D476F3">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（三）商务部分。投标人按照招标文件要求提供的有关文件及优惠承诺。包括以下内容： （1）投标人承诺给予招标采购单位的各种优惠条件（优惠条件事项不能包括采购项目 本身所包括涉及的采购事项。投标人不能以“赠送、赠予”等任何名义提供服务以规避招标文件的约束。否则，投标人提供的投标文件将作为无效投标处理，即使中标也将取消中标资 格；如不涉及优惠条件，未提供承诺则不影响投标文件有效性）；</w:t>
      </w:r>
    </w:p>
    <w:p w14:paraId="2F988DE3">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（2）投标函原件（格式详见第六章）； </w:t>
      </w:r>
    </w:p>
    <w:p w14:paraId="0CB2B1F3">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（3）投标人基本情况表（</w:t>
      </w:r>
      <w:r>
        <w:rPr>
          <w:rFonts w:hint="eastAsia" w:ascii="仿宋" w:hAnsi="仿宋" w:eastAsia="仿宋" w:cs="仿宋"/>
          <w:spacing w:val="6"/>
          <w:sz w:val="24"/>
          <w:szCs w:val="22"/>
          <w:highlight w:val="none"/>
        </w:rPr>
        <w:t>格式2</w:t>
      </w:r>
      <w:r>
        <w:rPr>
          <w:rFonts w:hint="eastAsia" w:ascii="仿宋" w:hAnsi="仿宋" w:eastAsia="仿宋" w:cs="仿宋"/>
          <w:spacing w:val="6"/>
          <w:sz w:val="24"/>
          <w:highlight w:val="none"/>
        </w:rPr>
        <w:t xml:space="preserve">）； </w:t>
      </w:r>
    </w:p>
    <w:p w14:paraId="3ED28AF0">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（4）投标人类似项目业绩一览表（格式自拟）及证明投标人业绩和荣誉的有关材料复印件； </w:t>
      </w:r>
    </w:p>
    <w:p w14:paraId="5EC69F29">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（5）商务应答表（</w:t>
      </w:r>
      <w:r>
        <w:rPr>
          <w:rFonts w:hint="eastAsia" w:ascii="仿宋" w:hAnsi="仿宋" w:eastAsia="仿宋" w:cs="仿宋"/>
          <w:spacing w:val="6"/>
          <w:sz w:val="24"/>
          <w:szCs w:val="22"/>
          <w:highlight w:val="none"/>
        </w:rPr>
        <w:t>格式7</w:t>
      </w:r>
      <w:r>
        <w:rPr>
          <w:rFonts w:hint="eastAsia" w:ascii="仿宋" w:hAnsi="仿宋" w:eastAsia="仿宋" w:cs="仿宋"/>
          <w:spacing w:val="6"/>
          <w:sz w:val="24"/>
          <w:highlight w:val="none"/>
        </w:rPr>
        <w:t xml:space="preserve">）； </w:t>
      </w:r>
    </w:p>
    <w:p w14:paraId="6FC80987">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（6）其他投标人认为需要提供的文件和资料。 </w:t>
      </w:r>
    </w:p>
    <w:p w14:paraId="2D095F4C">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（四）售后服务。投标人按照招标文件中售后服务要求作出的积极响应和承诺。包括以下内容（如涉及）： </w:t>
      </w:r>
    </w:p>
    <w:p w14:paraId="12122ADC">
      <w:pPr>
        <w:snapToGrid w:val="0"/>
        <w:spacing w:line="360" w:lineRule="auto"/>
        <w:ind w:left="775" w:leftChars="228"/>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（1）产品制造厂家或投标人设立的售后服务机构网点清单、服务电话和维修人员名单； </w:t>
      </w:r>
    </w:p>
    <w:p w14:paraId="313D417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（2）说明投标产品的保修时间、保修期内的保修内容与范围、维修响应时间等。分别提供产品制造厂家和投标人的服务承诺和保障措施； </w:t>
      </w:r>
    </w:p>
    <w:p w14:paraId="393E1EEB">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（3）培训措施：说明培训内容及培训的时间、地点、目标、培训人数、收费标准和办法； </w:t>
      </w:r>
    </w:p>
    <w:p w14:paraId="487C50A0">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（4）其他有利于用户的服务承诺。 注：投标人承诺的保修时间、保修内容与范围等需要投标产品制造厂家提供合法渠道证明文件的，投标人必须保证其承诺的保修时间、保修内容与范围等得到了制造厂家授权，如其承诺的保修时间、保修内容与范围等与制造厂家授权不一致的，以提供虚假材料谋取中标处理。 </w:t>
      </w:r>
    </w:p>
    <w:p w14:paraId="68CEA11E">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14.投标文件的语言</w:t>
      </w:r>
      <w:bookmarkEnd w:id="58"/>
      <w:bookmarkEnd w:id="59"/>
      <w:bookmarkEnd w:id="60"/>
    </w:p>
    <w:p w14:paraId="17EF7CC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投标人提交的投标文件以及投标人与采购人、采购代理机构就有关报价的所有来往书面文件均须使用中文。投标文件中如附有外文资料，必须逐一对应翻译成中文并加盖投标人公章后附在相关外文资料后面，否则，投标人的投标文件将作为无效处理。（说明：投标人的法定代表人为外籍人士的，法定代表人的签字和护照除外。）</w:t>
      </w:r>
    </w:p>
    <w:p w14:paraId="4213AB3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翻译的中文资料与外文资料如果出现差异和矛盾，以中文为准。但不能故意错误翻译，否则，投标人的投标文件将作为无效处理。</w:t>
      </w:r>
    </w:p>
    <w:p w14:paraId="1DB11F97">
      <w:pPr>
        <w:spacing w:line="360" w:lineRule="auto"/>
        <w:ind w:firstLine="480" w:firstLineChars="200"/>
        <w:rPr>
          <w:rFonts w:hint="eastAsia" w:ascii="仿宋" w:hAnsi="仿宋" w:eastAsia="仿宋" w:cs="仿宋"/>
          <w:b/>
          <w:bCs/>
          <w:sz w:val="24"/>
          <w:szCs w:val="24"/>
          <w:highlight w:val="none"/>
        </w:rPr>
      </w:pPr>
      <w:bookmarkStart w:id="63" w:name="_Toc217446044"/>
      <w:bookmarkStart w:id="64" w:name="_Toc183682353"/>
      <w:bookmarkStart w:id="65" w:name="_Toc183582216"/>
      <w:r>
        <w:rPr>
          <w:rFonts w:hint="eastAsia" w:ascii="仿宋" w:hAnsi="仿宋" w:eastAsia="仿宋" w:cs="仿宋"/>
          <w:b/>
          <w:bCs/>
          <w:sz w:val="24"/>
          <w:szCs w:val="24"/>
          <w:highlight w:val="none"/>
        </w:rPr>
        <w:t>15．计量单位</w:t>
      </w:r>
      <w:bookmarkEnd w:id="63"/>
      <w:bookmarkEnd w:id="64"/>
      <w:bookmarkEnd w:id="65"/>
    </w:p>
    <w:p w14:paraId="60384F10">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除招标文件中另有规定外，本次招标项目所有合同项下的报价均采用国家法定的计量单位。</w:t>
      </w:r>
    </w:p>
    <w:p w14:paraId="189561F7">
      <w:pPr>
        <w:spacing w:line="360" w:lineRule="auto"/>
        <w:ind w:firstLine="468" w:firstLineChars="195"/>
        <w:rPr>
          <w:rFonts w:hint="eastAsia" w:ascii="仿宋" w:hAnsi="仿宋" w:eastAsia="仿宋" w:cs="仿宋"/>
          <w:b/>
          <w:bCs/>
          <w:sz w:val="24"/>
          <w:szCs w:val="24"/>
          <w:highlight w:val="none"/>
        </w:rPr>
      </w:pPr>
      <w:bookmarkStart w:id="66" w:name="_Toc217446045"/>
      <w:r>
        <w:rPr>
          <w:rFonts w:hint="eastAsia" w:ascii="仿宋" w:hAnsi="仿宋" w:eastAsia="仿宋" w:cs="仿宋"/>
          <w:b/>
          <w:bCs/>
          <w:sz w:val="24"/>
          <w:szCs w:val="24"/>
          <w:highlight w:val="none"/>
        </w:rPr>
        <w:t xml:space="preserve">16. </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rPr>
        <w:t>货币</w:t>
      </w:r>
    </w:p>
    <w:p w14:paraId="5916708F">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本次项目的</w:t>
      </w:r>
      <w:r>
        <w:rPr>
          <w:rFonts w:hint="eastAsia" w:ascii="仿宋" w:hAnsi="仿宋" w:eastAsia="仿宋" w:cs="仿宋"/>
          <w:sz w:val="24"/>
          <w:szCs w:val="24"/>
          <w:highlight w:val="none"/>
        </w:rPr>
        <w:t>报价货币为</w:t>
      </w:r>
      <w:r>
        <w:rPr>
          <w:rFonts w:hint="eastAsia" w:ascii="仿宋" w:hAnsi="仿宋" w:eastAsia="仿宋" w:cs="仿宋"/>
          <w:bCs/>
          <w:sz w:val="24"/>
          <w:szCs w:val="24"/>
          <w:highlight w:val="none"/>
        </w:rPr>
        <w:t>人民币，报价以招标文件规定为准。</w:t>
      </w:r>
    </w:p>
    <w:bookmarkEnd w:id="66"/>
    <w:p w14:paraId="30EE610B">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17.投标文件格式</w:t>
      </w:r>
    </w:p>
    <w:p w14:paraId="50DE3DC4">
      <w:pPr>
        <w:spacing w:line="360" w:lineRule="auto"/>
        <w:ind w:left="3" w:leftChars="1"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 投标人应尽量按照招标文件第六章中提供的“投标文件格式”填写相关内容。因投标文件格式形式不规范或者内容不齐全导致为无效文件的风险由投标人自行承担。</w:t>
      </w:r>
    </w:p>
    <w:p w14:paraId="2B790C85">
      <w:pPr>
        <w:spacing w:line="360" w:lineRule="auto"/>
        <w:ind w:left="3" w:leftChars="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对于没有格式要求的招标文件由投标人自行编写。</w:t>
      </w:r>
    </w:p>
    <w:p w14:paraId="1F38F694">
      <w:pPr>
        <w:spacing w:line="360" w:lineRule="auto"/>
        <w:ind w:firstLine="470" w:firstLineChars="196"/>
        <w:rPr>
          <w:rFonts w:hint="eastAsia" w:ascii="仿宋" w:hAnsi="仿宋" w:eastAsia="仿宋" w:cs="仿宋"/>
          <w:b/>
          <w:sz w:val="24"/>
          <w:szCs w:val="24"/>
          <w:highlight w:val="none"/>
        </w:rPr>
      </w:pPr>
      <w:bookmarkStart w:id="67" w:name="_Toc217446051"/>
      <w:bookmarkStart w:id="68" w:name="_Toc183682361"/>
      <w:bookmarkStart w:id="69" w:name="_Toc183582224"/>
      <w:r>
        <w:rPr>
          <w:rFonts w:hint="eastAsia" w:ascii="仿宋" w:hAnsi="仿宋" w:eastAsia="仿宋" w:cs="仿宋"/>
          <w:b/>
          <w:sz w:val="24"/>
          <w:szCs w:val="24"/>
          <w:highlight w:val="none"/>
        </w:rPr>
        <w:t>18.投标文件的编制和签署</w:t>
      </w:r>
    </w:p>
    <w:p w14:paraId="22430F0B">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sz w:val="24"/>
          <w:szCs w:val="24"/>
          <w:highlight w:val="none"/>
        </w:rPr>
        <w:t>18.1 资格性投标文件正本1份副本4份</w:t>
      </w:r>
      <w:r>
        <w:rPr>
          <w:rFonts w:hint="eastAsia" w:ascii="仿宋" w:hAnsi="仿宋" w:eastAsia="仿宋" w:cs="仿宋"/>
          <w:bCs/>
          <w:sz w:val="24"/>
          <w:szCs w:val="24"/>
          <w:highlight w:val="none"/>
        </w:rPr>
        <w:t>，并在其封面上清楚地标明资格性投标文件、招标项目名称、招标项目编号、包件号及名称（若有）、投标人名称以及“正本”或“副本”字样。若正本和副本有不一致的内容，以正本书面投标文件为准。</w:t>
      </w:r>
    </w:p>
    <w:p w14:paraId="13DA6488">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18.2 其他投标文件正本1份副本4份，并在其封面上清楚地标明其他投标文件、招标项目名称、招标项目编号、包件号及名称（若有）、投标人名称以及“正本”或“副本”字。若正本和副本有不一致的内容，以正本书面投标文件为准。</w:t>
      </w:r>
    </w:p>
    <w:p w14:paraId="2E2958AC">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18.3投标文件电子版1份，投标文件电子版须包含资格性投标文件、其他投标文件，制作为PDF格式文件，并拷贝到空白U盘中，U盘表面应标注投标人名称；投标人递交的电子版与纸质版正本不得出现实质性不一致（如内容不齐全、模糊不清等）的任何情形。</w:t>
      </w:r>
    </w:p>
    <w:bookmarkEnd w:id="67"/>
    <w:bookmarkEnd w:id="68"/>
    <w:bookmarkEnd w:id="69"/>
    <w:p w14:paraId="3BF66CBA">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18.4 投标文件正本和副本均需在规定签章处签字和盖章。投标文件副本可采用正本的复印件，电子文档采用U盘制作。</w:t>
      </w:r>
    </w:p>
    <w:p w14:paraId="2591C5B4">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18.5投标文件的打印和书写应清楚工整，任何行间插字、涂改或增删，必须由投标人的法定代表人或其授权代表签字并盖投标人公章。</w:t>
      </w:r>
    </w:p>
    <w:p w14:paraId="143D195B">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18.6投标文件应由投标人法定代表人/主要负责人/本人或其授权代表在投标文件要求的地方签字（或加盖私人印章），要求加盖公章的地方加盖单位公章，不得使用专用章（如经济合同章、投标专用章等）或下属单位印章代替。</w:t>
      </w:r>
    </w:p>
    <w:p w14:paraId="3D2D20C3">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18.7投标文件正本和副本需要逐页编目编码。</w:t>
      </w:r>
    </w:p>
    <w:p w14:paraId="28621673">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18.8投标文件正本和副本应当采用胶装方式装订成册，不得散装或者合页装订。</w:t>
      </w:r>
    </w:p>
    <w:p w14:paraId="677B4342">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18.9投标文件应根据招标文件的要求制作，签署、盖章。</w:t>
      </w:r>
    </w:p>
    <w:p w14:paraId="5A73A31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18.10投标文件统一用A4幅面纸印制，除另有规定外。</w:t>
      </w:r>
    </w:p>
    <w:p w14:paraId="2A24BD96">
      <w:pPr>
        <w:tabs>
          <w:tab w:val="left" w:pos="1080"/>
        </w:tabs>
        <w:spacing w:line="360" w:lineRule="auto"/>
        <w:ind w:firstLine="460" w:firstLineChars="192"/>
        <w:rPr>
          <w:rFonts w:hint="eastAsia" w:ascii="仿宋" w:hAnsi="仿宋" w:eastAsia="仿宋" w:cs="仿宋"/>
          <w:b/>
          <w:sz w:val="24"/>
          <w:szCs w:val="24"/>
          <w:highlight w:val="none"/>
        </w:rPr>
      </w:pPr>
      <w:bookmarkStart w:id="70" w:name="_Toc183682363"/>
      <w:bookmarkStart w:id="71" w:name="_Toc183582226"/>
      <w:bookmarkStart w:id="72" w:name="_Toc217446053"/>
      <w:bookmarkStart w:id="73" w:name="_Toc77400781"/>
      <w:bookmarkStart w:id="74" w:name="_Toc89075877"/>
      <w:r>
        <w:rPr>
          <w:rFonts w:hint="eastAsia" w:ascii="仿宋" w:hAnsi="仿宋" w:eastAsia="仿宋" w:cs="仿宋"/>
          <w:b/>
          <w:sz w:val="24"/>
          <w:szCs w:val="24"/>
          <w:highlight w:val="none"/>
        </w:rPr>
        <w:t>19.投标文件的密封和标注（不属于本项目评标小组评标范畴，由采购人、采购代理机构在接收投标文件时及时处理）。</w:t>
      </w:r>
    </w:p>
    <w:p w14:paraId="4A44C3E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b/>
          <w:bCs/>
          <w:sz w:val="24"/>
          <w:szCs w:val="24"/>
          <w:highlight w:val="none"/>
        </w:rPr>
        <w:t>除开标一览表必须单独密封包装外，投标文件可以单独密封包装，也可以所有投标文件密封包装在一个密封袋内。</w:t>
      </w:r>
    </w:p>
    <w:p w14:paraId="5D7FD7EF">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19.2 投标文件密封袋的最外层应清楚地标明招标项目名称、招标项目编号、包件号及名称（若有）、投标人名称</w:t>
      </w:r>
      <w:r>
        <w:rPr>
          <w:rFonts w:hint="eastAsia" w:ascii="仿宋" w:hAnsi="仿宋" w:eastAsia="仿宋" w:cs="仿宋"/>
          <w:bCs/>
          <w:sz w:val="24"/>
          <w:szCs w:val="24"/>
          <w:highlight w:val="none"/>
        </w:rPr>
        <w:t>，（详见第六章格式10和格式11）；每一密封件上应注明“于   年  月  日  时  分之前不准启封”字样</w:t>
      </w:r>
      <w:r>
        <w:rPr>
          <w:rFonts w:hint="eastAsia" w:ascii="仿宋" w:hAnsi="仿宋" w:eastAsia="仿宋" w:cs="仿宋"/>
          <w:sz w:val="24"/>
          <w:szCs w:val="24"/>
          <w:highlight w:val="none"/>
        </w:rPr>
        <w:t>。</w:t>
      </w:r>
    </w:p>
    <w:p w14:paraId="4E269767">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19.3 所有外层密封袋的封口处应粘贴牢固</w:t>
      </w:r>
      <w:r>
        <w:rPr>
          <w:rFonts w:hint="eastAsia" w:ascii="仿宋" w:hAnsi="仿宋" w:eastAsia="仿宋" w:cs="仿宋"/>
          <w:sz w:val="24"/>
          <w:highlight w:val="none"/>
        </w:rPr>
        <w:t>，</w:t>
      </w:r>
      <w:r>
        <w:rPr>
          <w:rFonts w:hint="eastAsia" w:ascii="仿宋" w:hAnsi="仿宋" w:eastAsia="仿宋" w:cs="仿宋"/>
          <w:b/>
          <w:bCs/>
          <w:sz w:val="24"/>
          <w:highlight w:val="none"/>
        </w:rPr>
        <w:t>并在封口处加盖单位公章</w:t>
      </w:r>
      <w:r>
        <w:rPr>
          <w:rFonts w:hint="eastAsia" w:ascii="仿宋" w:hAnsi="仿宋" w:eastAsia="仿宋" w:cs="仿宋"/>
          <w:sz w:val="24"/>
          <w:szCs w:val="24"/>
          <w:highlight w:val="none"/>
        </w:rPr>
        <w:t>。</w:t>
      </w:r>
    </w:p>
    <w:p w14:paraId="32EFD912">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19.4 未按以上要求进行密封和标注的投标文件，采购人、采购代理机构将拒收或者在时间允许的范围内，要求修改完善后接收，若在递交投标文件截止时间前未完善并递交，将作为未按规定时间递交投标文件处理；递交后，由于密封不牢固造成提前开封的投标文件，采购代理机构将予以拒绝，并退回投标人。</w:t>
      </w:r>
    </w:p>
    <w:p w14:paraId="7718C60F">
      <w:pPr>
        <w:tabs>
          <w:tab w:val="left" w:pos="1080"/>
        </w:tabs>
        <w:spacing w:line="360" w:lineRule="auto"/>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20.投标文件的递交</w:t>
      </w:r>
    </w:p>
    <w:p w14:paraId="517282A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20.1 资格性投标文件、其他投标文件、开标一览表和投标</w:t>
      </w:r>
      <w:r>
        <w:rPr>
          <w:rFonts w:hint="eastAsia" w:ascii="仿宋" w:hAnsi="仿宋" w:eastAsia="仿宋" w:cs="仿宋"/>
          <w:sz w:val="24"/>
          <w:szCs w:val="24"/>
          <w:highlight w:val="none"/>
          <w:lang w:val="zh-CN"/>
        </w:rPr>
        <w:t>文件电子版（</w:t>
      </w:r>
      <w:r>
        <w:rPr>
          <w:rFonts w:hint="eastAsia" w:ascii="仿宋" w:hAnsi="仿宋" w:eastAsia="仿宋" w:cs="仿宋"/>
          <w:sz w:val="24"/>
          <w:szCs w:val="24"/>
          <w:highlight w:val="none"/>
        </w:rPr>
        <w:t>U盘）应于递交投标文件截止时间前送达指定地点，采购代理机构拒绝接收截止时间后送达的投标文件。递交投标文件时，报名投标人名称和招标文件的文号、分包号应当与投标人名称和投标文件的文号、分包号一致。但是，投标文件实质内容报名投标人名称和招标文件的文号、分包号一致，只是封面文字错误的，可以在评标过程中当面予以澄清，以有效的澄清材料作为认定投标文件是否有效的依据。</w:t>
      </w:r>
    </w:p>
    <w:p w14:paraId="591B27BA">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20.2 本次招标不接收邮寄的投标文件。</w:t>
      </w:r>
    </w:p>
    <w:bookmarkEnd w:id="70"/>
    <w:bookmarkEnd w:id="71"/>
    <w:bookmarkEnd w:id="72"/>
    <w:bookmarkEnd w:id="73"/>
    <w:bookmarkEnd w:id="74"/>
    <w:p w14:paraId="1EF80E2F">
      <w:pPr>
        <w:tabs>
          <w:tab w:val="left" w:pos="1080"/>
        </w:tabs>
        <w:spacing w:line="360" w:lineRule="auto"/>
        <w:ind w:firstLine="460" w:firstLineChars="192"/>
        <w:rPr>
          <w:rFonts w:hint="eastAsia" w:ascii="仿宋" w:hAnsi="仿宋" w:eastAsia="仿宋" w:cs="仿宋"/>
          <w:b/>
          <w:sz w:val="24"/>
          <w:szCs w:val="24"/>
          <w:highlight w:val="none"/>
        </w:rPr>
      </w:pPr>
      <w:bookmarkStart w:id="75" w:name="_Toc217446055"/>
      <w:bookmarkStart w:id="76" w:name="_Toc183582228"/>
      <w:bookmarkStart w:id="77" w:name="_Toc183682365"/>
      <w:r>
        <w:rPr>
          <w:rFonts w:hint="eastAsia" w:ascii="仿宋" w:hAnsi="仿宋" w:eastAsia="仿宋" w:cs="仿宋"/>
          <w:b/>
          <w:sz w:val="24"/>
          <w:szCs w:val="24"/>
          <w:highlight w:val="none"/>
        </w:rPr>
        <w:t>21.投标文件的修改和撤回（补充、修改投标文件的密封和标注按照本章“19.投标文件的密封和标注”规定处理）</w:t>
      </w:r>
    </w:p>
    <w:p w14:paraId="4A3128CC">
      <w:pPr>
        <w:pStyle w:val="7"/>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21.1投标人在提交投标文件后可对其投标文件进行修改或撤回，但该修改或撤回的书面通知须在递交截止时间之前送达采购代理机构，补充、修改的内容作为投标文件的组成部分。且该通知需经正式授权的投标人代表签字方为有效。 投标人在提交投标文件截止时间前，可以对所提交的投标文件进行补充、修改或者撤回，补充、修改的内容与投标文件不一致的，以补充、修改的内容为准。</w:t>
      </w:r>
    </w:p>
    <w:p w14:paraId="327EF635">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21.2投标人对投标文件修改的书面材料或撤回的通知应该按规定进行编写、密封、标注和递送，并注明“修改投标文件”字样。</w:t>
      </w:r>
    </w:p>
    <w:p w14:paraId="1801621D">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21.3投标人不得在递交截止时间起至投标文件有效期期满前撤销其投标文件。否则其投标保证金将按“投标人须知第二部分7”的相关规定被没收。</w:t>
      </w:r>
    </w:p>
    <w:p w14:paraId="6D377123">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21.4在递交投标文件截止时间之后，投标人不得对其投标文件进行任何修改，已经递交的投标文件采购人、采购代理机构可以不予退还。</w:t>
      </w:r>
    </w:p>
    <w:p w14:paraId="6C2898FB">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21.5 投标文件中报价如果出现下列不一致的，可按以下原则进行修改：</w:t>
      </w:r>
    </w:p>
    <w:p w14:paraId="46CA8CDF">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（一）大写金额和小写金额不一致的，以大写金额为准，但大写金额文字存在错误的，应当先对大写金额的文字错误进行澄清、说明或者更正，再行修正。</w:t>
      </w:r>
    </w:p>
    <w:p w14:paraId="73AF9073">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04CBE884">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（三）单价金额小数点或者百分比有明显错位的，以总价为准，修正单价。</w:t>
      </w:r>
    </w:p>
    <w:p w14:paraId="1B3DA6E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上述规定的顺序修正。修正后的报价经投标人确认后产生约束力，投标人不确认的，其投标文件作为无效处理。投标人确认采取书面且加盖单位公章或者投标人授权代表签字的方式。</w:t>
      </w:r>
    </w:p>
    <w:p w14:paraId="22689CD9">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21.6投标人对其提交的投标文件的真实性、合法性承担法律责任。</w:t>
      </w:r>
      <w:bookmarkEnd w:id="75"/>
      <w:bookmarkEnd w:id="76"/>
      <w:bookmarkEnd w:id="77"/>
    </w:p>
    <w:p w14:paraId="3A95F7F8">
      <w:pPr>
        <w:pStyle w:val="5"/>
        <w:keepNext w:val="0"/>
        <w:keepLines w:val="0"/>
        <w:spacing w:line="360" w:lineRule="auto"/>
        <w:jc w:val="center"/>
        <w:rPr>
          <w:rFonts w:hint="eastAsia" w:ascii="仿宋" w:hAnsi="仿宋" w:eastAsia="仿宋" w:cs="仿宋"/>
          <w:sz w:val="28"/>
          <w:szCs w:val="28"/>
          <w:highlight w:val="none"/>
        </w:rPr>
      </w:pPr>
      <w:bookmarkStart w:id="78" w:name="_Toc17634"/>
      <w:bookmarkStart w:id="79" w:name="_Toc89075878"/>
      <w:bookmarkStart w:id="80" w:name="_Toc217446056"/>
      <w:bookmarkStart w:id="81" w:name="_Toc183682368"/>
      <w:bookmarkStart w:id="82" w:name="_Toc183582231"/>
      <w:bookmarkStart w:id="83" w:name="_Toc77400782"/>
      <w:r>
        <w:rPr>
          <w:rFonts w:hint="eastAsia" w:ascii="仿宋" w:hAnsi="仿宋" w:eastAsia="仿宋" w:cs="仿宋"/>
          <w:sz w:val="28"/>
          <w:szCs w:val="28"/>
          <w:highlight w:val="none"/>
        </w:rPr>
        <w:t>五、评标</w:t>
      </w:r>
      <w:bookmarkEnd w:id="78"/>
    </w:p>
    <w:p w14:paraId="2357D4FD">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22.评标小组的组建及其评标工作按照本文件第七章的规定进行。</w:t>
      </w:r>
    </w:p>
    <w:p w14:paraId="7C14E5E7">
      <w:pPr>
        <w:pStyle w:val="5"/>
        <w:keepNext w:val="0"/>
        <w:keepLines w:val="0"/>
        <w:spacing w:line="360" w:lineRule="auto"/>
        <w:jc w:val="center"/>
        <w:rPr>
          <w:rFonts w:hint="eastAsia" w:ascii="仿宋" w:hAnsi="仿宋" w:eastAsia="仿宋" w:cs="仿宋"/>
          <w:sz w:val="28"/>
          <w:szCs w:val="28"/>
          <w:highlight w:val="none"/>
        </w:rPr>
      </w:pPr>
      <w:bookmarkStart w:id="84" w:name="_Toc4130"/>
      <w:r>
        <w:rPr>
          <w:rFonts w:hint="eastAsia" w:ascii="仿宋" w:hAnsi="仿宋" w:eastAsia="仿宋" w:cs="仿宋"/>
          <w:sz w:val="28"/>
          <w:szCs w:val="28"/>
          <w:highlight w:val="none"/>
        </w:rPr>
        <w:t>六、定 标</w:t>
      </w:r>
      <w:bookmarkEnd w:id="84"/>
    </w:p>
    <w:p w14:paraId="1F2D3748">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23.定标原则</w:t>
      </w:r>
    </w:p>
    <w:p w14:paraId="1EF34C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采购人将按评标委员会推荐的中标候选人顺序确定中标人。</w:t>
      </w:r>
    </w:p>
    <w:p w14:paraId="527A521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23.1采购代理机构自评标结束后2个工作日内将评标报告及有关资料送交采购人。</w:t>
      </w:r>
    </w:p>
    <w:p w14:paraId="1829712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采购人收到评标报告及有关资料后，将在5个工作日内按照评标报告中推荐的中标候选人顺序确定中标人。采购人逾期未确定中标人且不提出异议的，视为确定评标报告提出的排序第一的投标人为中标人。</w:t>
      </w:r>
    </w:p>
    <w:p w14:paraId="521A663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23.3采购人确定中标人过程中，发现中标人有下列情形之一的，应当不予确定其为中标人：</w:t>
      </w:r>
    </w:p>
    <w:p w14:paraId="49CBCFB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（1）发现中标候选人存在禁止参加本项目采购活动的违法行为的；</w:t>
      </w:r>
    </w:p>
    <w:p w14:paraId="07E270E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（2）中标候选人因不可抗力，不能继续参加采购活动；</w:t>
      </w:r>
    </w:p>
    <w:p w14:paraId="5D22D2E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（3）中标候选人无偿赠与或者低于成本价竞争；</w:t>
      </w:r>
    </w:p>
    <w:p w14:paraId="26BE89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（4）中标候选人提供虚假材料；</w:t>
      </w:r>
    </w:p>
    <w:p w14:paraId="370F0A5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 （5）</w:t>
      </w:r>
      <w:r>
        <w:rPr>
          <w:rFonts w:hint="eastAsia" w:ascii="仿宋" w:hAnsi="仿宋" w:eastAsia="仿宋" w:cs="仿宋"/>
          <w:sz w:val="24"/>
          <w:szCs w:val="24"/>
          <w:highlight w:val="none"/>
        </w:rPr>
        <w:t>中标候选人</w:t>
      </w:r>
      <w:r>
        <w:rPr>
          <w:rFonts w:hint="eastAsia" w:ascii="仿宋" w:hAnsi="仿宋" w:eastAsia="仿宋" w:cs="仿宋"/>
          <w:kern w:val="2"/>
          <w:sz w:val="24"/>
          <w:szCs w:val="24"/>
          <w:highlight w:val="none"/>
        </w:rPr>
        <w:t>书面自愿放弃中标，且无其他非法目的的；</w:t>
      </w:r>
    </w:p>
    <w:p w14:paraId="50AF39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（6）中标候选人恶意串通；</w:t>
      </w:r>
    </w:p>
    <w:p w14:paraId="2ECFC55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（7）其他不应中标候选人的情形。</w:t>
      </w:r>
    </w:p>
    <w:p w14:paraId="572F82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中标候选人有本条情形之一的，采购人可以确定后一位中标候选人为中标人，依次类推。无法确定中标人的，应当重新组织采购。中标候选人以本款第（5）项放弃中标的，应当不予退还其投标保证金。</w:t>
      </w:r>
    </w:p>
    <w:p w14:paraId="67AFCA83">
      <w:pPr>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23.4 采购代理机构将根据采购人确定的中标人，在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上发布中标公告，同时向中标人发出中标通知书。采购人、采购代理机构不解释中标或落标原因，不退回投标文件和其他投标资料。</w:t>
      </w:r>
    </w:p>
    <w:p w14:paraId="7892A35E">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24.中标结果</w:t>
      </w:r>
    </w:p>
    <w:p w14:paraId="281E320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24.1中标人应当及时领取中标通知书。本项目需要交纳履约保证金的，中标人应当及时向采购人交纳。</w:t>
      </w:r>
    </w:p>
    <w:p w14:paraId="77F5D138">
      <w:pPr>
        <w:spacing w:line="360" w:lineRule="auto"/>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24.2中标人不能及时领取中标通知书，采购人或者采购代理机应当通过邮寄、快递等方式将项目中标通知书送达中标人。</w:t>
      </w:r>
    </w:p>
    <w:p w14:paraId="1EE09B7C">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25.中标通知书</w:t>
      </w:r>
    </w:p>
    <w:p w14:paraId="0A97A71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25.1中标通知书为签订采购合同的依据之一，是合同的有效组成部分。</w:t>
      </w:r>
    </w:p>
    <w:p w14:paraId="5187313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25.2中标通知书对采购人和中标人均具有法律效力。中标通知书发出后，采购人无正当理由改变中标结果，或者中标人无正当理由放弃中标的，将承担相应的法律责任。</w:t>
      </w:r>
    </w:p>
    <w:p w14:paraId="74D8E50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25.3中标人的投标文件作为无效投标文件处理的，采购人/采购代理机构在取得有权主体的认定以后，有权宣布发出的中标通知书无效，并收回发出的中标通知书，依法重新确定中标人或者重新开展招标活动。</w:t>
      </w:r>
    </w:p>
    <w:p w14:paraId="5FF114F3">
      <w:pPr>
        <w:pStyle w:val="5"/>
        <w:keepNext w:val="0"/>
        <w:keepLines w:val="0"/>
        <w:spacing w:line="360" w:lineRule="auto"/>
        <w:jc w:val="center"/>
        <w:rPr>
          <w:rFonts w:hint="eastAsia" w:ascii="仿宋" w:hAnsi="仿宋" w:eastAsia="仿宋" w:cs="仿宋"/>
          <w:sz w:val="28"/>
          <w:szCs w:val="28"/>
          <w:highlight w:val="none"/>
        </w:rPr>
      </w:pPr>
      <w:bookmarkStart w:id="85" w:name="_Toc4436"/>
      <w:r>
        <w:rPr>
          <w:rFonts w:hint="eastAsia" w:ascii="仿宋" w:hAnsi="仿宋" w:eastAsia="仿宋" w:cs="仿宋"/>
          <w:sz w:val="28"/>
          <w:szCs w:val="28"/>
          <w:highlight w:val="none"/>
        </w:rPr>
        <w:t>七、合同事项</w:t>
      </w:r>
      <w:bookmarkEnd w:id="85"/>
    </w:p>
    <w:p w14:paraId="3C352C13">
      <w:pPr>
        <w:spacing w:line="360" w:lineRule="auto"/>
        <w:ind w:firstLine="470" w:firstLineChars="196"/>
        <w:rPr>
          <w:rFonts w:hint="eastAsia" w:ascii="仿宋" w:hAnsi="仿宋" w:eastAsia="仿宋" w:cs="仿宋"/>
          <w:b/>
          <w:bCs/>
          <w:sz w:val="24"/>
          <w:szCs w:val="24"/>
          <w:highlight w:val="none"/>
        </w:rPr>
      </w:pPr>
      <w:bookmarkStart w:id="86" w:name="_Toc101338364"/>
      <w:bookmarkStart w:id="87" w:name="_Toc430773927"/>
      <w:bookmarkStart w:id="88" w:name="_Toc101174151"/>
      <w:bookmarkStart w:id="89" w:name="_Toc101250646"/>
      <w:bookmarkStart w:id="90" w:name="_Toc209847069"/>
      <w:r>
        <w:rPr>
          <w:rFonts w:hint="eastAsia" w:ascii="仿宋" w:hAnsi="仿宋" w:eastAsia="仿宋" w:cs="仿宋"/>
          <w:b/>
          <w:bCs/>
          <w:sz w:val="24"/>
          <w:szCs w:val="24"/>
          <w:highlight w:val="none"/>
        </w:rPr>
        <w:t>26.签订合同</w:t>
      </w:r>
      <w:bookmarkEnd w:id="86"/>
      <w:bookmarkEnd w:id="87"/>
      <w:bookmarkEnd w:id="88"/>
      <w:bookmarkEnd w:id="89"/>
      <w:bookmarkEnd w:id="90"/>
    </w:p>
    <w:p w14:paraId="646A33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中标人应在中标通知书发出之日起三十日内与采购人签订采购合同。由于中标人的原因逾期未与采购人签订采购合同的，将视为放弃中标，取消其中标资格并将按相关规定进行处理。</w:t>
      </w:r>
    </w:p>
    <w:p w14:paraId="217AF95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招标文件、中标人的投标文件及双方确认的澄清文件等，均为有法律约束力的合同组成部分。</w:t>
      </w:r>
    </w:p>
    <w:p w14:paraId="77A7B4A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采购人不得向中标人提出任何不合理的要求，作为签订合同的条件，不得与中标人私下订立背离合同实质性内容的任何协议，所签订的合同不得对招标文件和中标人投标文件确定的事项进行修改。</w:t>
      </w:r>
    </w:p>
    <w:p w14:paraId="316EBFE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 中标人因不可抗力原因不能履行采购合同或放弃中标的，采购人可以与排在中标人之后第一位的中标候选人签订采购合同，以此类推。</w:t>
      </w:r>
    </w:p>
    <w:p w14:paraId="6B42DD9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26.5招标文件、中标人提交的投标文件、最后报价、中标人承诺书、中标通知书等均称为有法律约束力的合同组成内容。</w:t>
      </w:r>
    </w:p>
    <w:p w14:paraId="6EED69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26.6在签订合同前，采购人有权对中标人投标文件中相关材料的原件进行审查核实，并将投标文件作为合同的一部分。若发现投标文件中相关材料存在虚假投标的，将不予签订合同，并报相关监督检查部门进行处理。若发生以上情况，采购人可以与排在中标人之后第一位的中标候选人签订采购合同，以此类推。</w:t>
      </w:r>
    </w:p>
    <w:p w14:paraId="082710F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26.7 中标人在合同签订之后3个工作日内，将签订的合同一份送采购代理机构备案。</w:t>
      </w:r>
    </w:p>
    <w:p w14:paraId="777E12B0">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27.合同分包（实质性要求）</w:t>
      </w:r>
    </w:p>
    <w:p w14:paraId="4A1FA20F">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Cs/>
          <w:sz w:val="24"/>
          <w:szCs w:val="24"/>
          <w:highlight w:val="none"/>
        </w:rPr>
        <w:t>本项目不允许合同任何形式的分包及转让。</w:t>
      </w:r>
    </w:p>
    <w:p w14:paraId="2F13E51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28.合同转包（实质性要求）</w:t>
      </w:r>
    </w:p>
    <w:p w14:paraId="54F7E93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02A7E1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中标人转包的，视同拒绝履行采购合同义务，将依法追究法律责任。</w:t>
      </w:r>
    </w:p>
    <w:p w14:paraId="55785D4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29.补充合同</w:t>
      </w:r>
    </w:p>
    <w:p w14:paraId="65B2FE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合同履行过程中，采购人需要追加与合同标的相同的货物或者服务的，在不改变合同其他条款的前提下，可以与中标人协商签订补充合同，但所有补充合同的招标金额不得超过原合同采购金额的百分之十，该补充合同应当在原采购合同履行过程中，不得在原采购合同履行结束后，且采购货物、工程和服务的名称、价格、履约方式、验收标准等必须与原采购合同一致。 </w:t>
      </w:r>
    </w:p>
    <w:p w14:paraId="674AA490">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30.履约保证金</w:t>
      </w:r>
    </w:p>
    <w:p w14:paraId="3E6DA2AA">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本项目履约保证金投标人须知附表中的要求缴纳。</w:t>
      </w:r>
    </w:p>
    <w:p w14:paraId="388DCFF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31.履行合同</w:t>
      </w:r>
    </w:p>
    <w:p w14:paraId="275F22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中标人与采购人签订合同后，合同双方应严格执行合同条款，履行合同规定的义务，保证合同的顺利完成。</w:t>
      </w:r>
    </w:p>
    <w:p w14:paraId="073F4E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 在合同履行过程中，如发生合同纠纷，合同双方应按照《合同法》的有关规定进行处理。</w:t>
      </w:r>
    </w:p>
    <w:p w14:paraId="26D10C18">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32.验收</w:t>
      </w:r>
    </w:p>
    <w:p w14:paraId="22F0E0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32.1本项目采购人及其委托的采购代理机构将严格按照合同要求，根据品名、规格型号、数量、详细参数等进行验收。</w:t>
      </w:r>
    </w:p>
    <w:p w14:paraId="784626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 验收结果合格的，中标人办理履约保证金的退付手续；验收结果不合格的，履约保证金将不予退还，也将不予支付采购资金。</w:t>
      </w:r>
    </w:p>
    <w:p w14:paraId="066BAFD3">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33.资金支付</w:t>
      </w:r>
    </w:p>
    <w:p w14:paraId="792FD323">
      <w:pPr>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采购人将按照采购合同规定，及时向中标人支付采购资金。</w:t>
      </w:r>
    </w:p>
    <w:p w14:paraId="11395FA0">
      <w:pPr>
        <w:pStyle w:val="5"/>
        <w:keepNext w:val="0"/>
        <w:keepLines w:val="0"/>
        <w:spacing w:before="0" w:after="0" w:line="360" w:lineRule="auto"/>
        <w:jc w:val="center"/>
        <w:rPr>
          <w:rFonts w:hint="eastAsia" w:ascii="仿宋" w:hAnsi="仿宋" w:eastAsia="仿宋" w:cs="仿宋"/>
          <w:sz w:val="28"/>
          <w:szCs w:val="28"/>
          <w:highlight w:val="none"/>
        </w:rPr>
      </w:pPr>
      <w:bookmarkStart w:id="91" w:name="_Toc4822"/>
      <w:r>
        <w:rPr>
          <w:rFonts w:hint="eastAsia" w:ascii="仿宋" w:hAnsi="仿宋" w:eastAsia="仿宋" w:cs="仿宋"/>
          <w:sz w:val="28"/>
          <w:szCs w:val="28"/>
          <w:highlight w:val="none"/>
        </w:rPr>
        <w:t>八、纪律要求</w:t>
      </w:r>
      <w:bookmarkEnd w:id="91"/>
    </w:p>
    <w:p w14:paraId="68DA72E1">
      <w:pPr>
        <w:tabs>
          <w:tab w:val="left" w:pos="851"/>
        </w:tabs>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34.投标人不得具有的情形</w:t>
      </w:r>
    </w:p>
    <w:p w14:paraId="27B86D1C">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投标人参加本项目招标活动不得有下列情形：</w:t>
      </w:r>
    </w:p>
    <w:p w14:paraId="7AC2A1EC">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14:paraId="38ED126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（2）采取不正当手段诋毁、排挤其他投标人；</w:t>
      </w:r>
    </w:p>
    <w:p w14:paraId="03AA4C9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（3）与采购人、采购代理机构、或其他投标人恶意串通；</w:t>
      </w:r>
    </w:p>
    <w:p w14:paraId="0E67745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（4）向采购人、采购代理机构、评标小组成员行贿或者提供其他不正当利益；</w:t>
      </w:r>
    </w:p>
    <w:p w14:paraId="47655745">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highlight w:val="none"/>
        </w:rPr>
        <w:t>在招标过程中与采购单位进行协商谈判</w:t>
      </w:r>
      <w:r>
        <w:rPr>
          <w:rFonts w:hint="eastAsia" w:ascii="仿宋" w:hAnsi="仿宋" w:eastAsia="仿宋" w:cs="仿宋"/>
          <w:sz w:val="24"/>
          <w:szCs w:val="24"/>
          <w:highlight w:val="none"/>
        </w:rPr>
        <w:t>；</w:t>
      </w:r>
    </w:p>
    <w:p w14:paraId="1730192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（6）中标后无正当理由拒不与采购人签订采购合同；</w:t>
      </w:r>
    </w:p>
    <w:p w14:paraId="2BBEDA7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（7）未按照招标文件确定的事项签订采购合同；</w:t>
      </w:r>
    </w:p>
    <w:p w14:paraId="3E7FFED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（8）将采购合同转包或者违规分包；</w:t>
      </w:r>
    </w:p>
    <w:p w14:paraId="731DA35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（9）提供假冒伪劣产品；</w:t>
      </w:r>
    </w:p>
    <w:p w14:paraId="6E64F74E">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（10）擅自变更、中止或者终止采购合同。</w:t>
      </w:r>
    </w:p>
    <w:p w14:paraId="124BD3F4">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投标人有上述情形的，按照规定追究法律责任，具备（1）-（10）条情形之一的，同时将取消被确认为中标人的资格或者认定中标无效。</w:t>
      </w:r>
    </w:p>
    <w:p w14:paraId="1C716718">
      <w:pPr>
        <w:spacing w:line="360" w:lineRule="auto"/>
        <w:rPr>
          <w:rFonts w:hint="eastAsia" w:ascii="仿宋" w:hAnsi="仿宋" w:eastAsia="仿宋" w:cs="仿宋"/>
          <w:sz w:val="24"/>
          <w:szCs w:val="24"/>
          <w:highlight w:val="none"/>
        </w:rPr>
      </w:pPr>
    </w:p>
    <w:p w14:paraId="02BB67EB">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92" w:name="_Toc13625"/>
      <w:r>
        <w:rPr>
          <w:rFonts w:hint="eastAsia" w:ascii="仿宋" w:hAnsi="仿宋" w:eastAsia="仿宋" w:cs="仿宋"/>
          <w:b/>
          <w:sz w:val="36"/>
          <w:szCs w:val="36"/>
          <w:highlight w:val="none"/>
        </w:rPr>
        <w:t>第三章  投标人资格条件要求</w:t>
      </w:r>
    </w:p>
    <w:p w14:paraId="7002CCB5">
      <w:pPr>
        <w:spacing w:line="360" w:lineRule="auto"/>
        <w:rPr>
          <w:rFonts w:hint="eastAsia" w:ascii="仿宋" w:hAnsi="仿宋" w:eastAsia="仿宋" w:cs="仿宋"/>
          <w:b/>
          <w:sz w:val="24"/>
          <w:szCs w:val="24"/>
          <w:highlight w:val="none"/>
        </w:rPr>
      </w:pPr>
    </w:p>
    <w:p w14:paraId="706E088C">
      <w:pPr>
        <w:spacing w:line="360" w:lineRule="auto"/>
        <w:ind w:firstLine="630" w:firstLineChars="225"/>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一、参加的投标人应具备下列资格条件：</w:t>
      </w:r>
    </w:p>
    <w:p w14:paraId="1D6BFEDA">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14:paraId="2924C59C">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14:paraId="7A649838">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14:paraId="603CC68B">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14:paraId="7223CAD5">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14:paraId="1D12F4D2">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14:paraId="6D1F9888">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14:paraId="53979ACF">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14:paraId="71D49177">
      <w:pPr>
        <w:pStyle w:val="31"/>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2E5B84AD">
      <w:pPr>
        <w:pStyle w:val="31"/>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14:paraId="57201AA2">
      <w:pPr>
        <w:pStyle w:val="31"/>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kern w:val="2"/>
          <w:sz w:val="24"/>
          <w:szCs w:val="24"/>
          <w:highlight w:val="none"/>
        </w:rPr>
        <w:t xml:space="preserve"> </w:t>
      </w:r>
    </w:p>
    <w:p w14:paraId="2FE5723E">
      <w:pPr>
        <w:pStyle w:val="5"/>
        <w:numPr>
          <w:ilvl w:val="0"/>
          <w:numId w:val="1"/>
        </w:num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投标产品的资格、资质性及其他具有类似效力的要求</w:t>
      </w:r>
    </w:p>
    <w:p w14:paraId="477F25CC">
      <w:pPr>
        <w:pStyle w:val="31"/>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1A27E27B">
      <w:pPr>
        <w:pStyle w:val="31"/>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14:paraId="0F732117">
      <w:pPr>
        <w:pStyle w:val="31"/>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14:paraId="4AA8E074">
      <w:pPr>
        <w:pStyle w:val="2"/>
        <w:spacing w:after="0"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 1、投标人在参加采购活动前，被纳入法院、工商行政管理部门、税务部门、银行认定的失信名单且在有效期内的，或者在前三年采购合同履约过程中及其他经营活动履约过程中未依法履约被有关部门处以重大违法处罚的，本项目不能认定其具有良好的商业信誉。</w:t>
      </w:r>
    </w:p>
    <w:p w14:paraId="0094E5FC">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2、本项目确定投标人重大违法记录中较大数额罚款标准为：人民币</w:t>
      </w:r>
      <w:r>
        <w:rPr>
          <w:rFonts w:hint="eastAsia" w:ascii="仿宋" w:hAnsi="仿宋" w:eastAsia="仿宋" w:cs="仿宋"/>
          <w:kern w:val="2"/>
          <w:sz w:val="24"/>
          <w:szCs w:val="24"/>
          <w:highlight w:val="none"/>
          <w:lang w:val="en-US" w:eastAsia="zh-CN"/>
        </w:rPr>
        <w:t>2000</w:t>
      </w:r>
      <w:r>
        <w:rPr>
          <w:rFonts w:hint="eastAsia" w:ascii="仿宋" w:hAnsi="仿宋" w:eastAsia="仿宋" w:cs="仿宋"/>
          <w:kern w:val="2"/>
          <w:sz w:val="24"/>
          <w:szCs w:val="24"/>
          <w:highlight w:val="none"/>
        </w:rPr>
        <w:t>000.00元;但是，如果采购项目所属行业有特别法规规定的，从其规定。</w:t>
      </w:r>
    </w:p>
    <w:p w14:paraId="3EBEAC0B">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36"/>
          <w:szCs w:val="36"/>
          <w:highlight w:val="none"/>
        </w:rPr>
        <w:br w:type="page"/>
      </w:r>
      <w:r>
        <w:rPr>
          <w:rFonts w:hint="eastAsia" w:ascii="仿宋" w:hAnsi="仿宋" w:eastAsia="仿宋" w:cs="仿宋"/>
          <w:b/>
          <w:sz w:val="36"/>
          <w:szCs w:val="36"/>
          <w:highlight w:val="none"/>
        </w:rPr>
        <w:t>第四章  投标人资格证明材料</w:t>
      </w:r>
    </w:p>
    <w:p w14:paraId="73BD92D5">
      <w:pPr>
        <w:spacing w:line="360" w:lineRule="auto"/>
        <w:ind w:firstLine="560" w:firstLineChars="20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一、应当提供的投标人资格、资质性及其他类似效力要求的相关证明材料</w:t>
      </w:r>
    </w:p>
    <w:p w14:paraId="7D53B36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1.1资格要求相关证明材料：</w:t>
      </w:r>
    </w:p>
    <w:p w14:paraId="45174961">
      <w:pPr>
        <w:pStyle w:val="34"/>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①投标人若为企业法人：提供“统一社会信用代码营业执照”；②若为事业法人：提供“统一社会信用代码法人登记证书”；③若为其他组织：提供“对应主管部门颁发的准许执业证明文件或营业执照”；④投标人若为自然人：提供“身份证明材料”。以上均提供复印件。</w:t>
      </w:r>
    </w:p>
    <w:p w14:paraId="7DF7DAEF">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（2）投标人须提供依法缴纳税收和社会保障资金的承诺函原件（格式11）或者近三个月依法缴纳税收和社会保障资金的证明材料复印件。</w:t>
      </w:r>
    </w:p>
    <w:p w14:paraId="716BEA1B">
      <w:pPr>
        <w:pStyle w:val="34"/>
        <w:spacing w:beforeLines="0" w:afterLines="0"/>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（3）体现健全的财务制度的证明材料：①可提供20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年度（任意一年）经审计的财务报告复印件（包含审计报告和审计报告中所涉及的财务报表和报表附注）；②也可提供20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14:paraId="43D48BE1">
      <w:pPr>
        <w:pStyle w:val="34"/>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（4）投标函原件（</w:t>
      </w:r>
      <w:r>
        <w:rPr>
          <w:rFonts w:hint="eastAsia" w:ascii="仿宋" w:hAnsi="仿宋" w:eastAsia="仿宋" w:cs="仿宋"/>
          <w:bCs/>
          <w:sz w:val="24"/>
          <w:szCs w:val="24"/>
          <w:highlight w:val="none"/>
        </w:rPr>
        <w:t>格式4）</w:t>
      </w:r>
      <w:r>
        <w:rPr>
          <w:rFonts w:hint="eastAsia" w:ascii="仿宋" w:hAnsi="仿宋" w:eastAsia="仿宋" w:cs="仿宋"/>
          <w:sz w:val="24"/>
          <w:szCs w:val="24"/>
          <w:highlight w:val="none"/>
        </w:rPr>
        <w:t>。</w:t>
      </w:r>
    </w:p>
    <w:p w14:paraId="6284B15C">
      <w:pPr>
        <w:pStyle w:val="34"/>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（5）承诺函原件（格式3）。</w:t>
      </w:r>
    </w:p>
    <w:p w14:paraId="47719E93">
      <w:pPr>
        <w:pStyle w:val="34"/>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1.1.2</w:t>
      </w:r>
      <w:r>
        <w:rPr>
          <w:rFonts w:hint="eastAsia" w:ascii="仿宋" w:hAnsi="仿宋" w:eastAsia="仿宋" w:cs="仿宋"/>
          <w:color w:val="000000" w:themeColor="text1"/>
          <w:sz w:val="24"/>
          <w:highlight w:val="none"/>
          <w14:textFill>
            <w14:solidFill>
              <w14:schemeClr w14:val="tx1"/>
            </w14:solidFill>
          </w14:textFill>
        </w:rPr>
        <w:t>提供投标人单位及其现任法定代表人、主要负责人在参加采购活动前三年内无行贿犯罪记录的承诺函</w:t>
      </w:r>
      <w:r>
        <w:rPr>
          <w:rFonts w:hint="eastAsia" w:ascii="仿宋" w:hAnsi="仿宋" w:eastAsia="仿宋" w:cs="仿宋"/>
          <w:sz w:val="24"/>
          <w:highlight w:val="none"/>
        </w:rPr>
        <w:t>（格式12）</w:t>
      </w:r>
      <w:r>
        <w:rPr>
          <w:rFonts w:hint="eastAsia" w:ascii="仿宋" w:hAnsi="仿宋" w:eastAsia="仿宋" w:cs="仿宋"/>
          <w:color w:val="000000" w:themeColor="text1"/>
          <w:sz w:val="24"/>
          <w:highlight w:val="none"/>
          <w14:textFill>
            <w14:solidFill>
              <w14:schemeClr w14:val="tx1"/>
            </w14:solidFill>
          </w14:textFill>
        </w:rPr>
        <w:t>（注：如经核实属虚假承诺的，将做无效投标处理）。</w:t>
      </w:r>
    </w:p>
    <w:p w14:paraId="0F313CD2">
      <w:pPr>
        <w:pStyle w:val="34"/>
        <w:spacing w:before="46" w:after="46"/>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14:textFill>
            <w14:solidFill>
              <w14:schemeClr w14:val="tx1"/>
            </w14:solidFill>
          </w14:textFill>
        </w:rPr>
        <w:t>应当提供的资质性要求相关证明材料：</w:t>
      </w:r>
    </w:p>
    <w:p w14:paraId="6B6DA136">
      <w:pPr>
        <w:pStyle w:val="34"/>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w:t>
      </w:r>
      <w:r>
        <w:rPr>
          <w:rFonts w:hint="eastAsia" w:ascii="仿宋" w:hAnsi="仿宋" w:eastAsia="仿宋" w:cs="仿宋"/>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4C8A8D96">
      <w:pPr>
        <w:pStyle w:val="34"/>
        <w:spacing w:before="46" w:after="46"/>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1.3应当提供的具有其他类似效力要求的相关证明材料：</w:t>
      </w:r>
    </w:p>
    <w:p w14:paraId="64C2F37D">
      <w:pPr>
        <w:pStyle w:val="34"/>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1.3.1法定代表人身份证复印件。</w:t>
      </w:r>
    </w:p>
    <w:p w14:paraId="26C8461A">
      <w:pPr>
        <w:pStyle w:val="34"/>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1.3.2法定代表人授权书</w:t>
      </w:r>
      <w:r>
        <w:rPr>
          <w:rFonts w:hint="eastAsia" w:ascii="仿宋" w:hAnsi="仿宋" w:eastAsia="仿宋" w:cs="仿宋"/>
          <w:sz w:val="24"/>
          <w:highlight w:val="none"/>
        </w:rPr>
        <w:t>（格式1）</w:t>
      </w:r>
      <w:r>
        <w:rPr>
          <w:rFonts w:hint="eastAsia" w:ascii="仿宋" w:hAnsi="仿宋" w:eastAsia="仿宋" w:cs="仿宋"/>
          <w:color w:val="000000" w:themeColor="text1"/>
          <w:sz w:val="24"/>
          <w:highlight w:val="none"/>
          <w14:textFill>
            <w14:solidFill>
              <w14:schemeClr w14:val="tx1"/>
            </w14:solidFill>
          </w14:textFill>
        </w:rPr>
        <w:t>原件和授权代表身份证复印件（投标人代表为非法定代表人时提供）。</w:t>
      </w:r>
    </w:p>
    <w:p w14:paraId="4A09E467">
      <w:pPr>
        <w:pStyle w:val="5"/>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二、应当提供的投标产品的资格、资质性及其他类似效力要求的相关证明材料</w:t>
      </w:r>
    </w:p>
    <w:p w14:paraId="4E6D55E1">
      <w:pPr>
        <w:pStyle w:val="34"/>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2.1应当提供的资格要求的相关证明材料：</w:t>
      </w:r>
    </w:p>
    <w:p w14:paraId="6915A0AE">
      <w:pPr>
        <w:pStyle w:val="34"/>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w:t>
      </w:r>
      <w:r>
        <w:rPr>
          <w:rFonts w:hint="eastAsia"/>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bCs/>
          <w:color w:val="auto"/>
          <w:sz w:val="24"/>
          <w:szCs w:val="24"/>
          <w:highlight w:val="none"/>
          <w:lang w:val="en-US" w:eastAsia="zh-CN"/>
        </w:rPr>
        <w:t>。</w:t>
      </w:r>
    </w:p>
    <w:p w14:paraId="0408BF06">
      <w:pPr>
        <w:pStyle w:val="34"/>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2.2应当提供的资质性要求相关证明材料：</w:t>
      </w:r>
      <w:r>
        <w:rPr>
          <w:rFonts w:hint="eastAsia" w:ascii="仿宋" w:hAnsi="仿宋" w:eastAsia="仿宋" w:cs="仿宋"/>
          <w:color w:val="000000" w:themeColor="text1"/>
          <w:sz w:val="24"/>
          <w:highlight w:val="none"/>
          <w14:textFill>
            <w14:solidFill>
              <w14:schemeClr w14:val="tx1"/>
            </w14:solidFill>
          </w14:textFill>
        </w:rPr>
        <w:t>无。</w:t>
      </w:r>
    </w:p>
    <w:p w14:paraId="1C6113C0">
      <w:pPr>
        <w:rPr>
          <w:rFonts w:hint="eastAsia" w:ascii="仿宋" w:hAnsi="仿宋" w:eastAsia="仿宋" w:cs="仿宋"/>
          <w:color w:val="000000" w:themeColor="text1"/>
          <w:sz w:val="32"/>
          <w:highlight w:val="none"/>
          <w14:textFill>
            <w14:solidFill>
              <w14:schemeClr w14:val="tx1"/>
            </w14:solidFill>
          </w14:textFill>
        </w:rPr>
      </w:pPr>
    </w:p>
    <w:p w14:paraId="0C272B1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sz w:val="24"/>
          <w:szCs w:val="24"/>
          <w:highlight w:val="none"/>
        </w:rPr>
        <w:t>1.本章要求提供的相关证明材料应当与第三章的规定要求对应，并且是有效的证明材料。除投标人自愿以外，不能要求投标人提供额外的证明材料。如果要求提供额外的证明材料，投标人有权拒绝提供，且不影响投标文件的有效性和完整性。</w:t>
      </w:r>
    </w:p>
    <w:p w14:paraId="0F285F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2.本章要求提供的相关证明材料应当结合采购项目具体情况和投标人的组织机构性质确定，不得一概而论。</w:t>
      </w:r>
    </w:p>
    <w:p w14:paraId="7514CE01">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3.本章提供的证明材料是资格性审查的主要依据，未通过审查者做无效投标文件处理</w:t>
      </w:r>
    </w:p>
    <w:p w14:paraId="6B6E03A9">
      <w:pPr>
        <w:spacing w:line="360" w:lineRule="auto"/>
        <w:ind w:firstLine="480" w:firstLineChars="200"/>
        <w:rPr>
          <w:rFonts w:hint="eastAsia" w:ascii="仿宋" w:hAnsi="仿宋" w:eastAsia="仿宋" w:cs="仿宋"/>
          <w:color w:val="FF0000"/>
          <w:sz w:val="24"/>
          <w:highlight w:val="none"/>
        </w:rPr>
      </w:pPr>
      <w:r>
        <w:rPr>
          <w:rFonts w:hint="eastAsia" w:ascii="仿宋" w:hAnsi="仿宋" w:eastAsia="仿宋" w:cs="仿宋"/>
          <w:color w:val="000000" w:themeColor="text1"/>
          <w:sz w:val="24"/>
          <w:highlight w:val="none"/>
          <w14:textFill>
            <w14:solidFill>
              <w14:schemeClr w14:val="tx1"/>
            </w14:solidFill>
          </w14:textFill>
        </w:rPr>
        <w:t>4.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w:t>
      </w:r>
    </w:p>
    <w:bookmarkEnd w:id="92"/>
    <w:p w14:paraId="5953E8E7">
      <w:pPr>
        <w:pStyle w:val="34"/>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p>
    <w:p w14:paraId="696E68E2">
      <w:pPr>
        <w:numPr>
          <w:ilvl w:val="0"/>
          <w:numId w:val="2"/>
        </w:num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93" w:name="_Toc30908"/>
      <w:r>
        <w:rPr>
          <w:rFonts w:hint="eastAsia" w:ascii="仿宋" w:hAnsi="仿宋" w:eastAsia="仿宋" w:cs="仿宋"/>
          <w:b/>
          <w:sz w:val="36"/>
          <w:szCs w:val="36"/>
          <w:highlight w:val="none"/>
        </w:rPr>
        <w:t>招标项目技术、服务、采购合同内容条款及其他</w:t>
      </w:r>
    </w:p>
    <w:p w14:paraId="4AEA3CB6">
      <w:pPr>
        <w:numPr>
          <w:ilvl w:val="0"/>
          <w:numId w:val="0"/>
        </w:numPr>
        <w:spacing w:line="360" w:lineRule="auto"/>
        <w:ind w:firstLine="3600" w:firstLineChars="1000"/>
        <w:jc w:val="both"/>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商务要求</w:t>
      </w:r>
      <w:bookmarkEnd w:id="93"/>
    </w:p>
    <w:bookmarkEnd w:id="79"/>
    <w:bookmarkEnd w:id="80"/>
    <w:bookmarkEnd w:id="81"/>
    <w:bookmarkEnd w:id="82"/>
    <w:bookmarkEnd w:id="83"/>
    <w:p w14:paraId="40CC3107">
      <w:pPr>
        <w:pStyle w:val="2"/>
        <w:rPr>
          <w:rFonts w:hint="eastAsia" w:ascii="仿宋" w:hAnsi="仿宋" w:eastAsia="仿宋" w:cs="仿宋"/>
          <w:b/>
          <w:bCs/>
          <w:color w:val="auto"/>
          <w:sz w:val="24"/>
          <w:highlight w:val="none"/>
        </w:rPr>
      </w:pPr>
      <w:bookmarkStart w:id="94" w:name="_Toc20053_WPSOffice_Level2"/>
      <w:bookmarkStart w:id="95" w:name="_Toc1792"/>
      <w:bookmarkStart w:id="96" w:name="_Toc217446057"/>
      <w:bookmarkStart w:id="97" w:name="_Toc183582232"/>
      <w:bookmarkStart w:id="98" w:name="_Toc183682369"/>
      <w:r>
        <w:rPr>
          <w:rFonts w:hint="eastAsia" w:ascii="仿宋" w:hAnsi="仿宋" w:eastAsia="仿宋" w:cs="仿宋"/>
          <w:b/>
          <w:bCs/>
          <w:color w:val="auto"/>
          <w:sz w:val="24"/>
          <w:highlight w:val="none"/>
        </w:rPr>
        <w:t>（一）、项目基本情况：</w:t>
      </w:r>
      <w:bookmarkEnd w:id="94"/>
    </w:p>
    <w:p w14:paraId="78107679">
      <w:pPr>
        <w:kinsoku w:val="0"/>
        <w:overflowPunct w:val="0"/>
        <w:autoSpaceDE w:val="0"/>
        <w:autoSpaceDN w:val="0"/>
        <w:snapToGrid w:val="0"/>
        <w:spacing w:line="360" w:lineRule="auto"/>
        <w:ind w:firstLine="480" w:firstLineChars="200"/>
        <w:jc w:val="left"/>
        <w:rPr>
          <w:rFonts w:hint="eastAsia" w:ascii="仿宋" w:hAnsi="仿宋" w:eastAsia="仿宋" w:cs="仿宋"/>
          <w:b/>
          <w:bCs/>
          <w:color w:val="000000"/>
          <w:kern w:val="0"/>
          <w:sz w:val="24"/>
          <w:szCs w:val="24"/>
          <w:highlight w:val="none"/>
          <w:lang w:val="en-US" w:eastAsia="zh-CN" w:bidi="ar"/>
        </w:rPr>
      </w:pPr>
      <w:bookmarkStart w:id="99" w:name="_Toc1746_WPSOffice_Level2"/>
      <w:r>
        <w:rPr>
          <w:rFonts w:hint="eastAsia" w:ascii="仿宋" w:hAnsi="仿宋" w:eastAsia="仿宋" w:cs="仿宋"/>
          <w:b w:val="0"/>
          <w:bCs w:val="0"/>
          <w:color w:val="000000"/>
          <w:kern w:val="0"/>
          <w:sz w:val="24"/>
          <w:szCs w:val="24"/>
          <w:highlight w:val="none"/>
          <w:lang w:val="en-US" w:eastAsia="zh-CN" w:bidi="ar"/>
        </w:rPr>
        <w:t>本项目为富顺县中医医院2025年第三批医疗耗材采购项目，预算金额：</w:t>
      </w:r>
      <w:r>
        <w:rPr>
          <w:rFonts w:hint="eastAsia" w:ascii="仿宋" w:hAnsi="仿宋" w:eastAsia="仿宋" w:cs="仿宋"/>
          <w:sz w:val="24"/>
          <w:szCs w:val="24"/>
          <w:highlight w:val="none"/>
          <w:lang w:val="en-US" w:eastAsia="zh-CN"/>
        </w:rPr>
        <w:t>1383943.52元（大写：壹佰叁拾捌万叁仟玖佰肆拾叁元伍角贰分）</w:t>
      </w:r>
      <w:r>
        <w:rPr>
          <w:rFonts w:hint="eastAsia" w:ascii="仿宋" w:hAnsi="仿宋" w:eastAsia="仿宋" w:cs="仿宋"/>
          <w:b w:val="0"/>
          <w:bCs w:val="0"/>
          <w:color w:val="000000"/>
          <w:kern w:val="0"/>
          <w:sz w:val="24"/>
          <w:szCs w:val="24"/>
          <w:highlight w:val="none"/>
          <w:lang w:val="en-US" w:eastAsia="zh-CN" w:bidi="ar"/>
        </w:rPr>
        <w:t>。</w:t>
      </w:r>
    </w:p>
    <w:p w14:paraId="51D7D7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000000"/>
          <w:kern w:val="0"/>
          <w:sz w:val="24"/>
          <w:szCs w:val="24"/>
          <w:highlight w:val="none"/>
          <w:lang w:val="en-US" w:eastAsia="zh-CN" w:bidi="ar"/>
        </w:rPr>
        <w:t>（二）、</w:t>
      </w:r>
      <w:bookmarkEnd w:id="99"/>
      <w:r>
        <w:rPr>
          <w:rFonts w:hint="eastAsia" w:ascii="仿宋" w:hAnsi="仿宋" w:eastAsia="仿宋" w:cs="仿宋"/>
          <w:b/>
          <w:bCs/>
          <w:color w:val="000000"/>
          <w:kern w:val="0"/>
          <w:sz w:val="24"/>
          <w:szCs w:val="24"/>
          <w:highlight w:val="none"/>
          <w:lang w:val="en-US" w:eastAsia="zh-CN" w:bidi="ar"/>
        </w:rPr>
        <w:t xml:space="preserve">项目清单及技术参数要求 </w:t>
      </w:r>
      <w:bookmarkStart w:id="100" w:name="OLE_LINK14"/>
      <w:r>
        <w:rPr>
          <w:rFonts w:hint="eastAsia" w:ascii="仿宋" w:hAnsi="仿宋" w:eastAsia="仿宋" w:cs="仿宋"/>
          <w:b/>
          <w:bCs/>
          <w:color w:val="000000"/>
          <w:kern w:val="0"/>
          <w:sz w:val="24"/>
          <w:szCs w:val="24"/>
          <w:highlight w:val="none"/>
          <w:lang w:val="en-US" w:eastAsia="zh-CN" w:bidi="ar"/>
        </w:rPr>
        <w:t>（实质性要求）</w:t>
      </w:r>
      <w:bookmarkEnd w:id="100"/>
    </w:p>
    <w:p w14:paraId="527D8436">
      <w:pPr>
        <w:pStyle w:val="2"/>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项目清单及技术要求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各包详见附件。</w:t>
      </w:r>
    </w:p>
    <w:p w14:paraId="4B4D1D9F">
      <w:pPr>
        <w:pStyle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商务要求</w:t>
      </w:r>
      <w:r>
        <w:rPr>
          <w:rFonts w:hint="eastAsia" w:ascii="仿宋" w:hAnsi="仿宋" w:eastAsia="仿宋" w:cs="仿宋"/>
          <w:b/>
          <w:bCs/>
          <w:color w:val="000000"/>
          <w:kern w:val="0"/>
          <w:sz w:val="24"/>
          <w:szCs w:val="24"/>
          <w:highlight w:val="none"/>
          <w:lang w:val="en-US" w:eastAsia="zh-CN" w:bidi="ar"/>
        </w:rPr>
        <w:t>（实质性要求）</w:t>
      </w:r>
      <w:r>
        <w:rPr>
          <w:rFonts w:hint="eastAsia" w:ascii="仿宋" w:hAnsi="仿宋" w:eastAsia="仿宋" w:cs="仿宋"/>
          <w:b/>
          <w:bCs/>
          <w:color w:val="auto"/>
          <w:sz w:val="24"/>
          <w:szCs w:val="24"/>
          <w:highlight w:val="none"/>
        </w:rPr>
        <w:t>：</w:t>
      </w:r>
    </w:p>
    <w:p w14:paraId="35A84650">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1、投标人需提供全面、合格的货物:投标人提供的货物必须符合已颁布的中国国家标准或国际标准的有关条款。 </w:t>
      </w:r>
    </w:p>
    <w:p w14:paraId="5920BE6C">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1.1、挂网耗材必须在</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四川医保平台子系统</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药品和医用耗材招采管理系统”</w:t>
      </w:r>
      <w:r>
        <w:rPr>
          <w:rFonts w:hint="eastAsia" w:ascii="仿宋" w:hAnsi="仿宋" w:eastAsia="仿宋" w:cs="仿宋"/>
          <w:sz w:val="24"/>
          <w:szCs w:val="24"/>
        </w:rPr>
        <w:t>获得配送</w:t>
      </w:r>
      <w:r>
        <w:rPr>
          <w:rFonts w:hint="eastAsia" w:ascii="仿宋" w:hAnsi="仿宋" w:eastAsia="仿宋" w:cs="仿宋"/>
          <w:sz w:val="24"/>
          <w:szCs w:val="24"/>
          <w:lang w:eastAsia="zh-CN"/>
        </w:rPr>
        <w:t>资格，如在采购时无法完成挂网配送将自动终止合同。挂网品种根据“药品和医用耗材招采管理系统”目录动态调整，以每月实际采购下订单目录为准。</w:t>
      </w:r>
      <w:r>
        <w:rPr>
          <w:rFonts w:hint="eastAsia" w:ascii="仿宋" w:hAnsi="仿宋" w:eastAsia="仿宋" w:cs="仿宋"/>
          <w:sz w:val="24"/>
          <w:szCs w:val="24"/>
        </w:rPr>
        <w:t>（</w:t>
      </w:r>
      <w:r>
        <w:rPr>
          <w:rFonts w:hint="eastAsia" w:ascii="仿宋" w:hAnsi="仿宋" w:eastAsia="仿宋" w:cs="仿宋"/>
          <w:sz w:val="24"/>
          <w:szCs w:val="24"/>
          <w:highlight w:val="yellow"/>
          <w:lang w:eastAsia="zh-CN"/>
        </w:rPr>
        <w:t>必须提供相应产品能获得配送权的承诺函，</w:t>
      </w:r>
      <w:r>
        <w:rPr>
          <w:rFonts w:hint="eastAsia" w:ascii="仿宋" w:hAnsi="仿宋" w:eastAsia="仿宋" w:cs="仿宋"/>
          <w:sz w:val="24"/>
          <w:szCs w:val="24"/>
          <w:highlight w:val="yellow"/>
        </w:rPr>
        <w:t>格式自拟</w:t>
      </w:r>
      <w:r>
        <w:rPr>
          <w:rFonts w:hint="eastAsia" w:ascii="仿宋" w:hAnsi="仿宋" w:eastAsia="仿宋" w:cs="仿宋"/>
          <w:sz w:val="24"/>
          <w:szCs w:val="24"/>
        </w:rPr>
        <w:t>）；</w:t>
      </w:r>
    </w:p>
    <w:p w14:paraId="5D24A883">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1.2、如产品出现了降价的情况配送供应商必须执行新价格（</w:t>
      </w:r>
      <w:r>
        <w:rPr>
          <w:rFonts w:hint="eastAsia" w:ascii="仿宋" w:hAnsi="仿宋" w:eastAsia="仿宋" w:cs="仿宋"/>
          <w:sz w:val="24"/>
          <w:szCs w:val="24"/>
          <w:highlight w:val="yellow"/>
        </w:rPr>
        <w:t>提供承诺函，格式自拟</w:t>
      </w:r>
      <w:r>
        <w:rPr>
          <w:rFonts w:hint="eastAsia" w:ascii="仿宋" w:hAnsi="仿宋" w:eastAsia="仿宋" w:cs="仿宋"/>
          <w:sz w:val="24"/>
          <w:szCs w:val="24"/>
        </w:rPr>
        <w:t>）；</w:t>
      </w:r>
    </w:p>
    <w:p w14:paraId="68EA02D1">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1.3、采购价不得高于</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四川医保平台子系统</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药品和医用耗材招采管理系统</w:t>
      </w:r>
      <w:r>
        <w:rPr>
          <w:rFonts w:hint="eastAsia" w:ascii="仿宋" w:hAnsi="仿宋" w:eastAsia="仿宋" w:cs="仿宋"/>
          <w:sz w:val="24"/>
          <w:szCs w:val="24"/>
          <w:highlight w:val="none"/>
        </w:rPr>
        <w:t>”中的“我省最高参考价”、“联动参考价”、“截止上月末全省医疗机构采</w:t>
      </w:r>
      <w:r>
        <w:rPr>
          <w:rFonts w:hint="eastAsia" w:ascii="仿宋" w:hAnsi="仿宋" w:eastAsia="仿宋" w:cs="仿宋"/>
          <w:sz w:val="24"/>
          <w:szCs w:val="24"/>
        </w:rPr>
        <w:t>购加权平均价”等价格 ，中标供应商无条件执行价格政策，并在四川药械采购网上进行价格确认生成订单，</w:t>
      </w:r>
      <w:r>
        <w:rPr>
          <w:rFonts w:hint="eastAsia" w:ascii="仿宋" w:hAnsi="仿宋" w:eastAsia="仿宋" w:cs="仿宋"/>
          <w:color w:val="auto"/>
          <w:sz w:val="24"/>
          <w:szCs w:val="24"/>
          <w:lang w:eastAsia="zh-CN"/>
        </w:rPr>
        <w:t>中标供应商无条件执行价格政策，出现了降价的情况配送供应商必须执行新价格，不得以任何理由不</w:t>
      </w:r>
      <w:r>
        <w:rPr>
          <w:rFonts w:hint="eastAsia" w:ascii="仿宋" w:hAnsi="仿宋" w:eastAsia="仿宋" w:cs="仿宋"/>
          <w:sz w:val="24"/>
          <w:szCs w:val="24"/>
          <w:lang w:eastAsia="zh-CN"/>
        </w:rPr>
        <w:t>供货。</w:t>
      </w:r>
      <w:r>
        <w:rPr>
          <w:rFonts w:hint="eastAsia" w:ascii="仿宋" w:hAnsi="仿宋" w:eastAsia="仿宋" w:cs="仿宋"/>
          <w:sz w:val="24"/>
          <w:szCs w:val="24"/>
        </w:rPr>
        <w:t>中标供应商如不执行</w:t>
      </w:r>
      <w:r>
        <w:rPr>
          <w:rFonts w:hint="eastAsia" w:ascii="仿宋" w:hAnsi="仿宋" w:eastAsia="仿宋" w:cs="仿宋"/>
          <w:sz w:val="24"/>
          <w:szCs w:val="24"/>
          <w:lang w:eastAsia="zh-CN"/>
        </w:rPr>
        <w:t>，</w:t>
      </w:r>
      <w:r>
        <w:rPr>
          <w:rFonts w:hint="eastAsia" w:ascii="仿宋" w:hAnsi="仿宋" w:eastAsia="仿宋" w:cs="仿宋"/>
          <w:sz w:val="24"/>
          <w:szCs w:val="24"/>
        </w:rPr>
        <w:t>我院有权终止合同；（提供承诺函，格式自拟）</w:t>
      </w:r>
    </w:p>
    <w:p w14:paraId="7A60DF10">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、挂网品种根据“药品和医用耗材招采管理系统”目录动态调整，以每月实际采购下订单目录为准。</w:t>
      </w:r>
    </w:p>
    <w:p w14:paraId="3F1B7743">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6</w:t>
      </w:r>
      <w:r>
        <w:rPr>
          <w:rFonts w:hint="eastAsia" w:ascii="仿宋" w:hAnsi="仿宋" w:eastAsia="仿宋" w:cs="仿宋"/>
          <w:sz w:val="24"/>
          <w:szCs w:val="24"/>
        </w:rPr>
        <w:t>、所有采购产品，出现国家集采范围内，进入国家集采范围内的产品自动中止采购，执行国家集采相关政策</w:t>
      </w:r>
      <w:r>
        <w:rPr>
          <w:rFonts w:hint="eastAsia" w:ascii="仿宋" w:hAnsi="仿宋" w:eastAsia="仿宋" w:cs="仿宋"/>
          <w:sz w:val="24"/>
          <w:szCs w:val="24"/>
          <w:lang w:eastAsia="zh-CN"/>
        </w:rPr>
        <w:t>。</w:t>
      </w:r>
    </w:p>
    <w:p w14:paraId="37B2D7A0">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1.7、</w:t>
      </w:r>
      <w:r>
        <w:rPr>
          <w:rFonts w:hint="eastAsia" w:ascii="仿宋" w:hAnsi="仿宋" w:eastAsia="仿宋" w:cs="仿宋"/>
          <w:sz w:val="24"/>
          <w:szCs w:val="24"/>
          <w:highlight w:val="yellow"/>
        </w:rPr>
        <w:t>所有采购产品，</w:t>
      </w:r>
      <w:r>
        <w:rPr>
          <w:rFonts w:hint="eastAsia" w:ascii="仿宋" w:hAnsi="仿宋" w:eastAsia="仿宋" w:cs="仿宋"/>
          <w:sz w:val="24"/>
          <w:szCs w:val="24"/>
          <w:highlight w:val="yellow"/>
          <w:lang w:eastAsia="zh-CN"/>
        </w:rPr>
        <w:t>由总院统一采购后合同自动终止，执行总院采购政策。</w:t>
      </w:r>
    </w:p>
    <w:p w14:paraId="31AC1B6A">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2、中标后签合同之前提供样品到使用科室，确定参数要求是否满足。</w:t>
      </w:r>
      <w:r>
        <w:rPr>
          <w:rFonts w:hint="eastAsia" w:ascii="仿宋" w:hAnsi="仿宋" w:eastAsia="仿宋" w:cs="仿宋"/>
          <w:sz w:val="24"/>
          <w:szCs w:val="24"/>
          <w:lang w:eastAsia="zh-CN"/>
        </w:rPr>
        <w:t>中</w:t>
      </w:r>
      <w:r>
        <w:rPr>
          <w:rFonts w:hint="eastAsia" w:ascii="仿宋" w:hAnsi="仿宋" w:eastAsia="仿宋" w:cs="仿宋"/>
          <w:sz w:val="24"/>
          <w:szCs w:val="24"/>
        </w:rPr>
        <w:t xml:space="preserve">标人需向采购人提供及时有效的技术支持。 </w:t>
      </w:r>
    </w:p>
    <w:p w14:paraId="259526B4">
      <w:pPr>
        <w:pStyle w:val="3"/>
        <w:pageBreakBefore w:val="0"/>
        <w:kinsoku/>
        <w:wordWrap/>
        <w:overflowPunct/>
        <w:topLinePunct w:val="0"/>
        <w:bidi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sz w:val="24"/>
          <w:szCs w:val="24"/>
        </w:rPr>
        <w:t>3、</w:t>
      </w:r>
      <w:r>
        <w:rPr>
          <w:rFonts w:hint="eastAsia" w:ascii="仿宋" w:hAnsi="仿宋" w:eastAsia="仿宋" w:cs="仿宋"/>
          <w:color w:val="auto"/>
          <w:sz w:val="24"/>
          <w:szCs w:val="24"/>
          <w:lang w:eastAsia="zh-CN"/>
        </w:rPr>
        <w:t>本项目各包件清单中列举的物品为采购人主要采购物品（属于预估清单），各包件清单不代表采购的所有内容，投标人在服务期内须根据采购人实际需求提供相应物品，清单中未列举的物品，无参考价格的新进挂网产品，其价格由采购人参照有参考价格的同类产品、按照采购人内部采购管理制度和程序进行确定。</w:t>
      </w:r>
    </w:p>
    <w:p w14:paraId="2B152D94">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4、中标人配送及时，一般耗材于</w:t>
      </w:r>
      <w:r>
        <w:rPr>
          <w:rFonts w:hint="eastAsia" w:ascii="仿宋" w:hAnsi="仿宋" w:eastAsia="仿宋" w:cs="仿宋"/>
          <w:sz w:val="24"/>
          <w:szCs w:val="24"/>
          <w:highlight w:val="none"/>
        </w:rPr>
        <w:t>2天内</w:t>
      </w:r>
      <w:r>
        <w:rPr>
          <w:rFonts w:hint="eastAsia" w:ascii="仿宋" w:hAnsi="仿宋" w:eastAsia="仿宋" w:cs="仿宋"/>
          <w:sz w:val="24"/>
          <w:szCs w:val="24"/>
        </w:rPr>
        <w:t>送达，急用耗材应根据需要按时送达。</w:t>
      </w:r>
      <w:r>
        <w:rPr>
          <w:rFonts w:hint="eastAsia" w:ascii="仿宋" w:hAnsi="仿宋" w:eastAsia="仿宋" w:cs="仿宋"/>
          <w:sz w:val="24"/>
          <w:szCs w:val="24"/>
          <w:highlight w:val="yellow"/>
        </w:rPr>
        <w:t>（投标人需在售后服务承诺书中明确表述）</w:t>
      </w:r>
      <w:r>
        <w:rPr>
          <w:rFonts w:hint="eastAsia" w:ascii="仿宋" w:hAnsi="仿宋" w:eastAsia="仿宋" w:cs="仿宋"/>
          <w:sz w:val="24"/>
          <w:szCs w:val="24"/>
        </w:rPr>
        <w:t xml:space="preserve">。 </w:t>
      </w:r>
    </w:p>
    <w:p w14:paraId="224910DD">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5、产品质保期：≥1 年（招标文件技术要求另有规定的按技术要求相关规定执行）。产品在使用前若发现有质量问题，应及时免费更换。对合同执行期间产品有效期低于 6 个月的货物中标人应免费更换。其他质量问题在采购合同中约束。</w:t>
      </w:r>
    </w:p>
    <w:p w14:paraId="59381581">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6、供货期限：合同签订生效后 </w:t>
      </w:r>
      <w:r>
        <w:rPr>
          <w:rFonts w:hint="eastAsia" w:ascii="仿宋" w:hAnsi="仿宋" w:eastAsia="仿宋" w:cs="仿宋"/>
          <w:sz w:val="24"/>
          <w:szCs w:val="24"/>
          <w:lang w:val="en-US" w:eastAsia="zh-CN"/>
        </w:rPr>
        <w:t>2</w:t>
      </w:r>
      <w:r>
        <w:rPr>
          <w:rFonts w:hint="eastAsia" w:ascii="仿宋" w:hAnsi="仿宋" w:eastAsia="仿宋" w:cs="仿宋"/>
          <w:sz w:val="24"/>
          <w:szCs w:val="24"/>
        </w:rPr>
        <w:t>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00D5B8A3">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支付</w:t>
      </w:r>
      <w:r>
        <w:rPr>
          <w:rFonts w:hint="eastAsia" w:ascii="仿宋" w:hAnsi="仿宋" w:eastAsia="仿宋" w:cs="仿宋"/>
          <w:sz w:val="24"/>
          <w:szCs w:val="24"/>
        </w:rPr>
        <w:t xml:space="preserve">方式: </w:t>
      </w:r>
    </w:p>
    <w:p w14:paraId="7AC8ABB6">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7.1 最终采购量以实际需求采购量为准，最终结算金额以中标单价和实际发生的数量结算，按月据实结算（每月供货量经双方确认）并开具完整有效的票据，以票据为准实行滚动付款。 </w:t>
      </w:r>
    </w:p>
    <w:p w14:paraId="4D844416">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7.2 配送履约期间，如因疫情变动或政策调整等不可抗拒因素导致价格变动较大的，双方另行约定。</w:t>
      </w:r>
    </w:p>
    <w:p w14:paraId="5CE782A8">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7.3 本采购项目明细各单项均设预算单价，单项预算单价详见明细表。投标人必须对各项单价进行报价，且不得高于各项预算单价。单项单价超过预算单价的供货商的报价视为无效投标。 </w:t>
      </w:r>
    </w:p>
    <w:p w14:paraId="30C7261C">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8、交货地点：富顺县中医医院指定地点。 </w:t>
      </w:r>
    </w:p>
    <w:p w14:paraId="6B69FB48">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9、质量保证</w:t>
      </w:r>
    </w:p>
    <w:p w14:paraId="13A1264A">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9.1 中标人保证所提供的产品质量，如出现产品质量问题中标人应负责退换。对合同执行期间产品有效期低于 6 个月的货物中标人应免费更换。由于产品质量问题引起的医疗事故均由中标人承担相应责任。 </w:t>
      </w:r>
    </w:p>
    <w:p w14:paraId="69F35E01">
      <w:pPr>
        <w:pStyle w:val="3"/>
        <w:pageBreakBefore w:val="0"/>
        <w:kinsoku/>
        <w:wordWrap/>
        <w:overflowPunct/>
        <w:topLinePunct w:val="0"/>
        <w:bidi w:val="0"/>
        <w:spacing w:line="360" w:lineRule="auto"/>
        <w:ind w:firstLine="480" w:firstLineChars="200"/>
        <w:jc w:val="left"/>
        <w:rPr>
          <w:rFonts w:hint="eastAsia" w:ascii="仿宋" w:hAnsi="仿宋" w:eastAsia="仿宋" w:cs="仿宋"/>
          <w:strike w:val="0"/>
          <w:dstrike w:val="0"/>
          <w:color w:val="0000FF"/>
          <w:sz w:val="24"/>
          <w:szCs w:val="24"/>
          <w:highlight w:val="yellow"/>
        </w:rPr>
      </w:pPr>
      <w:r>
        <w:rPr>
          <w:rFonts w:hint="eastAsia" w:ascii="仿宋" w:hAnsi="仿宋" w:eastAsia="仿宋" w:cs="仿宋"/>
          <w:sz w:val="24"/>
          <w:szCs w:val="24"/>
        </w:rPr>
        <w:t xml:space="preserve">9.2 </w:t>
      </w:r>
      <w:r>
        <w:rPr>
          <w:rFonts w:hint="eastAsia" w:ascii="仿宋" w:hAnsi="仿宋" w:eastAsia="仿宋" w:cs="仿宋"/>
          <w:strike w:val="0"/>
          <w:dstrike w:val="0"/>
          <w:color w:val="0000FF"/>
          <w:sz w:val="24"/>
          <w:szCs w:val="24"/>
          <w:highlight w:val="yellow"/>
          <w:u w:val="none"/>
        </w:rPr>
        <w:t xml:space="preserve"> 中标人所供货物适用于临床，如临床在使用过程出现</w:t>
      </w:r>
      <w:r>
        <w:rPr>
          <w:rFonts w:hint="eastAsia" w:ascii="仿宋" w:hAnsi="仿宋" w:eastAsia="仿宋" w:cs="仿宋"/>
          <w:strike w:val="0"/>
          <w:dstrike w:val="0"/>
          <w:color w:val="0000FF"/>
          <w:sz w:val="24"/>
          <w:szCs w:val="24"/>
          <w:highlight w:val="yellow"/>
          <w:u w:val="none"/>
          <w:lang w:eastAsia="zh-CN"/>
        </w:rPr>
        <w:t>不良事件</w:t>
      </w:r>
      <w:r>
        <w:rPr>
          <w:rFonts w:hint="eastAsia" w:ascii="仿宋" w:hAnsi="仿宋" w:eastAsia="仿宋" w:cs="仿宋"/>
          <w:strike w:val="0"/>
          <w:dstrike w:val="0"/>
          <w:color w:val="0000FF"/>
          <w:sz w:val="24"/>
          <w:szCs w:val="24"/>
          <w:highlight w:val="yellow"/>
          <w:u w:val="none"/>
        </w:rPr>
        <w:t>的情况，</w:t>
      </w:r>
      <w:r>
        <w:rPr>
          <w:rFonts w:hint="eastAsia" w:ascii="仿宋" w:hAnsi="仿宋" w:eastAsia="仿宋" w:cs="仿宋"/>
          <w:strike w:val="0"/>
          <w:dstrike w:val="0"/>
          <w:color w:val="0000FF"/>
          <w:sz w:val="24"/>
          <w:szCs w:val="24"/>
          <w:highlight w:val="yellow"/>
        </w:rPr>
        <w:t>中标人为采购人更换</w:t>
      </w:r>
      <w:r>
        <w:rPr>
          <w:rFonts w:hint="eastAsia" w:ascii="仿宋" w:hAnsi="仿宋" w:eastAsia="仿宋" w:cs="仿宋"/>
          <w:strike w:val="0"/>
          <w:dstrike w:val="0"/>
          <w:color w:val="0000FF"/>
          <w:sz w:val="24"/>
          <w:szCs w:val="24"/>
          <w:highlight w:val="yellow"/>
          <w:lang w:eastAsia="zh-CN"/>
        </w:rPr>
        <w:t>相应的产品</w:t>
      </w:r>
      <w:r>
        <w:rPr>
          <w:rFonts w:hint="eastAsia" w:ascii="仿宋" w:hAnsi="仿宋" w:eastAsia="仿宋" w:cs="仿宋"/>
          <w:strike w:val="0"/>
          <w:dstrike w:val="0"/>
          <w:color w:val="0000FF"/>
          <w:sz w:val="24"/>
          <w:szCs w:val="24"/>
          <w:highlight w:val="yellow"/>
        </w:rPr>
        <w:t>，如更换 2 次仍不能达到临床要求，则中标人在</w:t>
      </w:r>
      <w:r>
        <w:rPr>
          <w:rFonts w:hint="eastAsia" w:ascii="仿宋" w:hAnsi="仿宋" w:eastAsia="仿宋" w:cs="仿宋"/>
          <w:strike w:val="0"/>
          <w:dstrike w:val="0"/>
          <w:color w:val="0000FF"/>
          <w:sz w:val="24"/>
          <w:szCs w:val="24"/>
          <w:highlight w:val="yellow"/>
          <w:lang w:eastAsia="zh-CN"/>
        </w:rPr>
        <w:t>不高于</w:t>
      </w:r>
      <w:r>
        <w:rPr>
          <w:rFonts w:hint="eastAsia" w:ascii="仿宋" w:hAnsi="仿宋" w:eastAsia="仿宋" w:cs="仿宋"/>
          <w:strike w:val="0"/>
          <w:dstrike w:val="0"/>
          <w:color w:val="0000FF"/>
          <w:sz w:val="24"/>
          <w:szCs w:val="24"/>
          <w:highlight w:val="yellow"/>
        </w:rPr>
        <w:t>合同</w:t>
      </w:r>
      <w:r>
        <w:rPr>
          <w:rFonts w:hint="eastAsia" w:ascii="仿宋" w:hAnsi="仿宋" w:eastAsia="仿宋" w:cs="仿宋"/>
          <w:strike w:val="0"/>
          <w:dstrike w:val="0"/>
          <w:color w:val="0000FF"/>
          <w:sz w:val="24"/>
          <w:szCs w:val="24"/>
          <w:highlight w:val="yellow"/>
          <w:lang w:eastAsia="zh-CN"/>
        </w:rPr>
        <w:t>单价</w:t>
      </w:r>
      <w:r>
        <w:rPr>
          <w:rFonts w:hint="eastAsia" w:ascii="仿宋" w:hAnsi="仿宋" w:eastAsia="仿宋" w:cs="仿宋"/>
          <w:strike w:val="0"/>
          <w:dstrike w:val="0"/>
          <w:color w:val="0000FF"/>
          <w:sz w:val="24"/>
          <w:szCs w:val="24"/>
          <w:highlight w:val="yellow"/>
        </w:rPr>
        <w:t>的前提下为采购人提供</w:t>
      </w:r>
      <w:r>
        <w:rPr>
          <w:rFonts w:hint="eastAsia" w:ascii="仿宋" w:hAnsi="仿宋" w:eastAsia="仿宋" w:cs="仿宋"/>
          <w:strike w:val="0"/>
          <w:dstrike w:val="0"/>
          <w:color w:val="0000FF"/>
          <w:sz w:val="24"/>
          <w:szCs w:val="24"/>
          <w:highlight w:val="yellow"/>
          <w:lang w:eastAsia="zh-CN"/>
        </w:rPr>
        <w:t>合格产品</w:t>
      </w:r>
      <w:r>
        <w:rPr>
          <w:rFonts w:hint="eastAsia" w:ascii="仿宋" w:hAnsi="仿宋" w:eastAsia="仿宋" w:cs="仿宋"/>
          <w:strike w:val="0"/>
          <w:dstrike w:val="0"/>
          <w:color w:val="0000FF"/>
          <w:sz w:val="24"/>
          <w:szCs w:val="24"/>
          <w:highlight w:val="yellow"/>
        </w:rPr>
        <w:t>。</w:t>
      </w:r>
    </w:p>
    <w:p w14:paraId="40980C24">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9.3</w:t>
      </w:r>
      <w:r>
        <w:rPr>
          <w:rFonts w:hint="eastAsia" w:ascii="仿宋" w:hAnsi="仿宋" w:eastAsia="仿宋" w:cs="仿宋"/>
          <w:sz w:val="24"/>
          <w:szCs w:val="24"/>
          <w:lang w:eastAsia="zh-CN"/>
        </w:rPr>
        <w:t>、检验试剂需提供性能验证服务包含试剂及工程师，且通过性能验证后才能投入临床使用。</w:t>
      </w:r>
    </w:p>
    <w:p w14:paraId="436C8C4E">
      <w:pPr>
        <w:pStyle w:val="3"/>
        <w:pageBreakBefore w:val="0"/>
        <w:kinsoku/>
        <w:wordWrap/>
        <w:overflowPunct/>
        <w:topLinePunct w:val="0"/>
        <w:bidi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sz w:val="24"/>
          <w:szCs w:val="24"/>
          <w:lang w:val="en-US" w:eastAsia="zh-CN"/>
        </w:rPr>
        <w:t>9.4</w:t>
      </w:r>
      <w:r>
        <w:rPr>
          <w:rFonts w:hint="eastAsia" w:ascii="仿宋" w:hAnsi="仿宋" w:eastAsia="仿宋" w:cs="仿宋"/>
          <w:sz w:val="24"/>
          <w:szCs w:val="24"/>
          <w:lang w:eastAsia="zh-CN"/>
        </w:rPr>
        <w:t>、中</w:t>
      </w:r>
      <w:r>
        <w:rPr>
          <w:rFonts w:hint="eastAsia" w:ascii="仿宋" w:hAnsi="仿宋" w:eastAsia="仿宋" w:cs="仿宋"/>
          <w:color w:val="auto"/>
          <w:sz w:val="24"/>
          <w:szCs w:val="24"/>
          <w:lang w:eastAsia="zh-CN"/>
        </w:rPr>
        <w:t>标后签合同之前提供样品到使用科室，确定参数要求是否满足。</w:t>
      </w:r>
    </w:p>
    <w:p w14:paraId="24F3E9D1">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10、验收标准：中标人与采购人应严格按照《财政部关于进一步加强政府采购需求和履约验收管理的指导意见》（财库</w:t>
      </w:r>
      <w:bookmarkStart w:id="101" w:name="OLE_LINK15"/>
      <w:r>
        <w:rPr>
          <w:rFonts w:hint="eastAsia" w:ascii="仿宋" w:hAnsi="仿宋" w:eastAsia="仿宋" w:cs="仿宋"/>
          <w:sz w:val="24"/>
          <w:szCs w:val="24"/>
        </w:rPr>
        <w:t>〔2016〕2</w:t>
      </w:r>
      <w:r>
        <w:rPr>
          <w:rFonts w:hint="eastAsia" w:ascii="仿宋" w:hAnsi="仿宋" w:eastAsia="仿宋" w:cs="仿宋"/>
          <w:sz w:val="24"/>
          <w:szCs w:val="24"/>
          <w:lang w:eastAsia="zh-CN"/>
        </w:rPr>
        <w:t>0</w:t>
      </w:r>
      <w:bookmarkEnd w:id="101"/>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号</w:t>
      </w:r>
      <w:r>
        <w:rPr>
          <w:rFonts w:hint="eastAsia" w:ascii="仿宋" w:hAnsi="仿宋" w:eastAsia="仿宋" w:cs="仿宋"/>
          <w:sz w:val="24"/>
          <w:szCs w:val="24"/>
        </w:rPr>
        <w:t>）的要求和招标文件以及投标文件进行验收。</w:t>
      </w:r>
    </w:p>
    <w:p w14:paraId="2846AB3D">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11、售后服务 </w:t>
      </w:r>
    </w:p>
    <w:p w14:paraId="06513A6B">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11.1</w:t>
      </w:r>
      <w:r>
        <w:rPr>
          <w:rFonts w:hint="eastAsia" w:ascii="仿宋" w:hAnsi="仿宋" w:eastAsia="仿宋" w:cs="仿宋"/>
          <w:sz w:val="24"/>
          <w:szCs w:val="24"/>
          <w:lang w:eastAsia="zh-CN"/>
        </w:rPr>
        <w:t>、合同协议期限内，供应商根据采购人的具体时间要求进行分批次供货，供应商须按采购人交货要求供货，中标人配送及时，一般耗材于2天内送达，急用耗材应根据需要按时送达。若有需要冷藏的产品需保证冷链运输。</w:t>
      </w:r>
    </w:p>
    <w:p w14:paraId="5ADBA565">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11.2</w:t>
      </w:r>
      <w:r>
        <w:rPr>
          <w:rFonts w:hint="eastAsia" w:ascii="仿宋" w:hAnsi="仿宋" w:eastAsia="仿宋" w:cs="仿宋"/>
          <w:sz w:val="24"/>
          <w:szCs w:val="24"/>
          <w:lang w:eastAsia="zh-CN"/>
        </w:rPr>
        <w:t>、供应商对所供医用耗材应充足备货，确保采购人随时需要。供应商知悉本次采购事项发生的背景和环境，合同履行过程中因不可抗力因素和可能面临的外部困难和障碍，供应商对此均有充分的计划和准备，保证及时供货。急诊或急救耗材必须保证下达计划后随时供货，不得因供货不及时影响采购人正常医疗工作。</w:t>
      </w:r>
    </w:p>
    <w:p w14:paraId="5C61FFFF">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11.3</w:t>
      </w:r>
      <w:r>
        <w:rPr>
          <w:rFonts w:hint="eastAsia" w:ascii="仿宋" w:hAnsi="仿宋" w:eastAsia="仿宋" w:cs="仿宋"/>
          <w:sz w:val="24"/>
          <w:szCs w:val="24"/>
          <w:lang w:eastAsia="zh-CN"/>
        </w:rPr>
        <w:t>、供应商所供医用耗材送达采购人库房办理验收手续，并在采购人指定位置码放整齐；应急情况例外。</w:t>
      </w:r>
    </w:p>
    <w:p w14:paraId="39CA5BD5">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11.4</w:t>
      </w:r>
      <w:r>
        <w:rPr>
          <w:rFonts w:hint="eastAsia" w:ascii="仿宋" w:hAnsi="仿宋" w:eastAsia="仿宋" w:cs="仿宋"/>
          <w:sz w:val="24"/>
          <w:szCs w:val="24"/>
          <w:lang w:eastAsia="zh-CN"/>
        </w:rPr>
        <w:t>、在实际使用过程中如因产品自身质量原因出现异常情况，供应商能在收到院方口头或书面通知后请厂家或专家24 小时内到采购人处协助解决异常情况，相关一切费用由供应商负责。</w:t>
      </w:r>
    </w:p>
    <w:p w14:paraId="1771A46C">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11.5</w:t>
      </w:r>
      <w:r>
        <w:rPr>
          <w:rFonts w:hint="eastAsia" w:ascii="仿宋" w:hAnsi="仿宋" w:eastAsia="仿宋" w:cs="仿宋"/>
          <w:sz w:val="24"/>
          <w:szCs w:val="24"/>
          <w:lang w:eastAsia="zh-CN"/>
        </w:rPr>
        <w:t>、对于一些需要培训后使用的产品，供应商必须做好相关培训工作，培训产生的费用由供应商负责。</w:t>
      </w:r>
    </w:p>
    <w:p w14:paraId="7CABC3A3">
      <w:pPr>
        <w:ind w:firstLine="480" w:firstLineChars="200"/>
        <w:rPr>
          <w:rFonts w:hint="eastAsia" w:ascii="仿宋" w:hAnsi="仿宋" w:eastAsia="仿宋" w:cs="仿宋"/>
          <w:lang w:eastAsia="zh-CN"/>
        </w:rPr>
      </w:pPr>
      <w:r>
        <w:rPr>
          <w:rFonts w:hint="eastAsia" w:ascii="仿宋" w:hAnsi="仿宋" w:eastAsia="仿宋" w:cs="仿宋"/>
          <w:sz w:val="24"/>
          <w:szCs w:val="24"/>
          <w:lang w:val="en-US" w:eastAsia="zh-CN"/>
        </w:rPr>
        <w:t>11.6</w:t>
      </w:r>
      <w:r>
        <w:rPr>
          <w:rFonts w:hint="eastAsia" w:ascii="仿宋" w:hAnsi="仿宋" w:eastAsia="仿宋" w:cs="仿宋"/>
          <w:sz w:val="24"/>
          <w:szCs w:val="24"/>
          <w:lang w:eastAsia="zh-CN"/>
        </w:rPr>
        <w:t>、中标人保证所提供的产品质量，如出现产品质量问题中标人应负责退换。由于产品质量问题引起的医疗事故均由中标人承担相应责任。</w:t>
      </w:r>
    </w:p>
    <w:p w14:paraId="46C6A911">
      <w:pPr>
        <w:tabs>
          <w:tab w:val="left" w:pos="7665"/>
        </w:tabs>
        <w:spacing w:line="360" w:lineRule="auto"/>
        <w:ind w:firstLine="480"/>
        <w:jc w:val="center"/>
        <w:outlineLvl w:val="0"/>
        <w:rPr>
          <w:rFonts w:hint="eastAsia" w:ascii="仿宋" w:hAnsi="仿宋" w:eastAsia="仿宋" w:cs="仿宋"/>
          <w:b/>
          <w:sz w:val="36"/>
          <w:szCs w:val="36"/>
          <w:highlight w:val="none"/>
        </w:rPr>
      </w:pPr>
    </w:p>
    <w:p w14:paraId="57CE6CF4">
      <w:pPr>
        <w:tabs>
          <w:tab w:val="left" w:pos="7665"/>
        </w:tabs>
        <w:spacing w:line="360" w:lineRule="auto"/>
        <w:ind w:firstLine="480"/>
        <w:jc w:val="center"/>
        <w:outlineLvl w:val="0"/>
        <w:rPr>
          <w:rFonts w:hint="eastAsia" w:ascii="仿宋" w:hAnsi="仿宋" w:eastAsia="仿宋" w:cs="仿宋"/>
          <w:b/>
          <w:sz w:val="36"/>
          <w:szCs w:val="36"/>
          <w:highlight w:val="none"/>
        </w:rPr>
      </w:pPr>
    </w:p>
    <w:p w14:paraId="73345D11">
      <w:pPr>
        <w:tabs>
          <w:tab w:val="left" w:pos="7665"/>
        </w:tabs>
        <w:spacing w:line="360" w:lineRule="auto"/>
        <w:jc w:val="both"/>
        <w:outlineLvl w:val="0"/>
        <w:rPr>
          <w:rFonts w:hint="eastAsia" w:ascii="仿宋" w:hAnsi="仿宋" w:eastAsia="仿宋" w:cs="仿宋"/>
          <w:b/>
          <w:sz w:val="36"/>
          <w:szCs w:val="36"/>
          <w:highlight w:val="none"/>
        </w:rPr>
      </w:pPr>
    </w:p>
    <w:p w14:paraId="0F536CC3">
      <w:pPr>
        <w:tabs>
          <w:tab w:val="left" w:pos="7665"/>
        </w:tabs>
        <w:spacing w:line="360" w:lineRule="auto"/>
        <w:ind w:firstLine="480"/>
        <w:jc w:val="center"/>
        <w:outlineLvl w:val="0"/>
        <w:rPr>
          <w:rFonts w:hint="eastAsia" w:ascii="仿宋" w:hAnsi="仿宋" w:eastAsia="仿宋" w:cs="仿宋"/>
          <w:sz w:val="32"/>
          <w:highlight w:val="none"/>
        </w:rPr>
      </w:pPr>
      <w:r>
        <w:rPr>
          <w:rFonts w:hint="eastAsia" w:ascii="仿宋" w:hAnsi="仿宋" w:eastAsia="仿宋" w:cs="仿宋"/>
          <w:b/>
          <w:sz w:val="36"/>
          <w:szCs w:val="36"/>
          <w:highlight w:val="none"/>
        </w:rPr>
        <w:t xml:space="preserve">第六章  </w:t>
      </w:r>
      <w:r>
        <w:rPr>
          <w:rFonts w:hint="eastAsia" w:ascii="仿宋" w:hAnsi="仿宋" w:eastAsia="仿宋" w:cs="仿宋"/>
          <w:b/>
          <w:bCs/>
          <w:sz w:val="36"/>
          <w:szCs w:val="36"/>
          <w:highlight w:val="none"/>
        </w:rPr>
        <w:t>投标文件格式</w:t>
      </w:r>
      <w:bookmarkEnd w:id="95"/>
    </w:p>
    <w:p w14:paraId="15947E7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3DC6A9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一、本章所制投标文件格式，除格式中明确将该格式作为实质性要求的，一律不具有强制性，但是，投标人投标文件相关资料和本章所制格式不一致的，评标小组将在评分时以投标文件不规范予以扣分处理。</w:t>
      </w:r>
    </w:p>
    <w:p w14:paraId="6D473DF0">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二、本章所制投标文件格式有关表格中的备注栏，由投标人根据自身投标情况作解释性说明，不作为必填项。</w:t>
      </w:r>
    </w:p>
    <w:p w14:paraId="1C96254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三、本章所制投标文件格式中需要填写的相关内容事项，可能会与本采购项目无关，在不改变投标文件原义、不影响本项目采购需求的情况下，投标人可以不予填写，但应当注明。</w:t>
      </w:r>
    </w:p>
    <w:p w14:paraId="3D9FC891">
      <w:pPr>
        <w:spacing w:line="360" w:lineRule="auto"/>
        <w:rPr>
          <w:rFonts w:hint="eastAsia" w:ascii="仿宋" w:hAnsi="仿宋" w:eastAsia="仿宋" w:cs="仿宋"/>
          <w:b/>
          <w:sz w:val="24"/>
          <w:szCs w:val="24"/>
          <w:highlight w:val="none"/>
        </w:rPr>
      </w:pPr>
    </w:p>
    <w:p w14:paraId="0EAD7CE8">
      <w:pPr>
        <w:pStyle w:val="34"/>
        <w:spacing w:before="46" w:after="46"/>
        <w:ind w:firstLine="0" w:firstLineChars="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102" w:name="_Toc4945"/>
      <w:r>
        <w:rPr>
          <w:rFonts w:hint="eastAsia" w:ascii="仿宋" w:hAnsi="仿宋" w:eastAsia="仿宋" w:cs="仿宋"/>
          <w:b/>
          <w:szCs w:val="28"/>
          <w:highlight w:val="none"/>
        </w:rPr>
        <w:t>格式1 法定代表人授权委托书</w:t>
      </w:r>
      <w:bookmarkEnd w:id="102"/>
    </w:p>
    <w:p w14:paraId="7403BD85">
      <w:pPr>
        <w:pStyle w:val="7"/>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法定代表人授权委托书</w:t>
      </w:r>
    </w:p>
    <w:p w14:paraId="0652278F">
      <w:pPr>
        <w:pStyle w:val="7"/>
        <w:spacing w:line="360" w:lineRule="auto"/>
        <w:ind w:firstLine="482"/>
        <w:jc w:val="center"/>
        <w:rPr>
          <w:rFonts w:hint="eastAsia" w:ascii="仿宋" w:hAnsi="仿宋" w:eastAsia="仿宋" w:cs="仿宋"/>
          <w:b/>
          <w:sz w:val="24"/>
          <w:szCs w:val="24"/>
          <w:highlight w:val="none"/>
        </w:rPr>
      </w:pPr>
    </w:p>
    <w:p w14:paraId="7A2A3D66">
      <w:pPr>
        <w:spacing w:line="360" w:lineRule="auto"/>
        <w:jc w:val="lef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7B29A657">
      <w:pPr>
        <w:spacing w:line="360" w:lineRule="auto"/>
        <w:jc w:val="left"/>
        <w:rPr>
          <w:rFonts w:hint="eastAsia" w:ascii="仿宋" w:hAnsi="仿宋" w:eastAsia="仿宋" w:cs="仿宋"/>
          <w:sz w:val="24"/>
          <w:szCs w:val="24"/>
          <w:highlight w:val="none"/>
        </w:rPr>
      </w:pPr>
    </w:p>
    <w:p w14:paraId="3A2B8D51">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（投标人全称）法定代表人____________ 授权委托_____________为我的代理人，参加贵单位组织的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）的响应。代理人在本次采购中所签署的一切文件和处理的一切有关事宜，我公司均予承认，所产生的法律后果均由我单位承担。</w:t>
      </w:r>
    </w:p>
    <w:p w14:paraId="5DFE298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代理人无转委托权，本授权书自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日签字生效，特此声明。</w:t>
      </w:r>
    </w:p>
    <w:p w14:paraId="660432E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14:paraId="6683424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011186A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w:t>
      </w:r>
    </w:p>
    <w:p w14:paraId="5396EF0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33B681FC">
      <w:pPr>
        <w:pStyle w:val="2"/>
        <w:rPr>
          <w:rFonts w:hint="eastAsia" w:ascii="仿宋" w:hAnsi="仿宋" w:eastAsia="仿宋" w:cs="仿宋"/>
          <w:highlight w:val="none"/>
        </w:rPr>
      </w:pPr>
    </w:p>
    <w:p w14:paraId="5C3F0158">
      <w:pPr>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附：代理人身份证复印件（加盖公章）</w:t>
      </w:r>
    </w:p>
    <w:p w14:paraId="41642CDA">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14:paraId="134400E9">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zh-CN"/>
        </w:rPr>
        <w:t>）上述证明文件在投标文件中附有代理人身份证复印件</w:t>
      </w:r>
      <w:r>
        <w:rPr>
          <w:rFonts w:hint="eastAsia" w:ascii="仿宋" w:hAnsi="仿宋" w:eastAsia="仿宋" w:cs="仿宋"/>
          <w:b/>
          <w:sz w:val="24"/>
          <w:szCs w:val="24"/>
          <w:highlight w:val="none"/>
        </w:rPr>
        <w:t>。</w:t>
      </w:r>
    </w:p>
    <w:p w14:paraId="034255D2">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（2）投标文件均由投标人法定代表人签字的,投标文件中可不提供该附件的内容。</w:t>
      </w:r>
    </w:p>
    <w:p w14:paraId="70AE2048">
      <w:pPr>
        <w:spacing w:line="360" w:lineRule="auto"/>
        <w:jc w:val="center"/>
        <w:rPr>
          <w:rFonts w:hint="eastAsia" w:ascii="仿宋" w:hAnsi="仿宋" w:eastAsia="仿宋" w:cs="仿宋"/>
          <w:b/>
          <w:bCs/>
          <w:sz w:val="24"/>
          <w:szCs w:val="24"/>
          <w:highlight w:val="none"/>
        </w:rPr>
      </w:pPr>
    </w:p>
    <w:p w14:paraId="5310E0CC">
      <w:pPr>
        <w:spacing w:line="360" w:lineRule="auto"/>
        <w:jc w:val="left"/>
        <w:outlineLvl w:val="1"/>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br w:type="page"/>
      </w:r>
      <w:bookmarkStart w:id="103" w:name="_Toc21235"/>
      <w:r>
        <w:rPr>
          <w:rFonts w:hint="eastAsia" w:ascii="仿宋" w:hAnsi="仿宋" w:eastAsia="仿宋" w:cs="仿宋"/>
          <w:b/>
          <w:bCs/>
          <w:sz w:val="28"/>
          <w:szCs w:val="28"/>
          <w:highlight w:val="none"/>
        </w:rPr>
        <w:t>格式2 投标人基本情况表</w:t>
      </w:r>
      <w:bookmarkEnd w:id="103"/>
    </w:p>
    <w:p w14:paraId="1BF4E14F">
      <w:pPr>
        <w:spacing w:line="360" w:lineRule="auto"/>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投标人基本情况表</w:t>
      </w:r>
    </w:p>
    <w:tbl>
      <w:tblPr>
        <w:tblStyle w:val="2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5A43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41D4B6F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投标人名称</w:t>
            </w:r>
          </w:p>
        </w:tc>
        <w:tc>
          <w:tcPr>
            <w:tcW w:w="8069" w:type="dxa"/>
            <w:gridSpan w:val="11"/>
            <w:vAlign w:val="center"/>
          </w:tcPr>
          <w:p w14:paraId="3F214BC7">
            <w:pPr>
              <w:spacing w:line="360" w:lineRule="auto"/>
              <w:jc w:val="center"/>
              <w:rPr>
                <w:rFonts w:hint="eastAsia" w:ascii="仿宋" w:hAnsi="仿宋" w:eastAsia="仿宋" w:cs="仿宋"/>
                <w:bCs/>
                <w:sz w:val="24"/>
                <w:szCs w:val="24"/>
                <w:highlight w:val="none"/>
              </w:rPr>
            </w:pPr>
          </w:p>
        </w:tc>
      </w:tr>
      <w:tr w14:paraId="79AA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14:paraId="1478BBC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4995" w:type="dxa"/>
            <w:gridSpan w:val="6"/>
            <w:vAlign w:val="center"/>
          </w:tcPr>
          <w:p w14:paraId="3FBEFC9C">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0C83101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邮政编码</w:t>
            </w:r>
          </w:p>
        </w:tc>
        <w:tc>
          <w:tcPr>
            <w:tcW w:w="1478" w:type="dxa"/>
            <w:gridSpan w:val="2"/>
            <w:vAlign w:val="center"/>
          </w:tcPr>
          <w:p w14:paraId="232E91BB">
            <w:pPr>
              <w:spacing w:line="360" w:lineRule="auto"/>
              <w:jc w:val="center"/>
              <w:rPr>
                <w:rFonts w:hint="eastAsia" w:ascii="仿宋" w:hAnsi="仿宋" w:eastAsia="仿宋" w:cs="仿宋"/>
                <w:bCs/>
                <w:sz w:val="24"/>
                <w:szCs w:val="24"/>
                <w:highlight w:val="none"/>
              </w:rPr>
            </w:pPr>
          </w:p>
        </w:tc>
      </w:tr>
      <w:tr w14:paraId="6C5E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14:paraId="498BB03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p>
        </w:tc>
        <w:tc>
          <w:tcPr>
            <w:tcW w:w="1153" w:type="dxa"/>
            <w:vAlign w:val="center"/>
          </w:tcPr>
          <w:p w14:paraId="011596D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p>
        </w:tc>
        <w:tc>
          <w:tcPr>
            <w:tcW w:w="3842" w:type="dxa"/>
            <w:gridSpan w:val="5"/>
            <w:vAlign w:val="center"/>
          </w:tcPr>
          <w:p w14:paraId="584909F5">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09C49F6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478" w:type="dxa"/>
            <w:gridSpan w:val="2"/>
            <w:vAlign w:val="center"/>
          </w:tcPr>
          <w:p w14:paraId="1F53A57F">
            <w:pPr>
              <w:spacing w:line="360" w:lineRule="auto"/>
              <w:jc w:val="center"/>
              <w:rPr>
                <w:rFonts w:hint="eastAsia" w:ascii="仿宋" w:hAnsi="仿宋" w:eastAsia="仿宋" w:cs="仿宋"/>
                <w:bCs/>
                <w:sz w:val="24"/>
                <w:szCs w:val="24"/>
                <w:highlight w:val="none"/>
              </w:rPr>
            </w:pPr>
          </w:p>
        </w:tc>
      </w:tr>
      <w:tr w14:paraId="24BA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14:paraId="68565291">
            <w:pPr>
              <w:spacing w:line="360" w:lineRule="auto"/>
              <w:jc w:val="center"/>
              <w:rPr>
                <w:rFonts w:hint="eastAsia" w:ascii="仿宋" w:hAnsi="仿宋" w:eastAsia="仿宋" w:cs="仿宋"/>
                <w:bCs/>
                <w:sz w:val="24"/>
                <w:szCs w:val="24"/>
                <w:highlight w:val="none"/>
              </w:rPr>
            </w:pPr>
          </w:p>
        </w:tc>
        <w:tc>
          <w:tcPr>
            <w:tcW w:w="1153" w:type="dxa"/>
            <w:vAlign w:val="center"/>
          </w:tcPr>
          <w:p w14:paraId="0FF99AE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传真</w:t>
            </w:r>
          </w:p>
        </w:tc>
        <w:tc>
          <w:tcPr>
            <w:tcW w:w="3842" w:type="dxa"/>
            <w:gridSpan w:val="5"/>
            <w:vAlign w:val="center"/>
          </w:tcPr>
          <w:p w14:paraId="7E3BB7DC">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3199149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网址</w:t>
            </w:r>
          </w:p>
        </w:tc>
        <w:tc>
          <w:tcPr>
            <w:tcW w:w="1478" w:type="dxa"/>
            <w:gridSpan w:val="2"/>
            <w:vAlign w:val="center"/>
          </w:tcPr>
          <w:p w14:paraId="1C9472D9">
            <w:pPr>
              <w:spacing w:line="360" w:lineRule="auto"/>
              <w:jc w:val="center"/>
              <w:rPr>
                <w:rFonts w:hint="eastAsia" w:ascii="仿宋" w:hAnsi="仿宋" w:eastAsia="仿宋" w:cs="仿宋"/>
                <w:bCs/>
                <w:sz w:val="24"/>
                <w:szCs w:val="24"/>
                <w:highlight w:val="none"/>
              </w:rPr>
            </w:pPr>
          </w:p>
        </w:tc>
      </w:tr>
      <w:tr w14:paraId="40FA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14:paraId="77B9D04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组织结构</w:t>
            </w:r>
          </w:p>
        </w:tc>
        <w:tc>
          <w:tcPr>
            <w:tcW w:w="8069" w:type="dxa"/>
            <w:gridSpan w:val="11"/>
            <w:vAlign w:val="center"/>
          </w:tcPr>
          <w:p w14:paraId="3C5E9BBD">
            <w:pPr>
              <w:spacing w:line="360" w:lineRule="auto"/>
              <w:jc w:val="center"/>
              <w:rPr>
                <w:rFonts w:hint="eastAsia" w:ascii="仿宋" w:hAnsi="仿宋" w:eastAsia="仿宋" w:cs="仿宋"/>
                <w:bCs/>
                <w:sz w:val="24"/>
                <w:szCs w:val="24"/>
                <w:highlight w:val="none"/>
              </w:rPr>
            </w:pPr>
          </w:p>
        </w:tc>
      </w:tr>
      <w:tr w14:paraId="1143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14:paraId="209E285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1345" w:type="dxa"/>
            <w:gridSpan w:val="2"/>
            <w:vAlign w:val="center"/>
          </w:tcPr>
          <w:p w14:paraId="21B0050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54D9AE6B">
            <w:pPr>
              <w:spacing w:line="360" w:lineRule="auto"/>
              <w:jc w:val="center"/>
              <w:rPr>
                <w:rFonts w:hint="eastAsia" w:ascii="仿宋" w:hAnsi="仿宋" w:eastAsia="仿宋" w:cs="仿宋"/>
                <w:bCs/>
                <w:sz w:val="24"/>
                <w:szCs w:val="24"/>
                <w:highlight w:val="none"/>
              </w:rPr>
            </w:pPr>
          </w:p>
        </w:tc>
        <w:tc>
          <w:tcPr>
            <w:tcW w:w="1344" w:type="dxa"/>
            <w:vAlign w:val="center"/>
          </w:tcPr>
          <w:p w14:paraId="6250D6C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627BD555">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68560E6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51CB67CA">
            <w:pPr>
              <w:spacing w:line="360" w:lineRule="auto"/>
              <w:jc w:val="center"/>
              <w:rPr>
                <w:rFonts w:hint="eastAsia" w:ascii="仿宋" w:hAnsi="仿宋" w:eastAsia="仿宋" w:cs="仿宋"/>
                <w:bCs/>
                <w:sz w:val="24"/>
                <w:szCs w:val="24"/>
                <w:highlight w:val="none"/>
              </w:rPr>
            </w:pPr>
          </w:p>
        </w:tc>
      </w:tr>
      <w:tr w14:paraId="2292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14:paraId="5C683E4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技术负责人</w:t>
            </w:r>
          </w:p>
        </w:tc>
        <w:tc>
          <w:tcPr>
            <w:tcW w:w="1345" w:type="dxa"/>
            <w:gridSpan w:val="2"/>
            <w:vAlign w:val="center"/>
          </w:tcPr>
          <w:p w14:paraId="3104F95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171D0711">
            <w:pPr>
              <w:spacing w:line="360" w:lineRule="auto"/>
              <w:jc w:val="center"/>
              <w:rPr>
                <w:rFonts w:hint="eastAsia" w:ascii="仿宋" w:hAnsi="仿宋" w:eastAsia="仿宋" w:cs="仿宋"/>
                <w:bCs/>
                <w:sz w:val="24"/>
                <w:szCs w:val="24"/>
                <w:highlight w:val="none"/>
              </w:rPr>
            </w:pPr>
          </w:p>
        </w:tc>
        <w:tc>
          <w:tcPr>
            <w:tcW w:w="1344" w:type="dxa"/>
            <w:vAlign w:val="center"/>
          </w:tcPr>
          <w:p w14:paraId="1D652EA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1E474A10">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47490CC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4F08D188">
            <w:pPr>
              <w:spacing w:line="360" w:lineRule="auto"/>
              <w:jc w:val="center"/>
              <w:rPr>
                <w:rFonts w:hint="eastAsia" w:ascii="仿宋" w:hAnsi="仿宋" w:eastAsia="仿宋" w:cs="仿宋"/>
                <w:bCs/>
                <w:sz w:val="24"/>
                <w:szCs w:val="24"/>
                <w:highlight w:val="none"/>
              </w:rPr>
            </w:pPr>
          </w:p>
        </w:tc>
      </w:tr>
      <w:tr w14:paraId="50F0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277D55D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2690" w:type="dxa"/>
            <w:gridSpan w:val="3"/>
            <w:vAlign w:val="center"/>
          </w:tcPr>
          <w:p w14:paraId="5A51386A">
            <w:pPr>
              <w:spacing w:line="360" w:lineRule="auto"/>
              <w:jc w:val="center"/>
              <w:rPr>
                <w:rFonts w:hint="eastAsia" w:ascii="仿宋" w:hAnsi="仿宋" w:eastAsia="仿宋" w:cs="仿宋"/>
                <w:bCs/>
                <w:sz w:val="24"/>
                <w:szCs w:val="24"/>
                <w:highlight w:val="none"/>
              </w:rPr>
            </w:pPr>
          </w:p>
        </w:tc>
        <w:tc>
          <w:tcPr>
            <w:tcW w:w="5379" w:type="dxa"/>
            <w:gridSpan w:val="8"/>
            <w:vAlign w:val="center"/>
          </w:tcPr>
          <w:p w14:paraId="12275C7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员工总人数：</w:t>
            </w:r>
          </w:p>
        </w:tc>
      </w:tr>
      <w:tr w14:paraId="212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14:paraId="3AE93A4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企业资质等级</w:t>
            </w:r>
          </w:p>
        </w:tc>
        <w:tc>
          <w:tcPr>
            <w:tcW w:w="2690" w:type="dxa"/>
            <w:gridSpan w:val="3"/>
            <w:vAlign w:val="center"/>
          </w:tcPr>
          <w:p w14:paraId="7969E8D5">
            <w:pPr>
              <w:spacing w:line="360" w:lineRule="auto"/>
              <w:jc w:val="center"/>
              <w:rPr>
                <w:rFonts w:hint="eastAsia" w:ascii="仿宋" w:hAnsi="仿宋" w:eastAsia="仿宋" w:cs="仿宋"/>
                <w:bCs/>
                <w:sz w:val="24"/>
                <w:szCs w:val="24"/>
                <w:highlight w:val="none"/>
              </w:rPr>
            </w:pPr>
          </w:p>
        </w:tc>
        <w:tc>
          <w:tcPr>
            <w:tcW w:w="1793" w:type="dxa"/>
            <w:gridSpan w:val="2"/>
            <w:vMerge w:val="restart"/>
            <w:vAlign w:val="center"/>
          </w:tcPr>
          <w:p w14:paraId="2178863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p>
        </w:tc>
        <w:tc>
          <w:tcPr>
            <w:tcW w:w="1794" w:type="dxa"/>
            <w:gridSpan w:val="3"/>
            <w:vAlign w:val="center"/>
          </w:tcPr>
          <w:p w14:paraId="0F7D293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项目经理</w:t>
            </w:r>
          </w:p>
        </w:tc>
        <w:tc>
          <w:tcPr>
            <w:tcW w:w="1792" w:type="dxa"/>
            <w:gridSpan w:val="3"/>
            <w:vAlign w:val="center"/>
          </w:tcPr>
          <w:p w14:paraId="0CC705BC">
            <w:pPr>
              <w:spacing w:line="360" w:lineRule="auto"/>
              <w:jc w:val="center"/>
              <w:rPr>
                <w:rFonts w:hint="eastAsia" w:ascii="仿宋" w:hAnsi="仿宋" w:eastAsia="仿宋" w:cs="仿宋"/>
                <w:bCs/>
                <w:sz w:val="24"/>
                <w:szCs w:val="24"/>
                <w:highlight w:val="none"/>
              </w:rPr>
            </w:pPr>
          </w:p>
        </w:tc>
      </w:tr>
      <w:tr w14:paraId="5E4D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14:paraId="2092E2E6">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营业执照</w:t>
            </w:r>
            <w:r>
              <w:rPr>
                <w:rFonts w:hint="eastAsia" w:ascii="仿宋" w:hAnsi="仿宋" w:eastAsia="仿宋" w:cs="仿宋"/>
                <w:sz w:val="24"/>
                <w:szCs w:val="24"/>
                <w:highlight w:val="none"/>
              </w:rPr>
              <w:t>号</w:t>
            </w:r>
          </w:p>
        </w:tc>
        <w:tc>
          <w:tcPr>
            <w:tcW w:w="2690" w:type="dxa"/>
            <w:gridSpan w:val="3"/>
            <w:vAlign w:val="center"/>
          </w:tcPr>
          <w:p w14:paraId="626C7F9E">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376D4F6F">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33CD419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高级职称人员</w:t>
            </w:r>
          </w:p>
        </w:tc>
        <w:tc>
          <w:tcPr>
            <w:tcW w:w="1792" w:type="dxa"/>
            <w:gridSpan w:val="3"/>
            <w:vAlign w:val="center"/>
          </w:tcPr>
          <w:p w14:paraId="33557D9F">
            <w:pPr>
              <w:spacing w:line="360" w:lineRule="auto"/>
              <w:jc w:val="center"/>
              <w:rPr>
                <w:rFonts w:hint="eastAsia" w:ascii="仿宋" w:hAnsi="仿宋" w:eastAsia="仿宋" w:cs="仿宋"/>
                <w:bCs/>
                <w:sz w:val="24"/>
                <w:szCs w:val="24"/>
                <w:highlight w:val="none"/>
              </w:rPr>
            </w:pPr>
          </w:p>
        </w:tc>
      </w:tr>
      <w:tr w14:paraId="3468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14:paraId="4D541B3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注册资金</w:t>
            </w:r>
          </w:p>
        </w:tc>
        <w:tc>
          <w:tcPr>
            <w:tcW w:w="2690" w:type="dxa"/>
            <w:gridSpan w:val="3"/>
            <w:vAlign w:val="center"/>
          </w:tcPr>
          <w:p w14:paraId="7A1FB8D5">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15F4EFDB">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0B56ED8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中级职称人员</w:t>
            </w:r>
          </w:p>
        </w:tc>
        <w:tc>
          <w:tcPr>
            <w:tcW w:w="1792" w:type="dxa"/>
            <w:gridSpan w:val="3"/>
            <w:vAlign w:val="center"/>
          </w:tcPr>
          <w:p w14:paraId="3F6DE3C6">
            <w:pPr>
              <w:spacing w:line="360" w:lineRule="auto"/>
              <w:jc w:val="center"/>
              <w:rPr>
                <w:rFonts w:hint="eastAsia" w:ascii="仿宋" w:hAnsi="仿宋" w:eastAsia="仿宋" w:cs="仿宋"/>
                <w:bCs/>
                <w:sz w:val="24"/>
                <w:szCs w:val="24"/>
                <w:highlight w:val="none"/>
              </w:rPr>
            </w:pPr>
          </w:p>
        </w:tc>
      </w:tr>
      <w:tr w14:paraId="4F67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14:paraId="7304760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2690" w:type="dxa"/>
            <w:gridSpan w:val="3"/>
            <w:vAlign w:val="center"/>
          </w:tcPr>
          <w:p w14:paraId="679DBDD9">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1DADAF17">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7B6AA1F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初级职称人员</w:t>
            </w:r>
          </w:p>
        </w:tc>
        <w:tc>
          <w:tcPr>
            <w:tcW w:w="1792" w:type="dxa"/>
            <w:gridSpan w:val="3"/>
            <w:vAlign w:val="center"/>
          </w:tcPr>
          <w:p w14:paraId="24BFC6BE">
            <w:pPr>
              <w:spacing w:line="360" w:lineRule="auto"/>
              <w:jc w:val="center"/>
              <w:rPr>
                <w:rFonts w:hint="eastAsia" w:ascii="仿宋" w:hAnsi="仿宋" w:eastAsia="仿宋" w:cs="仿宋"/>
                <w:bCs/>
                <w:sz w:val="24"/>
                <w:szCs w:val="24"/>
                <w:highlight w:val="none"/>
              </w:rPr>
            </w:pPr>
          </w:p>
        </w:tc>
      </w:tr>
      <w:tr w14:paraId="276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14:paraId="1D194A3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2690" w:type="dxa"/>
            <w:gridSpan w:val="3"/>
            <w:vAlign w:val="center"/>
          </w:tcPr>
          <w:p w14:paraId="161CABED">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475D9E44">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381E02A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技工</w:t>
            </w:r>
          </w:p>
        </w:tc>
        <w:tc>
          <w:tcPr>
            <w:tcW w:w="1792" w:type="dxa"/>
            <w:gridSpan w:val="3"/>
            <w:vAlign w:val="center"/>
          </w:tcPr>
          <w:p w14:paraId="07E00264">
            <w:pPr>
              <w:spacing w:line="360" w:lineRule="auto"/>
              <w:jc w:val="center"/>
              <w:rPr>
                <w:rFonts w:hint="eastAsia" w:ascii="仿宋" w:hAnsi="仿宋" w:eastAsia="仿宋" w:cs="仿宋"/>
                <w:bCs/>
                <w:sz w:val="24"/>
                <w:szCs w:val="24"/>
                <w:highlight w:val="none"/>
              </w:rPr>
            </w:pPr>
          </w:p>
        </w:tc>
      </w:tr>
      <w:tr w14:paraId="0F38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14:paraId="6769450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8069" w:type="dxa"/>
            <w:gridSpan w:val="11"/>
            <w:vAlign w:val="center"/>
          </w:tcPr>
          <w:p w14:paraId="1BEA8A83">
            <w:pPr>
              <w:spacing w:line="360" w:lineRule="auto"/>
              <w:jc w:val="center"/>
              <w:rPr>
                <w:rFonts w:hint="eastAsia" w:ascii="仿宋" w:hAnsi="仿宋" w:eastAsia="仿宋" w:cs="仿宋"/>
                <w:bCs/>
                <w:sz w:val="24"/>
                <w:szCs w:val="24"/>
                <w:highlight w:val="none"/>
              </w:rPr>
            </w:pPr>
          </w:p>
        </w:tc>
      </w:tr>
      <w:tr w14:paraId="6E99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14:paraId="08B942A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8069" w:type="dxa"/>
            <w:gridSpan w:val="11"/>
            <w:vAlign w:val="center"/>
          </w:tcPr>
          <w:p w14:paraId="40062CD2">
            <w:pPr>
              <w:spacing w:line="360" w:lineRule="auto"/>
              <w:jc w:val="center"/>
              <w:rPr>
                <w:rFonts w:hint="eastAsia" w:ascii="仿宋" w:hAnsi="仿宋" w:eastAsia="仿宋" w:cs="仿宋"/>
                <w:bCs/>
                <w:sz w:val="24"/>
                <w:szCs w:val="24"/>
                <w:highlight w:val="none"/>
              </w:rPr>
            </w:pPr>
          </w:p>
        </w:tc>
      </w:tr>
    </w:tbl>
    <w:p w14:paraId="42C19BB0">
      <w:pPr>
        <w:adjustRightIn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4AAB81B3">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429CC091">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期：XXX年XXX月XXX日</w:t>
      </w:r>
    </w:p>
    <w:p w14:paraId="45EC2C28">
      <w:pPr>
        <w:adjustRightInd w:val="0"/>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104" w:name="_Toc30010"/>
      <w:r>
        <w:rPr>
          <w:rFonts w:hint="eastAsia" w:ascii="仿宋" w:hAnsi="仿宋" w:eastAsia="仿宋" w:cs="仿宋"/>
          <w:b/>
          <w:sz w:val="28"/>
          <w:szCs w:val="28"/>
          <w:highlight w:val="none"/>
        </w:rPr>
        <w:t>格式3 承诺函</w:t>
      </w:r>
      <w:bookmarkEnd w:id="104"/>
    </w:p>
    <w:p w14:paraId="5B9FE823">
      <w:pPr>
        <w:spacing w:line="30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承诺函</w:t>
      </w:r>
    </w:p>
    <w:p w14:paraId="3D21F908">
      <w:pPr>
        <w:pStyle w:val="34"/>
        <w:spacing w:before="46" w:after="46" w:line="30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四川中采项目管理有限公司</w:t>
      </w:r>
    </w:p>
    <w:p w14:paraId="3CECF6BD">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（公司名称）作为参加本次招标采购活动（项目编号：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号）的投标人，现郑重承诺：</w:t>
      </w:r>
    </w:p>
    <w:p w14:paraId="541C0D57">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一、具备本项目规定的条件：</w:t>
      </w:r>
    </w:p>
    <w:p w14:paraId="0949AFE3">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14:paraId="65774E0D">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（二）具有良好的商业信誉和健全的财务会计制度； </w:t>
      </w:r>
    </w:p>
    <w:p w14:paraId="37FAF08B">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（三）具有履行合同所必需的设备和专业技术能力； </w:t>
      </w:r>
    </w:p>
    <w:p w14:paraId="73F0D587">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（四）有依法缴纳税收和社会保障资金的良好记录； </w:t>
      </w:r>
    </w:p>
    <w:p w14:paraId="5A7FE6E8">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（五）参加采购活动前三年内，在经营活动中没有重大违法记录；</w:t>
      </w:r>
    </w:p>
    <w:p w14:paraId="140770BD">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14:paraId="442D255E">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（七）根据采购项目提出的特殊条件。</w:t>
      </w:r>
    </w:p>
    <w:p w14:paraId="5EEFB4C6">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二、完全接受和满足本项目招标文件规定，如对招标文件有异议，已经在投标截止时间届满前依法进行维权救济，不存在对招标文件有异议的同时又参加投标以求侥幸中标或者为实现其他非法目的的行为。</w:t>
      </w:r>
    </w:p>
    <w:p w14:paraId="28DBA62A">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三、参加本次招标采购活动，不存在与单位负责人为同一人或者存在直接控股、管理关系的其他投标人参与同一合同项下的采购活动的行为。</w:t>
      </w:r>
    </w:p>
    <w:p w14:paraId="1E610BEF">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四、参加本次招标采购活动，不存在和其他投标人在同一合同项下的采购项目中，同时委托同一个自然人、同一家庭的人员、同一单位的人员作为代理人的行为。</w:t>
      </w:r>
    </w:p>
    <w:p w14:paraId="4490B000">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五、投标文件中提供的能够给予我公司带来优惠、好处的任何材料资料和技术、服务、商务等响应承诺情况都是真实的、有效的、合法的。</w:t>
      </w:r>
    </w:p>
    <w:p w14:paraId="7216CE35">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3CC78124">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七、我公司完全同意招标文件中关于知识产权的说明，承诺由此造成的纠纷由我单位全权负责。</w:t>
      </w:r>
    </w:p>
    <w:p w14:paraId="2A90855F">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本公司对上述承诺的内容事项真实性负责。如经查实上述承诺的内容事项存在虚假，我公司愿意接受以提供虚假材料谋取中标追究法律责任。</w:t>
      </w:r>
    </w:p>
    <w:p w14:paraId="1B730F3F">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14:paraId="37872A0D">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7BC08FB4">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5A43264">
      <w:pPr>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105" w:name="_Toc32276"/>
      <w:r>
        <w:rPr>
          <w:rFonts w:hint="eastAsia" w:ascii="仿宋" w:hAnsi="仿宋" w:eastAsia="仿宋" w:cs="仿宋"/>
          <w:b/>
          <w:sz w:val="28"/>
          <w:szCs w:val="28"/>
          <w:highlight w:val="none"/>
        </w:rPr>
        <w:t>格式4 投标函</w:t>
      </w:r>
      <w:bookmarkEnd w:id="105"/>
    </w:p>
    <w:p w14:paraId="0968425A">
      <w:pPr>
        <w:spacing w:line="300" w:lineRule="auto"/>
        <w:ind w:firstLine="480"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23BDFDA2">
      <w:pPr>
        <w:pStyle w:val="34"/>
        <w:spacing w:before="46" w:after="46" w:line="300" w:lineRule="auto"/>
        <w:ind w:firstLine="480"/>
        <w:rPr>
          <w:rFonts w:hint="eastAsia" w:ascii="仿宋" w:hAnsi="仿宋" w:eastAsia="仿宋" w:cs="仿宋"/>
          <w:sz w:val="24"/>
          <w:szCs w:val="24"/>
          <w:highlight w:val="none"/>
        </w:rPr>
      </w:pPr>
    </w:p>
    <w:p w14:paraId="2DE67806">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我方全面研究了“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）招标文件，决定参加贵单位组织的本项目投标。我方授权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（姓名、职务）代表我方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（投标单位的名称）全权处理本项目投标的有关事宜。</w:t>
      </w:r>
    </w:p>
    <w:p w14:paraId="0E9E32BE">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一、我方自愿按照招标文件规定的各项要求向采购人提供所需货物/服务，总投标价为人民币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84F40D5">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二、一旦我方中标，我方将严格按照招标文件第五章的规定的所有要求，向招标人提供所需货物及服务，认真履行合同规定的责任和义务，并按照合同相关规定完成项目。</w:t>
      </w:r>
    </w:p>
    <w:p w14:paraId="2A651897">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三、我方为本项目提交的投标文件正本一份，副本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份，电子版一份，用于开标唱标的“开标一览表”一份。</w:t>
      </w:r>
    </w:p>
    <w:p w14:paraId="0647CBB4">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四、我方已详细审查全部招标文件，包括修改文件（如有）以及全部参考资料和有关附件。我方已完全理解并同意放弃对此有不清楚、误解以及对招标文件内容质疑的权利。</w:t>
      </w:r>
    </w:p>
    <w:p w14:paraId="65A9FD28">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五、投标有效期：投标截止时间届满后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67141A94">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六、我方愿意提供贵单位可能另外要求的，与投标有关的文件资料，并保证我方已提供和将要提供的文件资料是真实、准确的并对其真实性、合法性承担一切法律责任。</w:t>
      </w:r>
    </w:p>
    <w:p w14:paraId="2DF72232">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七、我方完全同意按照招标文件的相关规定，支付招标代理服务费。</w:t>
      </w:r>
    </w:p>
    <w:p w14:paraId="2569EFE2">
      <w:pPr>
        <w:pStyle w:val="34"/>
        <w:numPr>
          <w:ilvl w:val="0"/>
          <w:numId w:val="3"/>
        </w:numPr>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我方完全理解招标人不一定将合同授予最低报价的投标人的行为。</w:t>
      </w:r>
    </w:p>
    <w:p w14:paraId="0B3C6F4E">
      <w:pPr>
        <w:pStyle w:val="34"/>
        <w:spacing w:before="46" w:after="46" w:line="300" w:lineRule="auto"/>
        <w:ind w:firstLine="480"/>
        <w:rPr>
          <w:rFonts w:hint="eastAsia" w:ascii="仿宋" w:hAnsi="仿宋" w:eastAsia="仿宋" w:cs="仿宋"/>
          <w:sz w:val="24"/>
          <w:szCs w:val="24"/>
          <w:highlight w:val="none"/>
        </w:rPr>
      </w:pPr>
    </w:p>
    <w:p w14:paraId="3978A26B">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                             通讯地址：</w:t>
      </w:r>
    </w:p>
    <w:p w14:paraId="5459924C">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                   联系电话：</w:t>
      </w:r>
    </w:p>
    <w:p w14:paraId="39CA0804">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7692BF12">
      <w:pPr>
        <w:spacing w:line="360" w:lineRule="auto"/>
        <w:jc w:val="center"/>
        <w:rPr>
          <w:rFonts w:hint="eastAsia" w:ascii="仿宋" w:hAnsi="仿宋" w:eastAsia="仿宋" w:cs="仿宋"/>
          <w:sz w:val="24"/>
          <w:szCs w:val="24"/>
          <w:highlight w:val="none"/>
        </w:rPr>
      </w:pPr>
    </w:p>
    <w:p w14:paraId="45CFC6AA">
      <w:pPr>
        <w:spacing w:line="360" w:lineRule="auto"/>
        <w:jc w:val="center"/>
        <w:rPr>
          <w:rFonts w:hint="eastAsia" w:ascii="仿宋" w:hAnsi="仿宋" w:eastAsia="仿宋" w:cs="仿宋"/>
          <w:b/>
          <w:sz w:val="24"/>
          <w:szCs w:val="24"/>
          <w:highlight w:val="none"/>
        </w:rPr>
      </w:pPr>
    </w:p>
    <w:p w14:paraId="1F230664">
      <w:pPr>
        <w:spacing w:line="360" w:lineRule="auto"/>
        <w:rPr>
          <w:rFonts w:hint="eastAsia" w:ascii="仿宋" w:hAnsi="仿宋" w:eastAsia="仿宋" w:cs="仿宋"/>
          <w:sz w:val="24"/>
          <w:szCs w:val="24"/>
          <w:highlight w:val="none"/>
        </w:rPr>
        <w:sectPr>
          <w:footerReference r:id="rId14" w:type="first"/>
          <w:headerReference r:id="rId12" w:type="default"/>
          <w:footerReference r:id="rId13" w:type="default"/>
          <w:pgSz w:w="11850" w:h="16783"/>
          <w:pgMar w:top="1417" w:right="1134" w:bottom="1417" w:left="1134" w:header="851" w:footer="992" w:gutter="0"/>
          <w:pgNumType w:start="1"/>
          <w:cols w:space="0" w:num="1"/>
          <w:docGrid w:type="linesAndChars" w:linePitch="312" w:charSpace="0"/>
        </w:sectPr>
      </w:pPr>
    </w:p>
    <w:p w14:paraId="1FC17D80">
      <w:pPr>
        <w:spacing w:line="360" w:lineRule="auto"/>
        <w:jc w:val="left"/>
        <w:outlineLvl w:val="1"/>
        <w:rPr>
          <w:rFonts w:hint="eastAsia" w:ascii="仿宋" w:hAnsi="仿宋" w:eastAsia="仿宋" w:cs="仿宋"/>
          <w:b/>
          <w:sz w:val="28"/>
          <w:szCs w:val="28"/>
          <w:highlight w:val="none"/>
        </w:rPr>
      </w:pPr>
      <w:bookmarkStart w:id="106" w:name="_Toc6890"/>
      <w:r>
        <w:rPr>
          <w:rFonts w:hint="eastAsia" w:ascii="仿宋" w:hAnsi="仿宋" w:eastAsia="仿宋" w:cs="仿宋"/>
          <w:b/>
          <w:sz w:val="28"/>
          <w:szCs w:val="28"/>
          <w:highlight w:val="none"/>
        </w:rPr>
        <w:t>格式5 开标一览表</w:t>
      </w:r>
      <w:bookmarkEnd w:id="106"/>
    </w:p>
    <w:p w14:paraId="4B97BD46">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6"/>
          <w:szCs w:val="36"/>
          <w:highlight w:val="none"/>
        </w:rPr>
        <w:t>开标一览表</w:t>
      </w:r>
      <w:bookmarkStart w:id="107" w:name="_Toc19181"/>
    </w:p>
    <w:p w14:paraId="787C0F8A">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招标编号及包号（如分包）：</w:t>
      </w:r>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43"/>
        <w:gridCol w:w="1785"/>
        <w:gridCol w:w="1548"/>
        <w:gridCol w:w="2074"/>
        <w:gridCol w:w="902"/>
      </w:tblGrid>
      <w:tr w14:paraId="026A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center"/>
          </w:tcPr>
          <w:p w14:paraId="3F43A0F7">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3" w:type="dxa"/>
            <w:noWrap w:val="0"/>
            <w:vAlign w:val="center"/>
          </w:tcPr>
          <w:p w14:paraId="1F3BF426">
            <w:pPr>
              <w:widowControl/>
              <w:spacing w:line="360" w:lineRule="atLeast"/>
              <w:jc w:val="center"/>
              <w:outlineLvl w:val="1"/>
              <w:rPr>
                <w:rFonts w:hint="eastAsia" w:ascii="仿宋" w:hAnsi="仿宋" w:eastAsia="仿宋" w:cs="仿宋"/>
                <w:color w:val="auto"/>
                <w:sz w:val="24"/>
                <w:highlight w:val="none"/>
              </w:rPr>
            </w:pPr>
            <w:bookmarkStart w:id="108" w:name="_Toc8641"/>
            <w:r>
              <w:rPr>
                <w:rFonts w:hint="eastAsia" w:ascii="仿宋" w:hAnsi="仿宋" w:eastAsia="仿宋" w:cs="仿宋"/>
                <w:color w:val="auto"/>
                <w:sz w:val="24"/>
                <w:highlight w:val="none"/>
              </w:rPr>
              <w:t>货物名称</w:t>
            </w:r>
            <w:bookmarkEnd w:id="108"/>
          </w:p>
        </w:tc>
        <w:tc>
          <w:tcPr>
            <w:tcW w:w="1785" w:type="dxa"/>
            <w:noWrap w:val="0"/>
            <w:vAlign w:val="center"/>
          </w:tcPr>
          <w:p w14:paraId="1D811758">
            <w:pPr>
              <w:widowControl/>
              <w:spacing w:line="360" w:lineRule="atLeast"/>
              <w:jc w:val="center"/>
              <w:outlineLvl w:val="1"/>
              <w:rPr>
                <w:rFonts w:hint="eastAsia" w:ascii="仿宋" w:hAnsi="仿宋" w:eastAsia="仿宋" w:cs="仿宋"/>
                <w:color w:val="auto"/>
                <w:sz w:val="24"/>
                <w:highlight w:val="none"/>
              </w:rPr>
            </w:pPr>
            <w:bookmarkStart w:id="109" w:name="_Toc15610"/>
            <w:r>
              <w:rPr>
                <w:rFonts w:hint="eastAsia" w:ascii="仿宋" w:hAnsi="仿宋" w:eastAsia="仿宋" w:cs="仿宋"/>
                <w:color w:val="auto"/>
                <w:sz w:val="24"/>
                <w:highlight w:val="none"/>
              </w:rPr>
              <w:t>单位</w:t>
            </w:r>
            <w:bookmarkEnd w:id="109"/>
          </w:p>
        </w:tc>
        <w:tc>
          <w:tcPr>
            <w:tcW w:w="1548" w:type="dxa"/>
            <w:noWrap w:val="0"/>
            <w:vAlign w:val="center"/>
          </w:tcPr>
          <w:p w14:paraId="686A1446">
            <w:pPr>
              <w:widowControl/>
              <w:spacing w:line="360" w:lineRule="atLeast"/>
              <w:jc w:val="center"/>
              <w:outlineLvl w:val="1"/>
              <w:rPr>
                <w:rFonts w:hint="eastAsia" w:ascii="仿宋" w:hAnsi="仿宋" w:eastAsia="仿宋" w:cs="仿宋"/>
                <w:color w:val="auto"/>
                <w:sz w:val="24"/>
                <w:highlight w:val="none"/>
              </w:rPr>
            </w:pPr>
            <w:bookmarkStart w:id="110" w:name="_Toc3539"/>
            <w:r>
              <w:rPr>
                <w:rFonts w:hint="eastAsia" w:ascii="仿宋" w:hAnsi="仿宋" w:eastAsia="仿宋" w:cs="仿宋"/>
                <w:color w:val="auto"/>
                <w:sz w:val="24"/>
                <w:highlight w:val="none"/>
              </w:rPr>
              <w:t>数量</w:t>
            </w:r>
            <w:bookmarkEnd w:id="110"/>
          </w:p>
        </w:tc>
        <w:tc>
          <w:tcPr>
            <w:tcW w:w="2074" w:type="dxa"/>
            <w:noWrap w:val="0"/>
            <w:vAlign w:val="center"/>
          </w:tcPr>
          <w:p w14:paraId="1E96560E">
            <w:pPr>
              <w:widowControl/>
              <w:spacing w:line="360" w:lineRule="atLeast"/>
              <w:jc w:val="center"/>
              <w:outlineLvl w:val="1"/>
              <w:rPr>
                <w:rFonts w:hint="eastAsia" w:ascii="仿宋" w:hAnsi="仿宋" w:eastAsia="仿宋" w:cs="仿宋"/>
                <w:color w:val="auto"/>
                <w:sz w:val="24"/>
                <w:highlight w:val="none"/>
              </w:rPr>
            </w:pPr>
            <w:bookmarkStart w:id="111" w:name="_Toc11309"/>
            <w:r>
              <w:rPr>
                <w:rFonts w:hint="eastAsia" w:ascii="仿宋" w:hAnsi="仿宋" w:eastAsia="仿宋" w:cs="仿宋"/>
                <w:color w:val="auto"/>
                <w:sz w:val="24"/>
                <w:highlight w:val="none"/>
              </w:rPr>
              <w:t>投标总价</w:t>
            </w:r>
            <w:bookmarkEnd w:id="111"/>
          </w:p>
          <w:p w14:paraId="2EA3D57D">
            <w:pPr>
              <w:widowControl/>
              <w:spacing w:line="360" w:lineRule="atLeast"/>
              <w:jc w:val="center"/>
              <w:outlineLvl w:val="1"/>
              <w:rPr>
                <w:rFonts w:hint="eastAsia" w:ascii="仿宋" w:hAnsi="仿宋" w:eastAsia="仿宋" w:cs="仿宋"/>
                <w:color w:val="auto"/>
                <w:sz w:val="24"/>
                <w:highlight w:val="none"/>
              </w:rPr>
            </w:pPr>
            <w:bookmarkStart w:id="112" w:name="_Toc29981"/>
            <w:r>
              <w:rPr>
                <w:rFonts w:hint="eastAsia" w:ascii="仿宋" w:hAnsi="仿宋" w:eastAsia="仿宋" w:cs="仿宋"/>
                <w:color w:val="auto"/>
                <w:sz w:val="24"/>
                <w:highlight w:val="none"/>
              </w:rPr>
              <w:t>（万元）</w:t>
            </w:r>
            <w:bookmarkEnd w:id="112"/>
          </w:p>
        </w:tc>
        <w:tc>
          <w:tcPr>
            <w:tcW w:w="902" w:type="dxa"/>
            <w:noWrap w:val="0"/>
            <w:vAlign w:val="center"/>
          </w:tcPr>
          <w:p w14:paraId="024F5E0B">
            <w:pPr>
              <w:widowControl/>
              <w:spacing w:line="360" w:lineRule="atLeast"/>
              <w:ind w:left="-14" w:leftChars="-4" w:firstLine="84" w:firstLineChars="35"/>
              <w:jc w:val="center"/>
              <w:outlineLvl w:val="1"/>
              <w:rPr>
                <w:rFonts w:hint="eastAsia" w:ascii="仿宋" w:hAnsi="仿宋" w:eastAsia="仿宋" w:cs="仿宋"/>
                <w:color w:val="auto"/>
                <w:sz w:val="24"/>
                <w:highlight w:val="none"/>
              </w:rPr>
            </w:pPr>
            <w:bookmarkStart w:id="113" w:name="_Toc27202"/>
            <w:r>
              <w:rPr>
                <w:rFonts w:hint="eastAsia" w:ascii="仿宋" w:hAnsi="仿宋" w:eastAsia="仿宋" w:cs="仿宋"/>
                <w:color w:val="auto"/>
                <w:sz w:val="24"/>
                <w:highlight w:val="none"/>
              </w:rPr>
              <w:t>备注</w:t>
            </w:r>
            <w:bookmarkEnd w:id="113"/>
          </w:p>
        </w:tc>
      </w:tr>
      <w:tr w14:paraId="120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7C450E0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6D3B313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50CEEFF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739B919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6774CF0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322A2F34">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66D7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69AE20F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3C63359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62C0E7A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087D0B6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7AE8278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64DFFA64">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0864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tcBorders>
              <w:right w:val="single" w:color="auto" w:sz="4" w:space="0"/>
            </w:tcBorders>
            <w:noWrap w:val="0"/>
            <w:vAlign w:val="top"/>
          </w:tcPr>
          <w:p w14:paraId="209284E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tcBorders>
              <w:left w:val="single" w:color="auto" w:sz="4" w:space="0"/>
            </w:tcBorders>
            <w:noWrap w:val="0"/>
            <w:vAlign w:val="center"/>
          </w:tcPr>
          <w:p w14:paraId="723B04D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5F70CD9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5456260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69A0AE0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69567C09">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FD1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32" w:type="dxa"/>
            <w:gridSpan w:val="6"/>
            <w:noWrap w:val="0"/>
            <w:vAlign w:val="top"/>
          </w:tcPr>
          <w:p w14:paraId="43B7C9F5">
            <w:pPr>
              <w:widowControl/>
              <w:spacing w:line="360" w:lineRule="atLeast"/>
              <w:jc w:val="left"/>
              <w:outlineLvl w:val="1"/>
              <w:rPr>
                <w:rFonts w:hint="eastAsia" w:ascii="仿宋" w:hAnsi="仿宋" w:eastAsia="仿宋" w:cs="仿宋"/>
                <w:color w:val="auto"/>
                <w:sz w:val="24"/>
                <w:highlight w:val="none"/>
              </w:rPr>
            </w:pPr>
            <w:bookmarkStart w:id="114" w:name="_Toc10019"/>
            <w:r>
              <w:rPr>
                <w:rFonts w:hint="eastAsia" w:ascii="仿宋" w:hAnsi="仿宋" w:eastAsia="仿宋" w:cs="仿宋"/>
                <w:color w:val="auto"/>
                <w:sz w:val="24"/>
                <w:highlight w:val="none"/>
              </w:rPr>
              <w:t>报价合计（万元）：小写：          大写：</w:t>
            </w:r>
            <w:bookmarkEnd w:id="114"/>
          </w:p>
        </w:tc>
      </w:tr>
    </w:tbl>
    <w:p w14:paraId="3E133EE6">
      <w:pPr>
        <w:pStyle w:val="2"/>
        <w:rPr>
          <w:rFonts w:hint="eastAsia" w:ascii="仿宋" w:hAnsi="仿宋" w:eastAsia="仿宋" w:cs="仿宋"/>
          <w:color w:val="auto"/>
          <w:highlight w:val="none"/>
        </w:rPr>
      </w:pPr>
    </w:p>
    <w:p w14:paraId="391F4140">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注：1. 报价应是最终用户验收合格后的总价，包括产品运输、保险、代理、安装调试、培训、税费、系统集成费用和招标文件规定的其它费用。 </w:t>
      </w:r>
    </w:p>
    <w:p w14:paraId="030D0D84">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2.“开标一览表”为多页的，每页均需由法定代表人/单位负责人或授权代表签字并盖投标人印章。</w:t>
      </w:r>
    </w:p>
    <w:p w14:paraId="5142AD9E">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3、开标一览表总计大写金额应与后面所附的分项明细报价表总计大写金额一致</w:t>
      </w:r>
    </w:p>
    <w:p w14:paraId="42D2470C">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4、报价</w:t>
      </w:r>
      <w:r>
        <w:rPr>
          <w:rFonts w:hint="eastAsia" w:ascii="仿宋" w:hAnsi="仿宋" w:eastAsia="仿宋" w:cs="仿宋"/>
          <w:bCs/>
          <w:color w:val="auto"/>
          <w:sz w:val="24"/>
          <w:highlight w:val="none"/>
          <w:lang w:eastAsia="zh-CN"/>
        </w:rPr>
        <w:t>计算结果请采取“四舍五入法”保留到元。如果未保留到元的，由评审委直接按“四舍五入法”调整、修正保留到元，由此产生的不利后果由供应商自行承担。如果供应商拒绝评审委的修正结果的，其报价作无效处理。</w:t>
      </w:r>
    </w:p>
    <w:p w14:paraId="3F2CC4DB">
      <w:pPr>
        <w:spacing w:line="360" w:lineRule="auto"/>
        <w:jc w:val="left"/>
        <w:outlineLvl w:val="1"/>
        <w:rPr>
          <w:rFonts w:hint="eastAsia" w:ascii="仿宋" w:hAnsi="仿宋" w:eastAsia="仿宋" w:cs="仿宋"/>
          <w:sz w:val="24"/>
          <w:szCs w:val="24"/>
          <w:highlight w:val="none"/>
        </w:rPr>
      </w:pPr>
    </w:p>
    <w:p w14:paraId="206DA5F4">
      <w:pPr>
        <w:spacing w:line="360" w:lineRule="auto"/>
        <w:jc w:val="left"/>
        <w:outlineLvl w:val="1"/>
        <w:rPr>
          <w:rFonts w:hint="eastAsia" w:ascii="仿宋" w:hAnsi="仿宋" w:eastAsia="仿宋" w:cs="仿宋"/>
          <w:sz w:val="24"/>
          <w:szCs w:val="24"/>
          <w:highlight w:val="none"/>
        </w:rPr>
      </w:pPr>
    </w:p>
    <w:p w14:paraId="09022E0E">
      <w:pPr>
        <w:spacing w:line="360" w:lineRule="auto"/>
        <w:jc w:val="left"/>
        <w:outlineLvl w:val="1"/>
        <w:rPr>
          <w:rFonts w:hint="eastAsia" w:ascii="仿宋" w:hAnsi="仿宋" w:eastAsia="仿宋" w:cs="仿宋"/>
          <w:sz w:val="24"/>
          <w:szCs w:val="24"/>
          <w:highlight w:val="none"/>
        </w:rPr>
      </w:pPr>
    </w:p>
    <w:p w14:paraId="14C11387">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2DF9EC99">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5B6A9325">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14:paraId="0F830939">
      <w:pPr>
        <w:spacing w:line="360" w:lineRule="auto"/>
        <w:jc w:val="left"/>
        <w:outlineLvl w:val="1"/>
        <w:rPr>
          <w:rFonts w:hint="eastAsia" w:ascii="仿宋" w:hAnsi="仿宋" w:eastAsia="仿宋" w:cs="仿宋"/>
          <w:sz w:val="24"/>
          <w:szCs w:val="24"/>
          <w:highlight w:val="none"/>
        </w:rPr>
      </w:pPr>
    </w:p>
    <w:p w14:paraId="7A56BE7A">
      <w:pPr>
        <w:pStyle w:val="2"/>
        <w:rPr>
          <w:rFonts w:hint="eastAsia" w:ascii="仿宋" w:hAnsi="仿宋" w:eastAsia="仿宋" w:cs="仿宋"/>
          <w:sz w:val="24"/>
          <w:szCs w:val="24"/>
          <w:highlight w:val="none"/>
        </w:rPr>
      </w:pPr>
    </w:p>
    <w:p w14:paraId="777D2DDB">
      <w:pPr>
        <w:rPr>
          <w:rFonts w:hint="eastAsia" w:ascii="仿宋" w:hAnsi="仿宋" w:eastAsia="仿宋" w:cs="仿宋"/>
          <w:sz w:val="24"/>
          <w:szCs w:val="24"/>
          <w:highlight w:val="none"/>
        </w:rPr>
      </w:pPr>
    </w:p>
    <w:p w14:paraId="3FF2F3B3">
      <w:pPr>
        <w:pStyle w:val="2"/>
        <w:rPr>
          <w:rFonts w:hint="eastAsia" w:ascii="仿宋" w:hAnsi="仿宋" w:eastAsia="仿宋" w:cs="仿宋"/>
          <w:sz w:val="24"/>
          <w:szCs w:val="24"/>
          <w:highlight w:val="none"/>
        </w:rPr>
      </w:pPr>
    </w:p>
    <w:p w14:paraId="567BCE9F">
      <w:pPr>
        <w:rPr>
          <w:rFonts w:hint="eastAsia"/>
        </w:rPr>
      </w:pPr>
    </w:p>
    <w:p w14:paraId="1653B7E0">
      <w:pPr>
        <w:pStyle w:val="2"/>
        <w:rPr>
          <w:rFonts w:hint="eastAsia" w:ascii="仿宋" w:hAnsi="仿宋" w:eastAsia="仿宋" w:cs="仿宋"/>
          <w:sz w:val="24"/>
          <w:szCs w:val="24"/>
          <w:highlight w:val="none"/>
        </w:rPr>
      </w:pPr>
    </w:p>
    <w:p w14:paraId="538A0AEC">
      <w:pPr>
        <w:spacing w:beforeLines="50" w:afterLines="50"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p w14:paraId="02374323">
      <w:pPr>
        <w:widowControl/>
        <w:spacing w:line="360" w:lineRule="atLeast"/>
        <w:jc w:val="center"/>
        <w:outlineLvl w:val="1"/>
        <w:rPr>
          <w:rFonts w:hint="eastAsia" w:ascii="仿宋" w:hAnsi="仿宋" w:eastAsia="仿宋" w:cs="仿宋"/>
          <w:color w:val="auto"/>
          <w:sz w:val="32"/>
          <w:szCs w:val="32"/>
          <w:highlight w:val="none"/>
          <w:lang w:eastAsia="zh-CN"/>
        </w:rPr>
      </w:pPr>
      <w:bookmarkStart w:id="115" w:name="_Toc22408"/>
      <w:bookmarkStart w:id="116" w:name="_Toc7541"/>
      <w:bookmarkStart w:id="117" w:name="_Toc11096"/>
      <w:r>
        <w:rPr>
          <w:rFonts w:hint="eastAsia" w:ascii="仿宋" w:hAnsi="仿宋" w:eastAsia="仿宋" w:cs="仿宋"/>
          <w:color w:val="auto"/>
          <w:sz w:val="32"/>
          <w:szCs w:val="32"/>
          <w:highlight w:val="none"/>
        </w:rPr>
        <w:t>分项报价明细表</w:t>
      </w:r>
      <w:bookmarkEnd w:id="115"/>
      <w:bookmarkEnd w:id="116"/>
      <w:bookmarkEnd w:id="117"/>
    </w:p>
    <w:p w14:paraId="1EFBED9B">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w:t>
      </w:r>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67"/>
        <w:gridCol w:w="867"/>
        <w:gridCol w:w="1293"/>
        <w:gridCol w:w="773"/>
        <w:gridCol w:w="1334"/>
        <w:gridCol w:w="760"/>
        <w:gridCol w:w="960"/>
        <w:gridCol w:w="1266"/>
        <w:gridCol w:w="690"/>
      </w:tblGrid>
      <w:tr w14:paraId="5861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exact"/>
          <w:jc w:val="center"/>
        </w:trPr>
        <w:tc>
          <w:tcPr>
            <w:tcW w:w="610" w:type="dxa"/>
            <w:noWrap w:val="0"/>
            <w:vAlign w:val="center"/>
          </w:tcPr>
          <w:p w14:paraId="68AB1764">
            <w:pPr>
              <w:widowControl/>
              <w:spacing w:line="360" w:lineRule="atLeast"/>
              <w:outlineLvl w:val="1"/>
              <w:rPr>
                <w:rFonts w:hint="eastAsia" w:ascii="仿宋" w:hAnsi="仿宋" w:eastAsia="仿宋" w:cs="仿宋"/>
                <w:color w:val="auto"/>
                <w:sz w:val="24"/>
                <w:highlight w:val="none"/>
              </w:rPr>
            </w:pPr>
            <w:bookmarkStart w:id="118" w:name="_Toc8599"/>
            <w:r>
              <w:rPr>
                <w:rFonts w:hint="eastAsia" w:ascii="仿宋" w:hAnsi="仿宋" w:eastAsia="仿宋" w:cs="仿宋"/>
                <w:color w:val="auto"/>
                <w:sz w:val="24"/>
                <w:highlight w:val="none"/>
              </w:rPr>
              <w:t>序号</w:t>
            </w:r>
            <w:bookmarkEnd w:id="118"/>
          </w:p>
        </w:tc>
        <w:tc>
          <w:tcPr>
            <w:tcW w:w="867" w:type="dxa"/>
            <w:noWrap w:val="0"/>
            <w:vAlign w:val="center"/>
          </w:tcPr>
          <w:p w14:paraId="477A847E">
            <w:pPr>
              <w:widowControl/>
              <w:spacing w:line="360" w:lineRule="atLeast"/>
              <w:jc w:val="center"/>
              <w:outlineLvl w:val="1"/>
              <w:rPr>
                <w:rFonts w:hint="eastAsia" w:ascii="仿宋" w:hAnsi="仿宋" w:eastAsia="仿宋" w:cs="仿宋"/>
                <w:color w:val="auto"/>
                <w:sz w:val="24"/>
                <w:highlight w:val="none"/>
              </w:rPr>
            </w:pPr>
            <w:bookmarkStart w:id="119" w:name="_Toc2611"/>
            <w:r>
              <w:rPr>
                <w:rFonts w:hint="eastAsia" w:ascii="仿宋" w:hAnsi="仿宋" w:eastAsia="仿宋" w:cs="仿宋"/>
                <w:color w:val="auto"/>
                <w:sz w:val="24"/>
                <w:highlight w:val="none"/>
              </w:rPr>
              <w:t>产品名称</w:t>
            </w:r>
            <w:bookmarkEnd w:id="119"/>
          </w:p>
        </w:tc>
        <w:tc>
          <w:tcPr>
            <w:tcW w:w="867" w:type="dxa"/>
            <w:noWrap w:val="0"/>
            <w:vAlign w:val="center"/>
          </w:tcPr>
          <w:p w14:paraId="5D2990EB">
            <w:pPr>
              <w:widowControl/>
              <w:spacing w:line="360" w:lineRule="atLeast"/>
              <w:jc w:val="center"/>
              <w:outlineLvl w:val="1"/>
              <w:rPr>
                <w:rFonts w:hint="eastAsia" w:ascii="仿宋" w:hAnsi="仿宋" w:eastAsia="仿宋" w:cs="仿宋"/>
                <w:color w:val="auto"/>
                <w:sz w:val="24"/>
                <w:highlight w:val="none"/>
              </w:rPr>
            </w:pPr>
            <w:bookmarkStart w:id="120" w:name="_Toc12918"/>
            <w:r>
              <w:rPr>
                <w:rFonts w:hint="eastAsia" w:ascii="仿宋" w:hAnsi="仿宋" w:eastAsia="仿宋" w:cs="仿宋"/>
                <w:color w:val="auto"/>
                <w:sz w:val="24"/>
                <w:highlight w:val="none"/>
              </w:rPr>
              <w:t>规格型号</w:t>
            </w:r>
            <w:bookmarkEnd w:id="120"/>
          </w:p>
        </w:tc>
        <w:tc>
          <w:tcPr>
            <w:tcW w:w="1293" w:type="dxa"/>
            <w:noWrap w:val="0"/>
            <w:vAlign w:val="center"/>
          </w:tcPr>
          <w:p w14:paraId="3FC8B848">
            <w:pPr>
              <w:widowControl/>
              <w:spacing w:line="360" w:lineRule="atLeast"/>
              <w:jc w:val="center"/>
              <w:outlineLvl w:val="1"/>
              <w:rPr>
                <w:rFonts w:hint="eastAsia" w:ascii="仿宋" w:hAnsi="仿宋" w:eastAsia="仿宋" w:cs="仿宋"/>
                <w:color w:val="auto"/>
                <w:sz w:val="24"/>
                <w:highlight w:val="none"/>
              </w:rPr>
            </w:pPr>
            <w:bookmarkStart w:id="121" w:name="_Toc16851"/>
            <w:r>
              <w:rPr>
                <w:rFonts w:hint="eastAsia" w:ascii="仿宋" w:hAnsi="仿宋" w:eastAsia="仿宋" w:cs="仿宋"/>
                <w:color w:val="auto"/>
                <w:sz w:val="24"/>
                <w:highlight w:val="none"/>
              </w:rPr>
              <w:t>制造商/品牌</w:t>
            </w:r>
            <w:bookmarkEnd w:id="121"/>
          </w:p>
        </w:tc>
        <w:tc>
          <w:tcPr>
            <w:tcW w:w="773" w:type="dxa"/>
            <w:noWrap w:val="0"/>
            <w:vAlign w:val="center"/>
          </w:tcPr>
          <w:p w14:paraId="70BABD13">
            <w:pPr>
              <w:widowControl/>
              <w:spacing w:line="360" w:lineRule="atLeast"/>
              <w:jc w:val="center"/>
              <w:outlineLvl w:val="1"/>
              <w:rPr>
                <w:rFonts w:hint="eastAsia" w:ascii="仿宋" w:hAnsi="仿宋" w:eastAsia="仿宋" w:cs="仿宋"/>
                <w:color w:val="auto"/>
                <w:sz w:val="24"/>
                <w:highlight w:val="none"/>
              </w:rPr>
            </w:pPr>
            <w:bookmarkStart w:id="122" w:name="_Toc12286"/>
            <w:r>
              <w:rPr>
                <w:rFonts w:hint="eastAsia" w:ascii="仿宋" w:hAnsi="仿宋" w:eastAsia="仿宋" w:cs="仿宋"/>
                <w:color w:val="auto"/>
                <w:sz w:val="24"/>
                <w:highlight w:val="none"/>
              </w:rPr>
              <w:t>单位</w:t>
            </w:r>
            <w:bookmarkEnd w:id="122"/>
          </w:p>
        </w:tc>
        <w:tc>
          <w:tcPr>
            <w:tcW w:w="1334" w:type="dxa"/>
            <w:noWrap w:val="0"/>
            <w:vAlign w:val="center"/>
          </w:tcPr>
          <w:p w14:paraId="1B4EC005">
            <w:pPr>
              <w:widowControl/>
              <w:spacing w:line="360" w:lineRule="atLeast"/>
              <w:jc w:val="center"/>
              <w:outlineLvl w:val="1"/>
              <w:rPr>
                <w:rFonts w:hint="eastAsia" w:ascii="仿宋" w:hAnsi="仿宋" w:eastAsia="仿宋" w:cs="仿宋"/>
                <w:color w:val="auto"/>
                <w:sz w:val="24"/>
                <w:highlight w:val="none"/>
              </w:rPr>
            </w:pPr>
            <w:bookmarkStart w:id="123" w:name="_Toc12973"/>
            <w:r>
              <w:rPr>
                <w:rFonts w:hint="eastAsia" w:ascii="仿宋" w:hAnsi="仿宋" w:eastAsia="仿宋" w:cs="仿宋"/>
                <w:color w:val="auto"/>
                <w:sz w:val="24"/>
                <w:highlight w:val="none"/>
              </w:rPr>
              <w:t>数量</w:t>
            </w:r>
            <w:bookmarkEnd w:id="123"/>
          </w:p>
        </w:tc>
        <w:tc>
          <w:tcPr>
            <w:tcW w:w="760" w:type="dxa"/>
            <w:noWrap w:val="0"/>
            <w:vAlign w:val="center"/>
          </w:tcPr>
          <w:p w14:paraId="731074CF">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0" w:type="dxa"/>
            <w:noWrap w:val="0"/>
            <w:vAlign w:val="center"/>
          </w:tcPr>
          <w:p w14:paraId="2220FC3E">
            <w:pPr>
              <w:widowControl/>
              <w:spacing w:line="360" w:lineRule="atLeast"/>
              <w:jc w:val="center"/>
              <w:outlineLvl w:val="1"/>
              <w:rPr>
                <w:rFonts w:hint="eastAsia" w:ascii="仿宋" w:hAnsi="仿宋" w:eastAsia="仿宋" w:cs="仿宋"/>
                <w:color w:val="auto"/>
                <w:sz w:val="24"/>
                <w:highlight w:val="none"/>
              </w:rPr>
            </w:pPr>
            <w:bookmarkStart w:id="124" w:name="_Toc14118"/>
            <w:r>
              <w:rPr>
                <w:rFonts w:hint="eastAsia" w:ascii="仿宋" w:hAnsi="仿宋" w:eastAsia="仿宋" w:cs="仿宋"/>
                <w:color w:val="auto"/>
                <w:sz w:val="24"/>
                <w:highlight w:val="none"/>
              </w:rPr>
              <w:t>金额（元）</w:t>
            </w:r>
            <w:bookmarkEnd w:id="124"/>
          </w:p>
        </w:tc>
        <w:tc>
          <w:tcPr>
            <w:tcW w:w="1266" w:type="dxa"/>
            <w:noWrap w:val="0"/>
            <w:vAlign w:val="center"/>
          </w:tcPr>
          <w:p w14:paraId="5098DD73">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w:t>
            </w:r>
          </w:p>
          <w:p w14:paraId="219D2FF1">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进口产品</w:t>
            </w:r>
          </w:p>
        </w:tc>
        <w:tc>
          <w:tcPr>
            <w:tcW w:w="690" w:type="dxa"/>
            <w:noWrap w:val="0"/>
            <w:vAlign w:val="center"/>
          </w:tcPr>
          <w:p w14:paraId="43D98FD9">
            <w:pPr>
              <w:widowControl/>
              <w:spacing w:line="360" w:lineRule="atLeast"/>
              <w:outlineLvl w:val="1"/>
              <w:rPr>
                <w:rFonts w:hint="eastAsia" w:ascii="仿宋" w:hAnsi="仿宋" w:eastAsia="仿宋" w:cs="仿宋"/>
                <w:color w:val="auto"/>
                <w:sz w:val="24"/>
                <w:highlight w:val="none"/>
              </w:rPr>
            </w:pPr>
            <w:bookmarkStart w:id="125" w:name="_Toc2132"/>
            <w:r>
              <w:rPr>
                <w:rFonts w:hint="eastAsia" w:ascii="仿宋" w:hAnsi="仿宋" w:eastAsia="仿宋" w:cs="仿宋"/>
                <w:color w:val="auto"/>
                <w:sz w:val="24"/>
                <w:highlight w:val="none"/>
              </w:rPr>
              <w:t>备注</w:t>
            </w:r>
            <w:bookmarkEnd w:id="125"/>
          </w:p>
        </w:tc>
      </w:tr>
      <w:tr w14:paraId="47B8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40BC8E0C">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6E0E7AD6">
            <w:pPr>
              <w:adjustRightInd w:val="0"/>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5E84364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0C00D6B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26FB7CD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6AD7A34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E7D3A3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6FE3425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663A27C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51AFA0A1">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BC6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46635D84">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59E88356">
            <w:pPr>
              <w:spacing w:line="360" w:lineRule="auto"/>
              <w:jc w:val="center"/>
              <w:rPr>
                <w:rFonts w:hint="eastAsia" w:ascii="仿宋" w:hAnsi="仿宋" w:eastAsia="仿宋" w:cs="仿宋"/>
                <w:color w:val="auto"/>
                <w:sz w:val="24"/>
                <w:highlight w:val="none"/>
              </w:rPr>
            </w:pPr>
          </w:p>
        </w:tc>
        <w:tc>
          <w:tcPr>
            <w:tcW w:w="867" w:type="dxa"/>
            <w:noWrap w:val="0"/>
            <w:vAlign w:val="center"/>
          </w:tcPr>
          <w:p w14:paraId="05EFF69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2D701EC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614E02B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7B1A1B3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2B9BFE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452530A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53EA6AE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2785BF41">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47E6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7FF19E90">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3EAA5EFE">
            <w:pPr>
              <w:spacing w:line="360" w:lineRule="auto"/>
              <w:jc w:val="center"/>
              <w:rPr>
                <w:rFonts w:hint="eastAsia" w:ascii="仿宋" w:hAnsi="仿宋" w:eastAsia="仿宋" w:cs="仿宋"/>
                <w:color w:val="auto"/>
                <w:sz w:val="24"/>
                <w:highlight w:val="none"/>
              </w:rPr>
            </w:pPr>
          </w:p>
        </w:tc>
        <w:tc>
          <w:tcPr>
            <w:tcW w:w="867" w:type="dxa"/>
            <w:noWrap w:val="0"/>
            <w:vAlign w:val="center"/>
          </w:tcPr>
          <w:p w14:paraId="34DE4F1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090A2EE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3DC49A2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6071022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456B23D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241DA9C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0DC8A44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5E584C81">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50C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tcBorders>
              <w:left w:val="single" w:color="auto" w:sz="4" w:space="0"/>
            </w:tcBorders>
            <w:noWrap w:val="0"/>
            <w:vAlign w:val="center"/>
          </w:tcPr>
          <w:p w14:paraId="1A4D831D">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10956F40">
            <w:pPr>
              <w:spacing w:line="360" w:lineRule="auto"/>
              <w:jc w:val="center"/>
              <w:rPr>
                <w:rFonts w:hint="eastAsia" w:ascii="仿宋" w:hAnsi="仿宋" w:eastAsia="仿宋" w:cs="仿宋"/>
                <w:color w:val="auto"/>
                <w:sz w:val="24"/>
                <w:highlight w:val="none"/>
              </w:rPr>
            </w:pPr>
          </w:p>
        </w:tc>
        <w:tc>
          <w:tcPr>
            <w:tcW w:w="867" w:type="dxa"/>
            <w:noWrap w:val="0"/>
            <w:vAlign w:val="center"/>
          </w:tcPr>
          <w:p w14:paraId="38DB26D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346A53E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7B8F1BD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34F3BA8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257245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7F873B9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437DF06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35CC0FCE">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6AEC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605D10E0">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6FEE6477">
            <w:pPr>
              <w:spacing w:line="360" w:lineRule="auto"/>
              <w:jc w:val="center"/>
              <w:rPr>
                <w:rFonts w:hint="eastAsia" w:ascii="仿宋" w:hAnsi="仿宋" w:eastAsia="仿宋" w:cs="仿宋"/>
                <w:color w:val="auto"/>
                <w:sz w:val="24"/>
                <w:highlight w:val="none"/>
              </w:rPr>
            </w:pPr>
          </w:p>
        </w:tc>
        <w:tc>
          <w:tcPr>
            <w:tcW w:w="867" w:type="dxa"/>
            <w:noWrap w:val="0"/>
            <w:vAlign w:val="center"/>
          </w:tcPr>
          <w:p w14:paraId="667E036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32107B1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464D151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49556BB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347F446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41A7084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2CC36E3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79FD58C2">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40BD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371D6321">
            <w:pPr>
              <w:snapToGrid w:val="0"/>
              <w:spacing w:line="360" w:lineRule="auto"/>
              <w:jc w:val="center"/>
              <w:rPr>
                <w:rFonts w:hint="eastAsia" w:ascii="仿宋" w:hAnsi="仿宋" w:eastAsia="仿宋" w:cs="仿宋"/>
                <w:color w:val="auto"/>
                <w:sz w:val="24"/>
                <w:highlight w:val="none"/>
              </w:rPr>
            </w:pPr>
            <w:bookmarkStart w:id="126" w:name="_Toc29946"/>
          </w:p>
        </w:tc>
        <w:tc>
          <w:tcPr>
            <w:tcW w:w="867" w:type="dxa"/>
            <w:noWrap w:val="0"/>
            <w:vAlign w:val="center"/>
          </w:tcPr>
          <w:p w14:paraId="3914156C">
            <w:pPr>
              <w:spacing w:line="360" w:lineRule="auto"/>
              <w:jc w:val="center"/>
              <w:rPr>
                <w:rFonts w:hint="eastAsia" w:ascii="仿宋" w:hAnsi="仿宋" w:eastAsia="仿宋" w:cs="仿宋"/>
                <w:color w:val="auto"/>
                <w:sz w:val="24"/>
                <w:highlight w:val="none"/>
              </w:rPr>
            </w:pPr>
          </w:p>
        </w:tc>
        <w:tc>
          <w:tcPr>
            <w:tcW w:w="867" w:type="dxa"/>
            <w:noWrap w:val="0"/>
            <w:vAlign w:val="center"/>
          </w:tcPr>
          <w:p w14:paraId="4DAD1D0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3AE3E5E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33F6A48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1289027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04E735F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4372F06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71BA9E4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6410E25C">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6A96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04" w:type="dxa"/>
            <w:gridSpan w:val="7"/>
            <w:tcBorders>
              <w:top w:val="single" w:color="auto" w:sz="4" w:space="0"/>
              <w:bottom w:val="single" w:color="auto" w:sz="4" w:space="0"/>
            </w:tcBorders>
            <w:noWrap w:val="0"/>
            <w:vAlign w:val="center"/>
          </w:tcPr>
          <w:p w14:paraId="746B5338">
            <w:pPr>
              <w:widowControl/>
              <w:spacing w:line="360" w:lineRule="atLeast"/>
              <w:ind w:firstLine="470" w:firstLineChars="196"/>
              <w:jc w:val="lef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分项报价合计（元）：   大写：</w:t>
            </w:r>
            <w:bookmarkEnd w:id="126"/>
          </w:p>
        </w:tc>
        <w:tc>
          <w:tcPr>
            <w:tcW w:w="960" w:type="dxa"/>
            <w:tcBorders>
              <w:top w:val="single" w:color="auto" w:sz="4" w:space="0"/>
              <w:bottom w:val="single" w:color="auto" w:sz="4" w:space="0"/>
            </w:tcBorders>
            <w:noWrap w:val="0"/>
            <w:vAlign w:val="center"/>
          </w:tcPr>
          <w:p w14:paraId="72AFEB2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956" w:type="dxa"/>
            <w:gridSpan w:val="2"/>
            <w:tcBorders>
              <w:top w:val="single" w:color="auto" w:sz="4" w:space="0"/>
              <w:bottom w:val="single" w:color="auto" w:sz="4" w:space="0"/>
            </w:tcBorders>
            <w:noWrap w:val="0"/>
            <w:vAlign w:val="center"/>
          </w:tcPr>
          <w:p w14:paraId="3656A7DD">
            <w:pPr>
              <w:widowControl/>
              <w:spacing w:line="360" w:lineRule="atLeast"/>
              <w:ind w:firstLine="470" w:firstLineChars="196"/>
              <w:jc w:val="left"/>
              <w:outlineLvl w:val="9"/>
              <w:rPr>
                <w:rFonts w:hint="eastAsia" w:ascii="仿宋" w:hAnsi="仿宋" w:eastAsia="仿宋" w:cs="仿宋"/>
                <w:color w:val="auto"/>
                <w:sz w:val="24"/>
                <w:highlight w:val="none"/>
              </w:rPr>
            </w:pPr>
          </w:p>
        </w:tc>
      </w:tr>
    </w:tbl>
    <w:p w14:paraId="749B52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注：1、投标人必须按“分项报价明细表”的格式详细报出投标总价的各个组成部分的报价。</w:t>
      </w:r>
    </w:p>
    <w:p w14:paraId="72AAE1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2、“分项报价明细表”各分项报价合计应当与“开标一览表”报价合计相等。</w:t>
      </w:r>
    </w:p>
    <w:p w14:paraId="412E74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 、</w:t>
      </w:r>
      <w:r>
        <w:rPr>
          <w:rFonts w:hint="eastAsia" w:ascii="仿宋" w:hAnsi="仿宋" w:eastAsia="仿宋" w:cs="仿宋"/>
          <w:color w:val="auto"/>
          <w:sz w:val="24"/>
          <w:highlight w:val="none"/>
          <w:lang w:eastAsia="zh-CN"/>
        </w:rPr>
        <w:t>汇总计算结果请采取“四舍五入法”保留到元。如果未保留到元的，由评审委直接按“四舍五入法”调整、修正保留到元，由此产生的不利后果由供应商自行承担。如果供应商拒绝评审委的修正结果的，其报价作无效处理。</w:t>
      </w:r>
    </w:p>
    <w:p w14:paraId="6275840D">
      <w:pPr>
        <w:spacing w:line="400" w:lineRule="exact"/>
        <w:ind w:firstLine="480" w:firstLineChars="200"/>
        <w:rPr>
          <w:rFonts w:hint="eastAsia" w:ascii="仿宋" w:hAnsi="仿宋" w:eastAsia="仿宋" w:cs="仿宋"/>
          <w:color w:val="auto"/>
          <w:sz w:val="24"/>
          <w:highlight w:val="none"/>
          <w:lang w:val="en-US" w:eastAsia="zh-CN"/>
        </w:rPr>
      </w:pPr>
    </w:p>
    <w:p w14:paraId="59D65DD9">
      <w:pPr>
        <w:pStyle w:val="2"/>
        <w:rPr>
          <w:rFonts w:hint="eastAsia" w:ascii="仿宋" w:hAnsi="仿宋" w:eastAsia="仿宋" w:cs="仿宋"/>
          <w:color w:val="auto"/>
          <w:highlight w:val="none"/>
          <w:lang w:val="en-US" w:eastAsia="zh-CN"/>
        </w:rPr>
      </w:pPr>
    </w:p>
    <w:p w14:paraId="12B1DB52">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52736E90">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58ABB1E5">
      <w:pPr>
        <w:spacing w:line="360" w:lineRule="auto"/>
        <w:jc w:val="left"/>
        <w:outlineLvl w:val="1"/>
        <w:rPr>
          <w:rFonts w:hint="eastAsia" w:ascii="仿宋" w:hAnsi="仿宋" w:eastAsia="仿宋" w:cs="仿宋"/>
          <w:sz w:val="24"/>
          <w:szCs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32"/>
          <w:szCs w:val="32"/>
          <w:highlight w:val="none"/>
        </w:rPr>
        <w:br w:type="page"/>
      </w:r>
    </w:p>
    <w:p w14:paraId="63C7FD20">
      <w:pPr>
        <w:spacing w:line="360" w:lineRule="auto"/>
        <w:jc w:val="left"/>
        <w:outlineLvl w:val="1"/>
        <w:rPr>
          <w:rFonts w:hint="eastAsia" w:ascii="仿宋" w:hAnsi="仿宋" w:eastAsia="仿宋" w:cs="仿宋"/>
          <w:sz w:val="24"/>
          <w:szCs w:val="24"/>
          <w:highlight w:val="none"/>
        </w:rPr>
      </w:pPr>
    </w:p>
    <w:p w14:paraId="5B6E7D0E">
      <w:pPr>
        <w:spacing w:line="360" w:lineRule="auto"/>
        <w:jc w:val="left"/>
        <w:outlineLvl w:val="1"/>
        <w:rPr>
          <w:rFonts w:hint="eastAsia" w:ascii="仿宋" w:hAnsi="仿宋" w:eastAsia="仿宋" w:cs="仿宋"/>
          <w:b/>
          <w:bCs/>
          <w:sz w:val="24"/>
          <w:szCs w:val="24"/>
          <w:highlight w:val="none"/>
        </w:rPr>
      </w:pPr>
      <w:r>
        <w:rPr>
          <w:rFonts w:hint="eastAsia" w:ascii="仿宋" w:hAnsi="仿宋" w:eastAsia="仿宋" w:cs="仿宋"/>
          <w:b/>
          <w:bCs/>
          <w:sz w:val="28"/>
          <w:szCs w:val="28"/>
          <w:highlight w:val="none"/>
        </w:rPr>
        <w:t>格式6 技术要求应答表</w:t>
      </w:r>
      <w:bookmarkEnd w:id="107"/>
    </w:p>
    <w:p w14:paraId="1078BF0B">
      <w:pPr>
        <w:pStyle w:val="15"/>
        <w:pBdr>
          <w:bottom w:val="none" w:color="auto" w:sz="0" w:space="0"/>
        </w:pBdr>
        <w:tabs>
          <w:tab w:val="clear" w:pos="4153"/>
          <w:tab w:val="clear" w:pos="8306"/>
        </w:tabs>
        <w:snapToGrid/>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技术要求应答表</w:t>
      </w:r>
    </w:p>
    <w:p w14:paraId="776E8805">
      <w:pPr>
        <w:pStyle w:val="15"/>
        <w:pBdr>
          <w:bottom w:val="none" w:color="auto" w:sz="0" w:space="0"/>
        </w:pBdr>
        <w:tabs>
          <w:tab w:val="clear" w:pos="4153"/>
          <w:tab w:val="clear" w:pos="8306"/>
        </w:tabs>
        <w:snapToGrid/>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14:paraId="500DBA07">
      <w:pPr>
        <w:pStyle w:val="15"/>
        <w:pBdr>
          <w:bottom w:val="none" w:color="auto" w:sz="0" w:space="0"/>
        </w:pBdr>
        <w:tabs>
          <w:tab w:val="clear" w:pos="4153"/>
          <w:tab w:val="clear" w:pos="8306"/>
        </w:tabs>
        <w:snapToGrid/>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项目编号：                                    </w:t>
      </w:r>
    </w:p>
    <w:tbl>
      <w:tblPr>
        <w:tblStyle w:val="2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069"/>
        <w:gridCol w:w="3217"/>
        <w:gridCol w:w="1477"/>
      </w:tblGrid>
      <w:tr w14:paraId="0232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vAlign w:val="center"/>
          </w:tcPr>
          <w:p w14:paraId="2540A0D3">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招标文件条目号</w:t>
            </w:r>
          </w:p>
        </w:tc>
        <w:tc>
          <w:tcPr>
            <w:tcW w:w="3069" w:type="dxa"/>
            <w:vAlign w:val="center"/>
          </w:tcPr>
          <w:p w14:paraId="3AAB100F">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p w14:paraId="5F016E19">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（详见招标文件第五章）</w:t>
            </w:r>
          </w:p>
        </w:tc>
        <w:tc>
          <w:tcPr>
            <w:tcW w:w="3217" w:type="dxa"/>
            <w:vAlign w:val="center"/>
          </w:tcPr>
          <w:p w14:paraId="7060F232">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投标文件的应答情况</w:t>
            </w:r>
          </w:p>
          <w:p w14:paraId="409C59E2">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（投标产品实际参数）</w:t>
            </w:r>
          </w:p>
        </w:tc>
        <w:tc>
          <w:tcPr>
            <w:tcW w:w="1477" w:type="dxa"/>
            <w:vAlign w:val="center"/>
          </w:tcPr>
          <w:p w14:paraId="0804E50A">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偏离说明</w:t>
            </w:r>
          </w:p>
        </w:tc>
      </w:tr>
      <w:tr w14:paraId="5268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19B13F47">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7E59B5B2">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D4AFC0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AC29CF9">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2CAB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15B90F62">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22C6DE2E">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3FCD8B7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6E54431">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A27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170AEC6D">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EBBCE10">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2AFAF417">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636B74B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318E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8EFD05F">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D7BB801">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F4173D1">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0A289AC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2D9F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42BBF6CB">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F938F6B">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59A5EBBC">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25E07F01">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962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73CF28BC">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38BFF5FA">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6C4723FD">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69CCCD84">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B62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136CC10">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02CDB9A">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558192A9">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3E0CEFAB">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6040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373BA94C">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78E0A42A">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64EA1CF3">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033C4B50">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25A8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22A0FAF">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B046073">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C407F6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399A55AF">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bl>
    <w:p w14:paraId="6B0401D8">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注：投标人必须根据招标文件要求据实逐条填写，不得虚假投标，虚假投标的，其投标文件无效并按规定追究其相关责任。</w:t>
      </w:r>
    </w:p>
    <w:p w14:paraId="1703EAA9">
      <w:pPr>
        <w:adjustRightInd w:val="0"/>
        <w:spacing w:line="360" w:lineRule="auto"/>
        <w:ind w:firstLine="480" w:firstLineChars="200"/>
        <w:jc w:val="left"/>
        <w:rPr>
          <w:rFonts w:hint="eastAsia" w:ascii="仿宋" w:hAnsi="仿宋" w:eastAsia="仿宋" w:cs="仿宋"/>
          <w:sz w:val="24"/>
          <w:szCs w:val="24"/>
          <w:highlight w:val="none"/>
        </w:rPr>
      </w:pPr>
    </w:p>
    <w:p w14:paraId="2877BE5C">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4D47EC29">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2E050409">
      <w:pPr>
        <w:adjustRightInd w:val="0"/>
        <w:spacing w:line="360" w:lineRule="auto"/>
        <w:ind w:firstLine="540" w:firstLineChars="22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XXX年XXX月XXX日</w:t>
      </w:r>
    </w:p>
    <w:p w14:paraId="102B38F0">
      <w:pPr>
        <w:spacing w:line="360" w:lineRule="auto"/>
        <w:rPr>
          <w:rFonts w:hint="eastAsia" w:ascii="仿宋" w:hAnsi="仿宋" w:eastAsia="仿宋" w:cs="仿宋"/>
          <w:sz w:val="24"/>
          <w:szCs w:val="24"/>
          <w:highlight w:val="none"/>
        </w:rPr>
      </w:pPr>
    </w:p>
    <w:p w14:paraId="012F22B9">
      <w:pPr>
        <w:spacing w:line="360" w:lineRule="auto"/>
        <w:rPr>
          <w:rFonts w:hint="eastAsia" w:ascii="仿宋" w:hAnsi="仿宋" w:eastAsia="仿宋" w:cs="仿宋"/>
          <w:sz w:val="24"/>
          <w:szCs w:val="24"/>
          <w:highlight w:val="none"/>
        </w:rPr>
      </w:pPr>
    </w:p>
    <w:p w14:paraId="6C27B8BD">
      <w:pPr>
        <w:spacing w:line="360" w:lineRule="auto"/>
        <w:rPr>
          <w:rFonts w:hint="eastAsia" w:ascii="仿宋" w:hAnsi="仿宋" w:eastAsia="仿宋" w:cs="仿宋"/>
          <w:sz w:val="24"/>
          <w:szCs w:val="24"/>
          <w:highlight w:val="none"/>
        </w:rPr>
      </w:pPr>
    </w:p>
    <w:p w14:paraId="3A9B06CF">
      <w:pPr>
        <w:pStyle w:val="12"/>
        <w:tabs>
          <w:tab w:val="left" w:pos="0"/>
        </w:tabs>
        <w:spacing w:after="0" w:line="360" w:lineRule="auto"/>
        <w:ind w:left="680"/>
        <w:rPr>
          <w:rFonts w:hint="eastAsia" w:ascii="仿宋" w:hAnsi="仿宋" w:eastAsia="仿宋" w:cs="仿宋"/>
          <w:sz w:val="24"/>
          <w:szCs w:val="24"/>
          <w:highlight w:val="none"/>
        </w:rPr>
      </w:pPr>
    </w:p>
    <w:p w14:paraId="219327DC">
      <w:pPr>
        <w:pStyle w:val="12"/>
        <w:tabs>
          <w:tab w:val="left" w:pos="0"/>
        </w:tabs>
        <w:spacing w:line="360" w:lineRule="auto"/>
        <w:ind w:left="680"/>
        <w:rPr>
          <w:rFonts w:hint="eastAsia" w:ascii="仿宋" w:hAnsi="仿宋" w:eastAsia="仿宋" w:cs="仿宋"/>
          <w:sz w:val="24"/>
          <w:szCs w:val="24"/>
          <w:highlight w:val="none"/>
        </w:rPr>
      </w:pPr>
    </w:p>
    <w:p w14:paraId="3C8DB8D7">
      <w:pPr>
        <w:pStyle w:val="12"/>
        <w:tabs>
          <w:tab w:val="left" w:pos="0"/>
        </w:tabs>
        <w:spacing w:line="360" w:lineRule="auto"/>
        <w:ind w:left="680"/>
        <w:rPr>
          <w:rFonts w:hint="eastAsia" w:ascii="仿宋" w:hAnsi="仿宋" w:eastAsia="仿宋" w:cs="仿宋"/>
          <w:sz w:val="24"/>
          <w:szCs w:val="24"/>
          <w:highlight w:val="none"/>
        </w:rPr>
      </w:pPr>
    </w:p>
    <w:p w14:paraId="70854C66">
      <w:pPr>
        <w:pStyle w:val="12"/>
        <w:tabs>
          <w:tab w:val="left" w:pos="0"/>
        </w:tabs>
        <w:spacing w:line="360" w:lineRule="auto"/>
        <w:ind w:left="0" w:leftChars="0"/>
        <w:rPr>
          <w:rFonts w:hint="eastAsia" w:ascii="仿宋" w:hAnsi="仿宋" w:eastAsia="仿宋" w:cs="仿宋"/>
          <w:sz w:val="24"/>
          <w:szCs w:val="24"/>
          <w:highlight w:val="none"/>
        </w:rPr>
      </w:pPr>
    </w:p>
    <w:p w14:paraId="77CD1BF4">
      <w:pPr>
        <w:pStyle w:val="12"/>
        <w:tabs>
          <w:tab w:val="left" w:pos="0"/>
        </w:tabs>
        <w:spacing w:line="360" w:lineRule="auto"/>
        <w:ind w:left="0" w:leftChars="0"/>
        <w:jc w:val="left"/>
        <w:outlineLvl w:val="1"/>
        <w:rPr>
          <w:rFonts w:hint="eastAsia" w:ascii="仿宋" w:hAnsi="仿宋" w:eastAsia="仿宋" w:cs="仿宋"/>
          <w:b/>
          <w:sz w:val="28"/>
          <w:szCs w:val="28"/>
          <w:highlight w:val="none"/>
        </w:rPr>
      </w:pPr>
      <w:bookmarkStart w:id="127" w:name="_Toc24897"/>
      <w:r>
        <w:rPr>
          <w:rFonts w:hint="eastAsia" w:ascii="仿宋" w:hAnsi="仿宋" w:eastAsia="仿宋" w:cs="仿宋"/>
          <w:b/>
          <w:sz w:val="28"/>
          <w:szCs w:val="28"/>
          <w:highlight w:val="none"/>
        </w:rPr>
        <w:t>格式7 商务应答表</w:t>
      </w:r>
      <w:bookmarkEnd w:id="127"/>
    </w:p>
    <w:p w14:paraId="05750F8A">
      <w:pPr>
        <w:spacing w:line="360" w:lineRule="auto"/>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商务应答表</w:t>
      </w:r>
    </w:p>
    <w:p w14:paraId="4847A28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4CC6BC69">
      <w:pPr>
        <w:pStyle w:val="39"/>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22"/>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355"/>
        <w:gridCol w:w="2834"/>
        <w:gridCol w:w="1394"/>
      </w:tblGrid>
      <w:tr w14:paraId="6A1E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14:paraId="070B2067">
            <w:pPr>
              <w:pStyle w:val="7"/>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93" w:type="dxa"/>
            <w:vAlign w:val="center"/>
          </w:tcPr>
          <w:p w14:paraId="5CD42B49">
            <w:pPr>
              <w:pStyle w:val="7"/>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招标文件条目号</w:t>
            </w:r>
          </w:p>
        </w:tc>
        <w:tc>
          <w:tcPr>
            <w:tcW w:w="2355" w:type="dxa"/>
            <w:vAlign w:val="center"/>
          </w:tcPr>
          <w:p w14:paraId="7EC16B59">
            <w:pPr>
              <w:pStyle w:val="7"/>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招标文件要求</w:t>
            </w:r>
          </w:p>
        </w:tc>
        <w:tc>
          <w:tcPr>
            <w:tcW w:w="2834" w:type="dxa"/>
            <w:vAlign w:val="center"/>
          </w:tcPr>
          <w:p w14:paraId="56D78784">
            <w:pPr>
              <w:pStyle w:val="7"/>
              <w:tabs>
                <w:tab w:val="left" w:pos="6880"/>
              </w:tabs>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投标文件的应答</w:t>
            </w:r>
          </w:p>
        </w:tc>
        <w:tc>
          <w:tcPr>
            <w:tcW w:w="1394" w:type="dxa"/>
            <w:vAlign w:val="center"/>
          </w:tcPr>
          <w:p w14:paraId="475E9982">
            <w:pPr>
              <w:pStyle w:val="7"/>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偏离说明</w:t>
            </w:r>
          </w:p>
        </w:tc>
      </w:tr>
      <w:tr w14:paraId="6981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4814C21C">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93" w:type="dxa"/>
            <w:vAlign w:val="center"/>
          </w:tcPr>
          <w:p w14:paraId="5F6209A8">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026875EC">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7EBF4F27">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7280E521">
            <w:pPr>
              <w:pStyle w:val="7"/>
              <w:tabs>
                <w:tab w:val="left" w:pos="6880"/>
              </w:tabs>
              <w:spacing w:line="360" w:lineRule="auto"/>
              <w:ind w:firstLine="480"/>
              <w:jc w:val="center"/>
              <w:rPr>
                <w:rFonts w:hint="eastAsia" w:ascii="仿宋" w:hAnsi="仿宋" w:eastAsia="仿宋" w:cs="仿宋"/>
                <w:sz w:val="24"/>
                <w:szCs w:val="24"/>
                <w:highlight w:val="none"/>
              </w:rPr>
            </w:pPr>
          </w:p>
        </w:tc>
      </w:tr>
      <w:tr w14:paraId="3263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5E4364A8">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93" w:type="dxa"/>
            <w:vAlign w:val="center"/>
          </w:tcPr>
          <w:p w14:paraId="226F04E4">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3AE6FF62">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306E3A5B">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49F8FE07">
            <w:pPr>
              <w:pStyle w:val="7"/>
              <w:tabs>
                <w:tab w:val="left" w:pos="6880"/>
              </w:tabs>
              <w:spacing w:line="360" w:lineRule="auto"/>
              <w:ind w:firstLine="480"/>
              <w:jc w:val="center"/>
              <w:rPr>
                <w:rFonts w:hint="eastAsia" w:ascii="仿宋" w:hAnsi="仿宋" w:eastAsia="仿宋" w:cs="仿宋"/>
                <w:sz w:val="24"/>
                <w:szCs w:val="24"/>
                <w:highlight w:val="none"/>
              </w:rPr>
            </w:pPr>
          </w:p>
        </w:tc>
      </w:tr>
      <w:tr w14:paraId="6548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33A6CEA1">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93" w:type="dxa"/>
            <w:vAlign w:val="center"/>
          </w:tcPr>
          <w:p w14:paraId="5B389502">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5C31D915">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324B3BBB">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7AB87262">
            <w:pPr>
              <w:pStyle w:val="7"/>
              <w:tabs>
                <w:tab w:val="left" w:pos="6880"/>
              </w:tabs>
              <w:spacing w:line="360" w:lineRule="auto"/>
              <w:ind w:firstLine="480"/>
              <w:jc w:val="center"/>
              <w:rPr>
                <w:rFonts w:hint="eastAsia" w:ascii="仿宋" w:hAnsi="仿宋" w:eastAsia="仿宋" w:cs="仿宋"/>
                <w:sz w:val="24"/>
                <w:szCs w:val="24"/>
                <w:highlight w:val="none"/>
              </w:rPr>
            </w:pPr>
          </w:p>
        </w:tc>
      </w:tr>
      <w:tr w14:paraId="0202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3EA8BB89">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14:paraId="6B3C4229">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6ED5C264">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6646AC3">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701D8415">
            <w:pPr>
              <w:pStyle w:val="7"/>
              <w:tabs>
                <w:tab w:val="left" w:pos="6880"/>
              </w:tabs>
              <w:spacing w:line="360" w:lineRule="auto"/>
              <w:ind w:firstLine="480"/>
              <w:jc w:val="center"/>
              <w:rPr>
                <w:rFonts w:hint="eastAsia" w:ascii="仿宋" w:hAnsi="仿宋" w:eastAsia="仿宋" w:cs="仿宋"/>
                <w:sz w:val="24"/>
                <w:szCs w:val="24"/>
                <w:highlight w:val="none"/>
              </w:rPr>
            </w:pPr>
          </w:p>
        </w:tc>
      </w:tr>
      <w:tr w14:paraId="2E3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4" w:type="dxa"/>
            <w:vAlign w:val="center"/>
          </w:tcPr>
          <w:p w14:paraId="38CC5435">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93" w:type="dxa"/>
            <w:vAlign w:val="center"/>
          </w:tcPr>
          <w:p w14:paraId="263D3F8A">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1EAC0FEB">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8FA7371">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0EB4A686">
            <w:pPr>
              <w:pStyle w:val="7"/>
              <w:tabs>
                <w:tab w:val="left" w:pos="6880"/>
              </w:tabs>
              <w:spacing w:line="360" w:lineRule="auto"/>
              <w:ind w:firstLine="480"/>
              <w:jc w:val="center"/>
              <w:rPr>
                <w:rFonts w:hint="eastAsia" w:ascii="仿宋" w:hAnsi="仿宋" w:eastAsia="仿宋" w:cs="仿宋"/>
                <w:sz w:val="24"/>
                <w:szCs w:val="24"/>
                <w:highlight w:val="none"/>
              </w:rPr>
            </w:pPr>
          </w:p>
        </w:tc>
      </w:tr>
    </w:tbl>
    <w:p w14:paraId="01FC294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注意：投标人必须据实填写，不得虚假投标，虚假投标的，其投标文件无效并按规定追究其相关责任。</w:t>
      </w:r>
    </w:p>
    <w:p w14:paraId="40B76B93">
      <w:pPr>
        <w:adjustRightInd w:val="0"/>
        <w:spacing w:line="360" w:lineRule="auto"/>
        <w:ind w:firstLine="480" w:firstLineChars="200"/>
        <w:jc w:val="left"/>
        <w:rPr>
          <w:rFonts w:hint="eastAsia" w:ascii="仿宋" w:hAnsi="仿宋" w:eastAsia="仿宋" w:cs="仿宋"/>
          <w:sz w:val="24"/>
          <w:szCs w:val="24"/>
          <w:highlight w:val="none"/>
        </w:rPr>
      </w:pPr>
    </w:p>
    <w:p w14:paraId="3913384D">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投标人人名称：XXX（盖单位公章）</w:t>
      </w:r>
    </w:p>
    <w:p w14:paraId="26C32F2B">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6269AD3F">
      <w:pPr>
        <w:adjustRightInd w:val="0"/>
        <w:spacing w:line="360" w:lineRule="auto"/>
        <w:ind w:firstLine="480" w:firstLineChars="200"/>
        <w:jc w:val="left"/>
        <w:rPr>
          <w:rFonts w:hint="eastAsia" w:ascii="仿宋" w:hAnsi="仿宋" w:eastAsia="仿宋" w:cs="仿宋"/>
          <w:sz w:val="24"/>
          <w:szCs w:val="24"/>
          <w:highlight w:val="none"/>
        </w:rPr>
        <w:sectPr>
          <w:footerReference r:id="rId15" w:type="default"/>
          <w:pgSz w:w="11850" w:h="16783"/>
          <w:pgMar w:top="1417" w:right="1134" w:bottom="1417" w:left="1134" w:header="851" w:footer="992" w:gutter="0"/>
          <w:cols w:space="0" w:num="1"/>
          <w:docGrid w:linePitch="312" w:charSpace="0"/>
        </w:sectPr>
      </w:pPr>
      <w:r>
        <w:rPr>
          <w:rFonts w:hint="eastAsia" w:ascii="仿宋" w:hAnsi="仿宋" w:eastAsia="仿宋" w:cs="仿宋"/>
          <w:bCs/>
          <w:sz w:val="24"/>
          <w:szCs w:val="24"/>
          <w:highlight w:val="none"/>
        </w:rPr>
        <w:t>日  期：XXX年</w:t>
      </w:r>
    </w:p>
    <w:p w14:paraId="291587D5">
      <w:pPr>
        <w:spacing w:line="360" w:lineRule="auto"/>
        <w:jc w:val="left"/>
        <w:outlineLvl w:val="1"/>
        <w:rPr>
          <w:rFonts w:hint="eastAsia" w:ascii="仿宋" w:hAnsi="仿宋" w:eastAsia="仿宋" w:cs="仿宋"/>
          <w:b/>
          <w:sz w:val="28"/>
          <w:szCs w:val="28"/>
          <w:highlight w:val="none"/>
        </w:rPr>
      </w:pPr>
      <w:bookmarkStart w:id="128" w:name="_Toc15705"/>
      <w:r>
        <w:rPr>
          <w:rFonts w:hint="eastAsia" w:ascii="仿宋" w:hAnsi="仿宋" w:eastAsia="仿宋" w:cs="仿宋"/>
          <w:b/>
          <w:sz w:val="28"/>
          <w:szCs w:val="28"/>
          <w:highlight w:val="none"/>
        </w:rPr>
        <w:t>格式8 投标人针对本项目人员情况表</w:t>
      </w:r>
      <w:bookmarkEnd w:id="128"/>
    </w:p>
    <w:p w14:paraId="1651076C">
      <w:pPr>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投标人针对本项目人员情况表</w:t>
      </w:r>
    </w:p>
    <w:p w14:paraId="23BCB991">
      <w:pPr>
        <w:pStyle w:val="7"/>
        <w:tabs>
          <w:tab w:val="left" w:pos="702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p>
    <w:p w14:paraId="286A5A17">
      <w:pPr>
        <w:pStyle w:val="7"/>
        <w:tabs>
          <w:tab w:val="left" w:pos="756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22"/>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14:paraId="396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5537DF4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vAlign w:val="center"/>
          </w:tcPr>
          <w:p w14:paraId="14A0F1F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vAlign w:val="center"/>
          </w:tcPr>
          <w:p w14:paraId="6171F4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vAlign w:val="center"/>
          </w:tcPr>
          <w:p w14:paraId="1AA2D51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vAlign w:val="center"/>
          </w:tcPr>
          <w:p w14:paraId="211B24C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vAlign w:val="center"/>
          </w:tcPr>
          <w:p w14:paraId="3476D05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14:paraId="7975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72B559F2">
            <w:pPr>
              <w:spacing w:line="360" w:lineRule="auto"/>
              <w:jc w:val="center"/>
              <w:rPr>
                <w:rFonts w:hint="eastAsia" w:ascii="仿宋" w:hAnsi="仿宋" w:eastAsia="仿宋" w:cs="仿宋"/>
                <w:sz w:val="24"/>
                <w:szCs w:val="24"/>
                <w:highlight w:val="none"/>
              </w:rPr>
            </w:pPr>
          </w:p>
        </w:tc>
        <w:tc>
          <w:tcPr>
            <w:tcW w:w="1488" w:type="dxa"/>
            <w:vMerge w:val="continue"/>
            <w:vAlign w:val="center"/>
          </w:tcPr>
          <w:p w14:paraId="0BE7B3EE">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4D15C049">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1AA13572">
            <w:pPr>
              <w:spacing w:line="360" w:lineRule="auto"/>
              <w:jc w:val="center"/>
              <w:rPr>
                <w:rFonts w:hint="eastAsia" w:ascii="仿宋" w:hAnsi="仿宋" w:eastAsia="仿宋" w:cs="仿宋"/>
                <w:sz w:val="24"/>
                <w:szCs w:val="24"/>
                <w:highlight w:val="none"/>
              </w:rPr>
            </w:pPr>
          </w:p>
        </w:tc>
        <w:tc>
          <w:tcPr>
            <w:tcW w:w="1229" w:type="dxa"/>
            <w:vMerge w:val="continue"/>
            <w:vAlign w:val="center"/>
          </w:tcPr>
          <w:p w14:paraId="20806658">
            <w:pPr>
              <w:spacing w:line="360" w:lineRule="auto"/>
              <w:jc w:val="center"/>
              <w:rPr>
                <w:rFonts w:hint="eastAsia" w:ascii="仿宋" w:hAnsi="仿宋" w:eastAsia="仿宋" w:cs="仿宋"/>
                <w:sz w:val="24"/>
                <w:szCs w:val="24"/>
                <w:highlight w:val="none"/>
              </w:rPr>
            </w:pPr>
          </w:p>
        </w:tc>
        <w:tc>
          <w:tcPr>
            <w:tcW w:w="914" w:type="dxa"/>
            <w:vAlign w:val="center"/>
          </w:tcPr>
          <w:p w14:paraId="08291FD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14:paraId="2A93E05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vAlign w:val="center"/>
          </w:tcPr>
          <w:p w14:paraId="42C820F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vAlign w:val="center"/>
          </w:tcPr>
          <w:p w14:paraId="5FA52A2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vAlign w:val="center"/>
          </w:tcPr>
          <w:p w14:paraId="00D0E72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14:paraId="68A4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03ADF36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14:paraId="3A5AB74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37936E18">
            <w:pPr>
              <w:spacing w:line="360" w:lineRule="auto"/>
              <w:rPr>
                <w:rFonts w:hint="eastAsia" w:ascii="仿宋" w:hAnsi="仿宋" w:eastAsia="仿宋" w:cs="仿宋"/>
                <w:sz w:val="24"/>
                <w:szCs w:val="24"/>
                <w:highlight w:val="none"/>
              </w:rPr>
            </w:pPr>
          </w:p>
        </w:tc>
        <w:tc>
          <w:tcPr>
            <w:tcW w:w="914" w:type="dxa"/>
          </w:tcPr>
          <w:p w14:paraId="7D4F4E25">
            <w:pPr>
              <w:spacing w:line="360" w:lineRule="auto"/>
              <w:rPr>
                <w:rFonts w:hint="eastAsia" w:ascii="仿宋" w:hAnsi="仿宋" w:eastAsia="仿宋" w:cs="仿宋"/>
                <w:sz w:val="24"/>
                <w:szCs w:val="24"/>
                <w:highlight w:val="none"/>
              </w:rPr>
            </w:pPr>
          </w:p>
        </w:tc>
        <w:tc>
          <w:tcPr>
            <w:tcW w:w="914" w:type="dxa"/>
          </w:tcPr>
          <w:p w14:paraId="535672AC">
            <w:pPr>
              <w:spacing w:line="360" w:lineRule="auto"/>
              <w:rPr>
                <w:rFonts w:hint="eastAsia" w:ascii="仿宋" w:hAnsi="仿宋" w:eastAsia="仿宋" w:cs="仿宋"/>
                <w:sz w:val="24"/>
                <w:szCs w:val="24"/>
                <w:highlight w:val="none"/>
              </w:rPr>
            </w:pPr>
          </w:p>
        </w:tc>
        <w:tc>
          <w:tcPr>
            <w:tcW w:w="1229" w:type="dxa"/>
          </w:tcPr>
          <w:p w14:paraId="253B7F51">
            <w:pPr>
              <w:spacing w:line="360" w:lineRule="auto"/>
              <w:rPr>
                <w:rFonts w:hint="eastAsia" w:ascii="仿宋" w:hAnsi="仿宋" w:eastAsia="仿宋" w:cs="仿宋"/>
                <w:sz w:val="24"/>
                <w:szCs w:val="24"/>
                <w:highlight w:val="none"/>
              </w:rPr>
            </w:pPr>
          </w:p>
        </w:tc>
        <w:tc>
          <w:tcPr>
            <w:tcW w:w="914" w:type="dxa"/>
          </w:tcPr>
          <w:p w14:paraId="468AA040">
            <w:pPr>
              <w:spacing w:line="360" w:lineRule="auto"/>
              <w:rPr>
                <w:rFonts w:hint="eastAsia" w:ascii="仿宋" w:hAnsi="仿宋" w:eastAsia="仿宋" w:cs="仿宋"/>
                <w:sz w:val="24"/>
                <w:szCs w:val="24"/>
                <w:highlight w:val="none"/>
              </w:rPr>
            </w:pPr>
          </w:p>
        </w:tc>
        <w:tc>
          <w:tcPr>
            <w:tcW w:w="914" w:type="dxa"/>
          </w:tcPr>
          <w:p w14:paraId="26636CFB">
            <w:pPr>
              <w:spacing w:line="360" w:lineRule="auto"/>
              <w:rPr>
                <w:rFonts w:hint="eastAsia" w:ascii="仿宋" w:hAnsi="仿宋" w:eastAsia="仿宋" w:cs="仿宋"/>
                <w:sz w:val="24"/>
                <w:szCs w:val="24"/>
                <w:highlight w:val="none"/>
              </w:rPr>
            </w:pPr>
          </w:p>
        </w:tc>
        <w:tc>
          <w:tcPr>
            <w:tcW w:w="914" w:type="dxa"/>
          </w:tcPr>
          <w:p w14:paraId="095CA8C4">
            <w:pPr>
              <w:spacing w:line="360" w:lineRule="auto"/>
              <w:rPr>
                <w:rFonts w:hint="eastAsia" w:ascii="仿宋" w:hAnsi="仿宋" w:eastAsia="仿宋" w:cs="仿宋"/>
                <w:sz w:val="24"/>
                <w:szCs w:val="24"/>
                <w:highlight w:val="none"/>
              </w:rPr>
            </w:pPr>
          </w:p>
        </w:tc>
        <w:tc>
          <w:tcPr>
            <w:tcW w:w="914" w:type="dxa"/>
          </w:tcPr>
          <w:p w14:paraId="1C748211">
            <w:pPr>
              <w:spacing w:line="360" w:lineRule="auto"/>
              <w:rPr>
                <w:rFonts w:hint="eastAsia" w:ascii="仿宋" w:hAnsi="仿宋" w:eastAsia="仿宋" w:cs="仿宋"/>
                <w:sz w:val="24"/>
                <w:szCs w:val="24"/>
                <w:highlight w:val="none"/>
              </w:rPr>
            </w:pPr>
          </w:p>
        </w:tc>
      </w:tr>
      <w:tr w14:paraId="3A35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54F8E7EC">
            <w:pPr>
              <w:spacing w:line="360" w:lineRule="auto"/>
              <w:jc w:val="center"/>
              <w:rPr>
                <w:rFonts w:hint="eastAsia" w:ascii="仿宋" w:hAnsi="仿宋" w:eastAsia="仿宋" w:cs="仿宋"/>
                <w:sz w:val="24"/>
                <w:szCs w:val="24"/>
                <w:highlight w:val="none"/>
              </w:rPr>
            </w:pPr>
          </w:p>
        </w:tc>
        <w:tc>
          <w:tcPr>
            <w:tcW w:w="1488" w:type="dxa"/>
          </w:tcPr>
          <w:p w14:paraId="6DDCFAB0">
            <w:pPr>
              <w:spacing w:line="360" w:lineRule="auto"/>
              <w:rPr>
                <w:rFonts w:hint="eastAsia" w:ascii="仿宋" w:hAnsi="仿宋" w:eastAsia="仿宋" w:cs="仿宋"/>
                <w:sz w:val="24"/>
                <w:szCs w:val="24"/>
                <w:highlight w:val="none"/>
              </w:rPr>
            </w:pPr>
          </w:p>
        </w:tc>
        <w:tc>
          <w:tcPr>
            <w:tcW w:w="914" w:type="dxa"/>
          </w:tcPr>
          <w:p w14:paraId="7FD1462F">
            <w:pPr>
              <w:spacing w:line="360" w:lineRule="auto"/>
              <w:rPr>
                <w:rFonts w:hint="eastAsia" w:ascii="仿宋" w:hAnsi="仿宋" w:eastAsia="仿宋" w:cs="仿宋"/>
                <w:sz w:val="24"/>
                <w:szCs w:val="24"/>
                <w:highlight w:val="none"/>
              </w:rPr>
            </w:pPr>
          </w:p>
        </w:tc>
        <w:tc>
          <w:tcPr>
            <w:tcW w:w="914" w:type="dxa"/>
          </w:tcPr>
          <w:p w14:paraId="04A365B5">
            <w:pPr>
              <w:spacing w:line="360" w:lineRule="auto"/>
              <w:rPr>
                <w:rFonts w:hint="eastAsia" w:ascii="仿宋" w:hAnsi="仿宋" w:eastAsia="仿宋" w:cs="仿宋"/>
                <w:sz w:val="24"/>
                <w:szCs w:val="24"/>
                <w:highlight w:val="none"/>
              </w:rPr>
            </w:pPr>
          </w:p>
        </w:tc>
        <w:tc>
          <w:tcPr>
            <w:tcW w:w="1229" w:type="dxa"/>
          </w:tcPr>
          <w:p w14:paraId="1E3B7CD9">
            <w:pPr>
              <w:spacing w:line="360" w:lineRule="auto"/>
              <w:rPr>
                <w:rFonts w:hint="eastAsia" w:ascii="仿宋" w:hAnsi="仿宋" w:eastAsia="仿宋" w:cs="仿宋"/>
                <w:sz w:val="24"/>
                <w:szCs w:val="24"/>
                <w:highlight w:val="none"/>
              </w:rPr>
            </w:pPr>
          </w:p>
        </w:tc>
        <w:tc>
          <w:tcPr>
            <w:tcW w:w="914" w:type="dxa"/>
          </w:tcPr>
          <w:p w14:paraId="1073D0D2">
            <w:pPr>
              <w:spacing w:line="360" w:lineRule="auto"/>
              <w:rPr>
                <w:rFonts w:hint="eastAsia" w:ascii="仿宋" w:hAnsi="仿宋" w:eastAsia="仿宋" w:cs="仿宋"/>
                <w:sz w:val="24"/>
                <w:szCs w:val="24"/>
                <w:highlight w:val="none"/>
              </w:rPr>
            </w:pPr>
          </w:p>
        </w:tc>
        <w:tc>
          <w:tcPr>
            <w:tcW w:w="914" w:type="dxa"/>
          </w:tcPr>
          <w:p w14:paraId="3954DF2F">
            <w:pPr>
              <w:spacing w:line="360" w:lineRule="auto"/>
              <w:rPr>
                <w:rFonts w:hint="eastAsia" w:ascii="仿宋" w:hAnsi="仿宋" w:eastAsia="仿宋" w:cs="仿宋"/>
                <w:sz w:val="24"/>
                <w:szCs w:val="24"/>
                <w:highlight w:val="none"/>
              </w:rPr>
            </w:pPr>
          </w:p>
        </w:tc>
        <w:tc>
          <w:tcPr>
            <w:tcW w:w="914" w:type="dxa"/>
          </w:tcPr>
          <w:p w14:paraId="2CDC3BA0">
            <w:pPr>
              <w:spacing w:line="360" w:lineRule="auto"/>
              <w:rPr>
                <w:rFonts w:hint="eastAsia" w:ascii="仿宋" w:hAnsi="仿宋" w:eastAsia="仿宋" w:cs="仿宋"/>
                <w:sz w:val="24"/>
                <w:szCs w:val="24"/>
                <w:highlight w:val="none"/>
              </w:rPr>
            </w:pPr>
          </w:p>
        </w:tc>
        <w:tc>
          <w:tcPr>
            <w:tcW w:w="914" w:type="dxa"/>
          </w:tcPr>
          <w:p w14:paraId="6A707D80">
            <w:pPr>
              <w:spacing w:line="360" w:lineRule="auto"/>
              <w:rPr>
                <w:rFonts w:hint="eastAsia" w:ascii="仿宋" w:hAnsi="仿宋" w:eastAsia="仿宋" w:cs="仿宋"/>
                <w:sz w:val="24"/>
                <w:szCs w:val="24"/>
                <w:highlight w:val="none"/>
              </w:rPr>
            </w:pPr>
          </w:p>
        </w:tc>
      </w:tr>
      <w:tr w14:paraId="08D5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6A2C02F">
            <w:pPr>
              <w:spacing w:line="360" w:lineRule="auto"/>
              <w:jc w:val="center"/>
              <w:rPr>
                <w:rFonts w:hint="eastAsia" w:ascii="仿宋" w:hAnsi="仿宋" w:eastAsia="仿宋" w:cs="仿宋"/>
                <w:sz w:val="24"/>
                <w:szCs w:val="24"/>
                <w:highlight w:val="none"/>
              </w:rPr>
            </w:pPr>
          </w:p>
        </w:tc>
        <w:tc>
          <w:tcPr>
            <w:tcW w:w="1488" w:type="dxa"/>
          </w:tcPr>
          <w:p w14:paraId="7927309D">
            <w:pPr>
              <w:spacing w:line="360" w:lineRule="auto"/>
              <w:rPr>
                <w:rFonts w:hint="eastAsia" w:ascii="仿宋" w:hAnsi="仿宋" w:eastAsia="仿宋" w:cs="仿宋"/>
                <w:sz w:val="24"/>
                <w:szCs w:val="24"/>
                <w:highlight w:val="none"/>
              </w:rPr>
            </w:pPr>
          </w:p>
        </w:tc>
        <w:tc>
          <w:tcPr>
            <w:tcW w:w="914" w:type="dxa"/>
          </w:tcPr>
          <w:p w14:paraId="421CA46B">
            <w:pPr>
              <w:spacing w:line="360" w:lineRule="auto"/>
              <w:rPr>
                <w:rFonts w:hint="eastAsia" w:ascii="仿宋" w:hAnsi="仿宋" w:eastAsia="仿宋" w:cs="仿宋"/>
                <w:sz w:val="24"/>
                <w:szCs w:val="24"/>
                <w:highlight w:val="none"/>
              </w:rPr>
            </w:pPr>
          </w:p>
        </w:tc>
        <w:tc>
          <w:tcPr>
            <w:tcW w:w="914" w:type="dxa"/>
          </w:tcPr>
          <w:p w14:paraId="03F2B389">
            <w:pPr>
              <w:spacing w:line="360" w:lineRule="auto"/>
              <w:rPr>
                <w:rFonts w:hint="eastAsia" w:ascii="仿宋" w:hAnsi="仿宋" w:eastAsia="仿宋" w:cs="仿宋"/>
                <w:sz w:val="24"/>
                <w:szCs w:val="24"/>
                <w:highlight w:val="none"/>
              </w:rPr>
            </w:pPr>
          </w:p>
        </w:tc>
        <w:tc>
          <w:tcPr>
            <w:tcW w:w="1229" w:type="dxa"/>
          </w:tcPr>
          <w:p w14:paraId="5684D888">
            <w:pPr>
              <w:spacing w:line="360" w:lineRule="auto"/>
              <w:rPr>
                <w:rFonts w:hint="eastAsia" w:ascii="仿宋" w:hAnsi="仿宋" w:eastAsia="仿宋" w:cs="仿宋"/>
                <w:sz w:val="24"/>
                <w:szCs w:val="24"/>
                <w:highlight w:val="none"/>
              </w:rPr>
            </w:pPr>
          </w:p>
        </w:tc>
        <w:tc>
          <w:tcPr>
            <w:tcW w:w="914" w:type="dxa"/>
          </w:tcPr>
          <w:p w14:paraId="0447B592">
            <w:pPr>
              <w:spacing w:line="360" w:lineRule="auto"/>
              <w:rPr>
                <w:rFonts w:hint="eastAsia" w:ascii="仿宋" w:hAnsi="仿宋" w:eastAsia="仿宋" w:cs="仿宋"/>
                <w:sz w:val="24"/>
                <w:szCs w:val="24"/>
                <w:highlight w:val="none"/>
              </w:rPr>
            </w:pPr>
          </w:p>
        </w:tc>
        <w:tc>
          <w:tcPr>
            <w:tcW w:w="914" w:type="dxa"/>
          </w:tcPr>
          <w:p w14:paraId="1525F78B">
            <w:pPr>
              <w:spacing w:line="360" w:lineRule="auto"/>
              <w:rPr>
                <w:rFonts w:hint="eastAsia" w:ascii="仿宋" w:hAnsi="仿宋" w:eastAsia="仿宋" w:cs="仿宋"/>
                <w:sz w:val="24"/>
                <w:szCs w:val="24"/>
                <w:highlight w:val="none"/>
              </w:rPr>
            </w:pPr>
          </w:p>
        </w:tc>
        <w:tc>
          <w:tcPr>
            <w:tcW w:w="914" w:type="dxa"/>
          </w:tcPr>
          <w:p w14:paraId="417633D8">
            <w:pPr>
              <w:spacing w:line="360" w:lineRule="auto"/>
              <w:rPr>
                <w:rFonts w:hint="eastAsia" w:ascii="仿宋" w:hAnsi="仿宋" w:eastAsia="仿宋" w:cs="仿宋"/>
                <w:sz w:val="24"/>
                <w:szCs w:val="24"/>
                <w:highlight w:val="none"/>
              </w:rPr>
            </w:pPr>
          </w:p>
        </w:tc>
        <w:tc>
          <w:tcPr>
            <w:tcW w:w="914" w:type="dxa"/>
          </w:tcPr>
          <w:p w14:paraId="5EAD854C">
            <w:pPr>
              <w:spacing w:line="360" w:lineRule="auto"/>
              <w:rPr>
                <w:rFonts w:hint="eastAsia" w:ascii="仿宋" w:hAnsi="仿宋" w:eastAsia="仿宋" w:cs="仿宋"/>
                <w:sz w:val="24"/>
                <w:szCs w:val="24"/>
                <w:highlight w:val="none"/>
              </w:rPr>
            </w:pPr>
          </w:p>
        </w:tc>
      </w:tr>
      <w:tr w14:paraId="4600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14E0AD6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14:paraId="52A4FE0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723F4311">
            <w:pPr>
              <w:spacing w:line="360" w:lineRule="auto"/>
              <w:rPr>
                <w:rFonts w:hint="eastAsia" w:ascii="仿宋" w:hAnsi="仿宋" w:eastAsia="仿宋" w:cs="仿宋"/>
                <w:sz w:val="24"/>
                <w:szCs w:val="24"/>
                <w:highlight w:val="none"/>
              </w:rPr>
            </w:pPr>
          </w:p>
        </w:tc>
        <w:tc>
          <w:tcPr>
            <w:tcW w:w="914" w:type="dxa"/>
          </w:tcPr>
          <w:p w14:paraId="5528D73A">
            <w:pPr>
              <w:spacing w:line="360" w:lineRule="auto"/>
              <w:rPr>
                <w:rFonts w:hint="eastAsia" w:ascii="仿宋" w:hAnsi="仿宋" w:eastAsia="仿宋" w:cs="仿宋"/>
                <w:sz w:val="24"/>
                <w:szCs w:val="24"/>
                <w:highlight w:val="none"/>
              </w:rPr>
            </w:pPr>
          </w:p>
        </w:tc>
        <w:tc>
          <w:tcPr>
            <w:tcW w:w="914" w:type="dxa"/>
          </w:tcPr>
          <w:p w14:paraId="64DA46D7">
            <w:pPr>
              <w:spacing w:line="360" w:lineRule="auto"/>
              <w:rPr>
                <w:rFonts w:hint="eastAsia" w:ascii="仿宋" w:hAnsi="仿宋" w:eastAsia="仿宋" w:cs="仿宋"/>
                <w:sz w:val="24"/>
                <w:szCs w:val="24"/>
                <w:highlight w:val="none"/>
              </w:rPr>
            </w:pPr>
          </w:p>
        </w:tc>
        <w:tc>
          <w:tcPr>
            <w:tcW w:w="1229" w:type="dxa"/>
          </w:tcPr>
          <w:p w14:paraId="4D16DEC7">
            <w:pPr>
              <w:spacing w:line="360" w:lineRule="auto"/>
              <w:rPr>
                <w:rFonts w:hint="eastAsia" w:ascii="仿宋" w:hAnsi="仿宋" w:eastAsia="仿宋" w:cs="仿宋"/>
                <w:sz w:val="24"/>
                <w:szCs w:val="24"/>
                <w:highlight w:val="none"/>
              </w:rPr>
            </w:pPr>
          </w:p>
        </w:tc>
        <w:tc>
          <w:tcPr>
            <w:tcW w:w="914" w:type="dxa"/>
          </w:tcPr>
          <w:p w14:paraId="1A5AAFD8">
            <w:pPr>
              <w:spacing w:line="360" w:lineRule="auto"/>
              <w:rPr>
                <w:rFonts w:hint="eastAsia" w:ascii="仿宋" w:hAnsi="仿宋" w:eastAsia="仿宋" w:cs="仿宋"/>
                <w:sz w:val="24"/>
                <w:szCs w:val="24"/>
                <w:highlight w:val="none"/>
              </w:rPr>
            </w:pPr>
          </w:p>
        </w:tc>
        <w:tc>
          <w:tcPr>
            <w:tcW w:w="914" w:type="dxa"/>
          </w:tcPr>
          <w:p w14:paraId="7B74CD28">
            <w:pPr>
              <w:spacing w:line="360" w:lineRule="auto"/>
              <w:rPr>
                <w:rFonts w:hint="eastAsia" w:ascii="仿宋" w:hAnsi="仿宋" w:eastAsia="仿宋" w:cs="仿宋"/>
                <w:sz w:val="24"/>
                <w:szCs w:val="24"/>
                <w:highlight w:val="none"/>
              </w:rPr>
            </w:pPr>
          </w:p>
        </w:tc>
        <w:tc>
          <w:tcPr>
            <w:tcW w:w="914" w:type="dxa"/>
          </w:tcPr>
          <w:p w14:paraId="78479798">
            <w:pPr>
              <w:spacing w:line="360" w:lineRule="auto"/>
              <w:rPr>
                <w:rFonts w:hint="eastAsia" w:ascii="仿宋" w:hAnsi="仿宋" w:eastAsia="仿宋" w:cs="仿宋"/>
                <w:sz w:val="24"/>
                <w:szCs w:val="24"/>
                <w:highlight w:val="none"/>
              </w:rPr>
            </w:pPr>
          </w:p>
        </w:tc>
        <w:tc>
          <w:tcPr>
            <w:tcW w:w="914" w:type="dxa"/>
          </w:tcPr>
          <w:p w14:paraId="519F284B">
            <w:pPr>
              <w:spacing w:line="360" w:lineRule="auto"/>
              <w:rPr>
                <w:rFonts w:hint="eastAsia" w:ascii="仿宋" w:hAnsi="仿宋" w:eastAsia="仿宋" w:cs="仿宋"/>
                <w:sz w:val="24"/>
                <w:szCs w:val="24"/>
                <w:highlight w:val="none"/>
              </w:rPr>
            </w:pPr>
          </w:p>
        </w:tc>
      </w:tr>
      <w:tr w14:paraId="32D8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9823D67">
            <w:pPr>
              <w:spacing w:line="360" w:lineRule="auto"/>
              <w:jc w:val="center"/>
              <w:rPr>
                <w:rFonts w:hint="eastAsia" w:ascii="仿宋" w:hAnsi="仿宋" w:eastAsia="仿宋" w:cs="仿宋"/>
                <w:sz w:val="24"/>
                <w:szCs w:val="24"/>
                <w:highlight w:val="none"/>
              </w:rPr>
            </w:pPr>
          </w:p>
        </w:tc>
        <w:tc>
          <w:tcPr>
            <w:tcW w:w="1488" w:type="dxa"/>
          </w:tcPr>
          <w:p w14:paraId="24A5D185">
            <w:pPr>
              <w:spacing w:line="360" w:lineRule="auto"/>
              <w:rPr>
                <w:rFonts w:hint="eastAsia" w:ascii="仿宋" w:hAnsi="仿宋" w:eastAsia="仿宋" w:cs="仿宋"/>
                <w:sz w:val="24"/>
                <w:szCs w:val="24"/>
                <w:highlight w:val="none"/>
              </w:rPr>
            </w:pPr>
          </w:p>
        </w:tc>
        <w:tc>
          <w:tcPr>
            <w:tcW w:w="914" w:type="dxa"/>
          </w:tcPr>
          <w:p w14:paraId="482FCB9C">
            <w:pPr>
              <w:spacing w:line="360" w:lineRule="auto"/>
              <w:rPr>
                <w:rFonts w:hint="eastAsia" w:ascii="仿宋" w:hAnsi="仿宋" w:eastAsia="仿宋" w:cs="仿宋"/>
                <w:sz w:val="24"/>
                <w:szCs w:val="24"/>
                <w:highlight w:val="none"/>
              </w:rPr>
            </w:pPr>
          </w:p>
        </w:tc>
        <w:tc>
          <w:tcPr>
            <w:tcW w:w="914" w:type="dxa"/>
          </w:tcPr>
          <w:p w14:paraId="64D07800">
            <w:pPr>
              <w:spacing w:line="360" w:lineRule="auto"/>
              <w:rPr>
                <w:rFonts w:hint="eastAsia" w:ascii="仿宋" w:hAnsi="仿宋" w:eastAsia="仿宋" w:cs="仿宋"/>
                <w:sz w:val="24"/>
                <w:szCs w:val="24"/>
                <w:highlight w:val="none"/>
              </w:rPr>
            </w:pPr>
          </w:p>
        </w:tc>
        <w:tc>
          <w:tcPr>
            <w:tcW w:w="1229" w:type="dxa"/>
          </w:tcPr>
          <w:p w14:paraId="58236FE0">
            <w:pPr>
              <w:spacing w:line="360" w:lineRule="auto"/>
              <w:rPr>
                <w:rFonts w:hint="eastAsia" w:ascii="仿宋" w:hAnsi="仿宋" w:eastAsia="仿宋" w:cs="仿宋"/>
                <w:sz w:val="24"/>
                <w:szCs w:val="24"/>
                <w:highlight w:val="none"/>
              </w:rPr>
            </w:pPr>
          </w:p>
        </w:tc>
        <w:tc>
          <w:tcPr>
            <w:tcW w:w="914" w:type="dxa"/>
          </w:tcPr>
          <w:p w14:paraId="38AF5CA0">
            <w:pPr>
              <w:spacing w:line="360" w:lineRule="auto"/>
              <w:rPr>
                <w:rFonts w:hint="eastAsia" w:ascii="仿宋" w:hAnsi="仿宋" w:eastAsia="仿宋" w:cs="仿宋"/>
                <w:sz w:val="24"/>
                <w:szCs w:val="24"/>
                <w:highlight w:val="none"/>
              </w:rPr>
            </w:pPr>
          </w:p>
        </w:tc>
        <w:tc>
          <w:tcPr>
            <w:tcW w:w="914" w:type="dxa"/>
          </w:tcPr>
          <w:p w14:paraId="74E994AA">
            <w:pPr>
              <w:spacing w:line="360" w:lineRule="auto"/>
              <w:rPr>
                <w:rFonts w:hint="eastAsia" w:ascii="仿宋" w:hAnsi="仿宋" w:eastAsia="仿宋" w:cs="仿宋"/>
                <w:sz w:val="24"/>
                <w:szCs w:val="24"/>
                <w:highlight w:val="none"/>
              </w:rPr>
            </w:pPr>
          </w:p>
        </w:tc>
        <w:tc>
          <w:tcPr>
            <w:tcW w:w="914" w:type="dxa"/>
          </w:tcPr>
          <w:p w14:paraId="1C8F3351">
            <w:pPr>
              <w:spacing w:line="360" w:lineRule="auto"/>
              <w:rPr>
                <w:rFonts w:hint="eastAsia" w:ascii="仿宋" w:hAnsi="仿宋" w:eastAsia="仿宋" w:cs="仿宋"/>
                <w:sz w:val="24"/>
                <w:szCs w:val="24"/>
                <w:highlight w:val="none"/>
              </w:rPr>
            </w:pPr>
          </w:p>
        </w:tc>
        <w:tc>
          <w:tcPr>
            <w:tcW w:w="914" w:type="dxa"/>
          </w:tcPr>
          <w:p w14:paraId="7625F138">
            <w:pPr>
              <w:spacing w:line="360" w:lineRule="auto"/>
              <w:rPr>
                <w:rFonts w:hint="eastAsia" w:ascii="仿宋" w:hAnsi="仿宋" w:eastAsia="仿宋" w:cs="仿宋"/>
                <w:sz w:val="24"/>
                <w:szCs w:val="24"/>
                <w:highlight w:val="none"/>
              </w:rPr>
            </w:pPr>
          </w:p>
        </w:tc>
      </w:tr>
      <w:tr w14:paraId="76E6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76CAF604">
            <w:pPr>
              <w:spacing w:line="360" w:lineRule="auto"/>
              <w:jc w:val="center"/>
              <w:rPr>
                <w:rFonts w:hint="eastAsia" w:ascii="仿宋" w:hAnsi="仿宋" w:eastAsia="仿宋" w:cs="仿宋"/>
                <w:sz w:val="24"/>
                <w:szCs w:val="24"/>
                <w:highlight w:val="none"/>
              </w:rPr>
            </w:pPr>
          </w:p>
        </w:tc>
        <w:tc>
          <w:tcPr>
            <w:tcW w:w="1488" w:type="dxa"/>
          </w:tcPr>
          <w:p w14:paraId="0AEB90AD">
            <w:pPr>
              <w:spacing w:line="360" w:lineRule="auto"/>
              <w:rPr>
                <w:rFonts w:hint="eastAsia" w:ascii="仿宋" w:hAnsi="仿宋" w:eastAsia="仿宋" w:cs="仿宋"/>
                <w:sz w:val="24"/>
                <w:szCs w:val="24"/>
                <w:highlight w:val="none"/>
              </w:rPr>
            </w:pPr>
          </w:p>
        </w:tc>
        <w:tc>
          <w:tcPr>
            <w:tcW w:w="914" w:type="dxa"/>
          </w:tcPr>
          <w:p w14:paraId="1457CD9F">
            <w:pPr>
              <w:spacing w:line="360" w:lineRule="auto"/>
              <w:rPr>
                <w:rFonts w:hint="eastAsia" w:ascii="仿宋" w:hAnsi="仿宋" w:eastAsia="仿宋" w:cs="仿宋"/>
                <w:sz w:val="24"/>
                <w:szCs w:val="24"/>
                <w:highlight w:val="none"/>
              </w:rPr>
            </w:pPr>
          </w:p>
        </w:tc>
        <w:tc>
          <w:tcPr>
            <w:tcW w:w="914" w:type="dxa"/>
          </w:tcPr>
          <w:p w14:paraId="4C134C1D">
            <w:pPr>
              <w:spacing w:line="360" w:lineRule="auto"/>
              <w:rPr>
                <w:rFonts w:hint="eastAsia" w:ascii="仿宋" w:hAnsi="仿宋" w:eastAsia="仿宋" w:cs="仿宋"/>
                <w:sz w:val="24"/>
                <w:szCs w:val="24"/>
                <w:highlight w:val="none"/>
              </w:rPr>
            </w:pPr>
          </w:p>
        </w:tc>
        <w:tc>
          <w:tcPr>
            <w:tcW w:w="1229" w:type="dxa"/>
          </w:tcPr>
          <w:p w14:paraId="202C02D2">
            <w:pPr>
              <w:spacing w:line="360" w:lineRule="auto"/>
              <w:rPr>
                <w:rFonts w:hint="eastAsia" w:ascii="仿宋" w:hAnsi="仿宋" w:eastAsia="仿宋" w:cs="仿宋"/>
                <w:sz w:val="24"/>
                <w:szCs w:val="24"/>
                <w:highlight w:val="none"/>
              </w:rPr>
            </w:pPr>
          </w:p>
        </w:tc>
        <w:tc>
          <w:tcPr>
            <w:tcW w:w="914" w:type="dxa"/>
          </w:tcPr>
          <w:p w14:paraId="5E7ED12A">
            <w:pPr>
              <w:spacing w:line="360" w:lineRule="auto"/>
              <w:rPr>
                <w:rFonts w:hint="eastAsia" w:ascii="仿宋" w:hAnsi="仿宋" w:eastAsia="仿宋" w:cs="仿宋"/>
                <w:sz w:val="24"/>
                <w:szCs w:val="24"/>
                <w:highlight w:val="none"/>
              </w:rPr>
            </w:pPr>
          </w:p>
        </w:tc>
        <w:tc>
          <w:tcPr>
            <w:tcW w:w="914" w:type="dxa"/>
          </w:tcPr>
          <w:p w14:paraId="343104BB">
            <w:pPr>
              <w:spacing w:line="360" w:lineRule="auto"/>
              <w:rPr>
                <w:rFonts w:hint="eastAsia" w:ascii="仿宋" w:hAnsi="仿宋" w:eastAsia="仿宋" w:cs="仿宋"/>
                <w:sz w:val="24"/>
                <w:szCs w:val="24"/>
                <w:highlight w:val="none"/>
              </w:rPr>
            </w:pPr>
          </w:p>
        </w:tc>
        <w:tc>
          <w:tcPr>
            <w:tcW w:w="914" w:type="dxa"/>
          </w:tcPr>
          <w:p w14:paraId="09C0F727">
            <w:pPr>
              <w:spacing w:line="360" w:lineRule="auto"/>
              <w:rPr>
                <w:rFonts w:hint="eastAsia" w:ascii="仿宋" w:hAnsi="仿宋" w:eastAsia="仿宋" w:cs="仿宋"/>
                <w:sz w:val="24"/>
                <w:szCs w:val="24"/>
                <w:highlight w:val="none"/>
              </w:rPr>
            </w:pPr>
          </w:p>
        </w:tc>
        <w:tc>
          <w:tcPr>
            <w:tcW w:w="914" w:type="dxa"/>
          </w:tcPr>
          <w:p w14:paraId="0560D76D">
            <w:pPr>
              <w:spacing w:line="360" w:lineRule="auto"/>
              <w:rPr>
                <w:rFonts w:hint="eastAsia" w:ascii="仿宋" w:hAnsi="仿宋" w:eastAsia="仿宋" w:cs="仿宋"/>
                <w:sz w:val="24"/>
                <w:szCs w:val="24"/>
                <w:highlight w:val="none"/>
              </w:rPr>
            </w:pPr>
          </w:p>
        </w:tc>
      </w:tr>
      <w:tr w14:paraId="5660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4F21EC0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14:paraId="5916A74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tcPr>
          <w:p w14:paraId="6A1BA9EF">
            <w:pPr>
              <w:spacing w:line="360" w:lineRule="auto"/>
              <w:rPr>
                <w:rFonts w:hint="eastAsia" w:ascii="仿宋" w:hAnsi="仿宋" w:eastAsia="仿宋" w:cs="仿宋"/>
                <w:sz w:val="24"/>
                <w:szCs w:val="24"/>
                <w:highlight w:val="none"/>
              </w:rPr>
            </w:pPr>
          </w:p>
        </w:tc>
        <w:tc>
          <w:tcPr>
            <w:tcW w:w="914" w:type="dxa"/>
          </w:tcPr>
          <w:p w14:paraId="055DAEC9">
            <w:pPr>
              <w:spacing w:line="360" w:lineRule="auto"/>
              <w:rPr>
                <w:rFonts w:hint="eastAsia" w:ascii="仿宋" w:hAnsi="仿宋" w:eastAsia="仿宋" w:cs="仿宋"/>
                <w:sz w:val="24"/>
                <w:szCs w:val="24"/>
                <w:highlight w:val="none"/>
              </w:rPr>
            </w:pPr>
          </w:p>
        </w:tc>
        <w:tc>
          <w:tcPr>
            <w:tcW w:w="914" w:type="dxa"/>
          </w:tcPr>
          <w:p w14:paraId="5710402E">
            <w:pPr>
              <w:spacing w:line="360" w:lineRule="auto"/>
              <w:rPr>
                <w:rFonts w:hint="eastAsia" w:ascii="仿宋" w:hAnsi="仿宋" w:eastAsia="仿宋" w:cs="仿宋"/>
                <w:sz w:val="24"/>
                <w:szCs w:val="24"/>
                <w:highlight w:val="none"/>
              </w:rPr>
            </w:pPr>
          </w:p>
        </w:tc>
        <w:tc>
          <w:tcPr>
            <w:tcW w:w="1229" w:type="dxa"/>
          </w:tcPr>
          <w:p w14:paraId="7CC78C1B">
            <w:pPr>
              <w:spacing w:line="360" w:lineRule="auto"/>
              <w:rPr>
                <w:rFonts w:hint="eastAsia" w:ascii="仿宋" w:hAnsi="仿宋" w:eastAsia="仿宋" w:cs="仿宋"/>
                <w:sz w:val="24"/>
                <w:szCs w:val="24"/>
                <w:highlight w:val="none"/>
              </w:rPr>
            </w:pPr>
          </w:p>
        </w:tc>
        <w:tc>
          <w:tcPr>
            <w:tcW w:w="914" w:type="dxa"/>
          </w:tcPr>
          <w:p w14:paraId="4F910144">
            <w:pPr>
              <w:spacing w:line="360" w:lineRule="auto"/>
              <w:rPr>
                <w:rFonts w:hint="eastAsia" w:ascii="仿宋" w:hAnsi="仿宋" w:eastAsia="仿宋" w:cs="仿宋"/>
                <w:sz w:val="24"/>
                <w:szCs w:val="24"/>
                <w:highlight w:val="none"/>
              </w:rPr>
            </w:pPr>
          </w:p>
        </w:tc>
        <w:tc>
          <w:tcPr>
            <w:tcW w:w="914" w:type="dxa"/>
          </w:tcPr>
          <w:p w14:paraId="574F9952">
            <w:pPr>
              <w:spacing w:line="360" w:lineRule="auto"/>
              <w:rPr>
                <w:rFonts w:hint="eastAsia" w:ascii="仿宋" w:hAnsi="仿宋" w:eastAsia="仿宋" w:cs="仿宋"/>
                <w:sz w:val="24"/>
                <w:szCs w:val="24"/>
                <w:highlight w:val="none"/>
              </w:rPr>
            </w:pPr>
          </w:p>
        </w:tc>
        <w:tc>
          <w:tcPr>
            <w:tcW w:w="914" w:type="dxa"/>
          </w:tcPr>
          <w:p w14:paraId="1C95F3CC">
            <w:pPr>
              <w:spacing w:line="360" w:lineRule="auto"/>
              <w:rPr>
                <w:rFonts w:hint="eastAsia" w:ascii="仿宋" w:hAnsi="仿宋" w:eastAsia="仿宋" w:cs="仿宋"/>
                <w:sz w:val="24"/>
                <w:szCs w:val="24"/>
                <w:highlight w:val="none"/>
              </w:rPr>
            </w:pPr>
          </w:p>
        </w:tc>
        <w:tc>
          <w:tcPr>
            <w:tcW w:w="914" w:type="dxa"/>
          </w:tcPr>
          <w:p w14:paraId="62AFFCCF">
            <w:pPr>
              <w:spacing w:line="360" w:lineRule="auto"/>
              <w:rPr>
                <w:rFonts w:hint="eastAsia" w:ascii="仿宋" w:hAnsi="仿宋" w:eastAsia="仿宋" w:cs="仿宋"/>
                <w:sz w:val="24"/>
                <w:szCs w:val="24"/>
                <w:highlight w:val="none"/>
              </w:rPr>
            </w:pPr>
          </w:p>
        </w:tc>
      </w:tr>
      <w:tr w14:paraId="6B4C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4274833D">
            <w:pPr>
              <w:spacing w:line="360" w:lineRule="auto"/>
              <w:rPr>
                <w:rFonts w:hint="eastAsia" w:ascii="仿宋" w:hAnsi="仿宋" w:eastAsia="仿宋" w:cs="仿宋"/>
                <w:sz w:val="24"/>
                <w:szCs w:val="24"/>
                <w:highlight w:val="none"/>
              </w:rPr>
            </w:pPr>
          </w:p>
        </w:tc>
        <w:tc>
          <w:tcPr>
            <w:tcW w:w="1488" w:type="dxa"/>
          </w:tcPr>
          <w:p w14:paraId="4CF1F775">
            <w:pPr>
              <w:spacing w:line="360" w:lineRule="auto"/>
              <w:rPr>
                <w:rFonts w:hint="eastAsia" w:ascii="仿宋" w:hAnsi="仿宋" w:eastAsia="仿宋" w:cs="仿宋"/>
                <w:sz w:val="24"/>
                <w:szCs w:val="24"/>
                <w:highlight w:val="none"/>
              </w:rPr>
            </w:pPr>
          </w:p>
        </w:tc>
        <w:tc>
          <w:tcPr>
            <w:tcW w:w="914" w:type="dxa"/>
          </w:tcPr>
          <w:p w14:paraId="3443E902">
            <w:pPr>
              <w:spacing w:line="360" w:lineRule="auto"/>
              <w:rPr>
                <w:rFonts w:hint="eastAsia" w:ascii="仿宋" w:hAnsi="仿宋" w:eastAsia="仿宋" w:cs="仿宋"/>
                <w:sz w:val="24"/>
                <w:szCs w:val="24"/>
                <w:highlight w:val="none"/>
              </w:rPr>
            </w:pPr>
          </w:p>
        </w:tc>
        <w:tc>
          <w:tcPr>
            <w:tcW w:w="914" w:type="dxa"/>
          </w:tcPr>
          <w:p w14:paraId="1923A45B">
            <w:pPr>
              <w:spacing w:line="360" w:lineRule="auto"/>
              <w:rPr>
                <w:rFonts w:hint="eastAsia" w:ascii="仿宋" w:hAnsi="仿宋" w:eastAsia="仿宋" w:cs="仿宋"/>
                <w:sz w:val="24"/>
                <w:szCs w:val="24"/>
                <w:highlight w:val="none"/>
              </w:rPr>
            </w:pPr>
          </w:p>
        </w:tc>
        <w:tc>
          <w:tcPr>
            <w:tcW w:w="1229" w:type="dxa"/>
          </w:tcPr>
          <w:p w14:paraId="48824C43">
            <w:pPr>
              <w:spacing w:line="360" w:lineRule="auto"/>
              <w:rPr>
                <w:rFonts w:hint="eastAsia" w:ascii="仿宋" w:hAnsi="仿宋" w:eastAsia="仿宋" w:cs="仿宋"/>
                <w:sz w:val="24"/>
                <w:szCs w:val="24"/>
                <w:highlight w:val="none"/>
              </w:rPr>
            </w:pPr>
          </w:p>
        </w:tc>
        <w:tc>
          <w:tcPr>
            <w:tcW w:w="914" w:type="dxa"/>
          </w:tcPr>
          <w:p w14:paraId="59429484">
            <w:pPr>
              <w:spacing w:line="360" w:lineRule="auto"/>
              <w:rPr>
                <w:rFonts w:hint="eastAsia" w:ascii="仿宋" w:hAnsi="仿宋" w:eastAsia="仿宋" w:cs="仿宋"/>
                <w:sz w:val="24"/>
                <w:szCs w:val="24"/>
                <w:highlight w:val="none"/>
              </w:rPr>
            </w:pPr>
          </w:p>
        </w:tc>
        <w:tc>
          <w:tcPr>
            <w:tcW w:w="914" w:type="dxa"/>
          </w:tcPr>
          <w:p w14:paraId="2330B5CE">
            <w:pPr>
              <w:spacing w:line="360" w:lineRule="auto"/>
              <w:rPr>
                <w:rFonts w:hint="eastAsia" w:ascii="仿宋" w:hAnsi="仿宋" w:eastAsia="仿宋" w:cs="仿宋"/>
                <w:sz w:val="24"/>
                <w:szCs w:val="24"/>
                <w:highlight w:val="none"/>
              </w:rPr>
            </w:pPr>
          </w:p>
        </w:tc>
        <w:tc>
          <w:tcPr>
            <w:tcW w:w="914" w:type="dxa"/>
          </w:tcPr>
          <w:p w14:paraId="7340443B">
            <w:pPr>
              <w:spacing w:line="360" w:lineRule="auto"/>
              <w:rPr>
                <w:rFonts w:hint="eastAsia" w:ascii="仿宋" w:hAnsi="仿宋" w:eastAsia="仿宋" w:cs="仿宋"/>
                <w:sz w:val="24"/>
                <w:szCs w:val="24"/>
                <w:highlight w:val="none"/>
              </w:rPr>
            </w:pPr>
          </w:p>
        </w:tc>
        <w:tc>
          <w:tcPr>
            <w:tcW w:w="914" w:type="dxa"/>
          </w:tcPr>
          <w:p w14:paraId="0A265C25">
            <w:pPr>
              <w:spacing w:line="360" w:lineRule="auto"/>
              <w:rPr>
                <w:rFonts w:hint="eastAsia" w:ascii="仿宋" w:hAnsi="仿宋" w:eastAsia="仿宋" w:cs="仿宋"/>
                <w:sz w:val="24"/>
                <w:szCs w:val="24"/>
                <w:highlight w:val="none"/>
              </w:rPr>
            </w:pPr>
          </w:p>
        </w:tc>
      </w:tr>
      <w:tr w14:paraId="44C4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0EED6174">
            <w:pPr>
              <w:spacing w:line="360" w:lineRule="auto"/>
              <w:rPr>
                <w:rFonts w:hint="eastAsia" w:ascii="仿宋" w:hAnsi="仿宋" w:eastAsia="仿宋" w:cs="仿宋"/>
                <w:sz w:val="24"/>
                <w:szCs w:val="24"/>
                <w:highlight w:val="none"/>
              </w:rPr>
            </w:pPr>
          </w:p>
        </w:tc>
        <w:tc>
          <w:tcPr>
            <w:tcW w:w="1488" w:type="dxa"/>
          </w:tcPr>
          <w:p w14:paraId="35EF2738">
            <w:pPr>
              <w:spacing w:line="360" w:lineRule="auto"/>
              <w:rPr>
                <w:rFonts w:hint="eastAsia" w:ascii="仿宋" w:hAnsi="仿宋" w:eastAsia="仿宋" w:cs="仿宋"/>
                <w:sz w:val="24"/>
                <w:szCs w:val="24"/>
                <w:highlight w:val="none"/>
              </w:rPr>
            </w:pPr>
          </w:p>
        </w:tc>
        <w:tc>
          <w:tcPr>
            <w:tcW w:w="914" w:type="dxa"/>
          </w:tcPr>
          <w:p w14:paraId="656EE229">
            <w:pPr>
              <w:spacing w:line="360" w:lineRule="auto"/>
              <w:rPr>
                <w:rFonts w:hint="eastAsia" w:ascii="仿宋" w:hAnsi="仿宋" w:eastAsia="仿宋" w:cs="仿宋"/>
                <w:sz w:val="24"/>
                <w:szCs w:val="24"/>
                <w:highlight w:val="none"/>
              </w:rPr>
            </w:pPr>
          </w:p>
        </w:tc>
        <w:tc>
          <w:tcPr>
            <w:tcW w:w="914" w:type="dxa"/>
          </w:tcPr>
          <w:p w14:paraId="58FB44FC">
            <w:pPr>
              <w:spacing w:line="360" w:lineRule="auto"/>
              <w:rPr>
                <w:rFonts w:hint="eastAsia" w:ascii="仿宋" w:hAnsi="仿宋" w:eastAsia="仿宋" w:cs="仿宋"/>
                <w:sz w:val="24"/>
                <w:szCs w:val="24"/>
                <w:highlight w:val="none"/>
              </w:rPr>
            </w:pPr>
          </w:p>
        </w:tc>
        <w:tc>
          <w:tcPr>
            <w:tcW w:w="1229" w:type="dxa"/>
          </w:tcPr>
          <w:p w14:paraId="7CF31CE9">
            <w:pPr>
              <w:spacing w:line="360" w:lineRule="auto"/>
              <w:rPr>
                <w:rFonts w:hint="eastAsia" w:ascii="仿宋" w:hAnsi="仿宋" w:eastAsia="仿宋" w:cs="仿宋"/>
                <w:sz w:val="24"/>
                <w:szCs w:val="24"/>
                <w:highlight w:val="none"/>
              </w:rPr>
            </w:pPr>
          </w:p>
        </w:tc>
        <w:tc>
          <w:tcPr>
            <w:tcW w:w="914" w:type="dxa"/>
          </w:tcPr>
          <w:p w14:paraId="06375D19">
            <w:pPr>
              <w:spacing w:line="360" w:lineRule="auto"/>
              <w:rPr>
                <w:rFonts w:hint="eastAsia" w:ascii="仿宋" w:hAnsi="仿宋" w:eastAsia="仿宋" w:cs="仿宋"/>
                <w:sz w:val="24"/>
                <w:szCs w:val="24"/>
                <w:highlight w:val="none"/>
              </w:rPr>
            </w:pPr>
          </w:p>
        </w:tc>
        <w:tc>
          <w:tcPr>
            <w:tcW w:w="914" w:type="dxa"/>
          </w:tcPr>
          <w:p w14:paraId="11AA51C6">
            <w:pPr>
              <w:spacing w:line="360" w:lineRule="auto"/>
              <w:rPr>
                <w:rFonts w:hint="eastAsia" w:ascii="仿宋" w:hAnsi="仿宋" w:eastAsia="仿宋" w:cs="仿宋"/>
                <w:sz w:val="24"/>
                <w:szCs w:val="24"/>
                <w:highlight w:val="none"/>
              </w:rPr>
            </w:pPr>
          </w:p>
        </w:tc>
        <w:tc>
          <w:tcPr>
            <w:tcW w:w="914" w:type="dxa"/>
          </w:tcPr>
          <w:p w14:paraId="3E39C326">
            <w:pPr>
              <w:spacing w:line="360" w:lineRule="auto"/>
              <w:rPr>
                <w:rFonts w:hint="eastAsia" w:ascii="仿宋" w:hAnsi="仿宋" w:eastAsia="仿宋" w:cs="仿宋"/>
                <w:sz w:val="24"/>
                <w:szCs w:val="24"/>
                <w:highlight w:val="none"/>
              </w:rPr>
            </w:pPr>
          </w:p>
        </w:tc>
        <w:tc>
          <w:tcPr>
            <w:tcW w:w="914" w:type="dxa"/>
          </w:tcPr>
          <w:p w14:paraId="31154995">
            <w:pPr>
              <w:spacing w:line="360" w:lineRule="auto"/>
              <w:rPr>
                <w:rFonts w:hint="eastAsia" w:ascii="仿宋" w:hAnsi="仿宋" w:eastAsia="仿宋" w:cs="仿宋"/>
                <w:sz w:val="24"/>
                <w:szCs w:val="24"/>
                <w:highlight w:val="none"/>
              </w:rPr>
            </w:pPr>
          </w:p>
        </w:tc>
      </w:tr>
    </w:tbl>
    <w:p w14:paraId="776B9D7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3B5A9CE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法定代表人或授权代表（签字）：XXX</w:t>
      </w:r>
    </w:p>
    <w:p w14:paraId="5C121F3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w:t>
      </w:r>
    </w:p>
    <w:p w14:paraId="087BFCBB">
      <w:pPr>
        <w:spacing w:line="360" w:lineRule="auto"/>
        <w:rPr>
          <w:rFonts w:hint="eastAsia" w:ascii="仿宋" w:hAnsi="仿宋" w:eastAsia="仿宋" w:cs="仿宋"/>
          <w:sz w:val="24"/>
          <w:szCs w:val="24"/>
          <w:highlight w:val="none"/>
        </w:rPr>
      </w:pPr>
    </w:p>
    <w:p w14:paraId="453CA035">
      <w:pPr>
        <w:spacing w:line="360" w:lineRule="auto"/>
        <w:rPr>
          <w:rFonts w:hint="eastAsia" w:ascii="仿宋" w:hAnsi="仿宋" w:eastAsia="仿宋" w:cs="仿宋"/>
          <w:sz w:val="24"/>
          <w:szCs w:val="24"/>
          <w:highlight w:val="none"/>
        </w:rPr>
      </w:pPr>
    </w:p>
    <w:p w14:paraId="234E06A3">
      <w:pPr>
        <w:spacing w:line="360" w:lineRule="auto"/>
        <w:rPr>
          <w:rFonts w:hint="eastAsia" w:ascii="仿宋" w:hAnsi="仿宋" w:eastAsia="仿宋" w:cs="仿宋"/>
          <w:sz w:val="24"/>
          <w:szCs w:val="24"/>
          <w:highlight w:val="none"/>
        </w:rPr>
      </w:pPr>
    </w:p>
    <w:p w14:paraId="79553F7E">
      <w:pPr>
        <w:spacing w:line="360" w:lineRule="auto"/>
        <w:rPr>
          <w:rFonts w:hint="eastAsia" w:ascii="仿宋" w:hAnsi="仿宋" w:eastAsia="仿宋" w:cs="仿宋"/>
          <w:sz w:val="24"/>
          <w:szCs w:val="24"/>
          <w:highlight w:val="none"/>
        </w:rPr>
        <w:sectPr>
          <w:footerReference r:id="rId16" w:type="default"/>
          <w:footerReference r:id="rId17" w:type="even"/>
          <w:pgSz w:w="11850" w:h="16783"/>
          <w:pgMar w:top="1417" w:right="1134" w:bottom="1417" w:left="1134" w:header="851" w:footer="992" w:gutter="0"/>
          <w:cols w:space="0" w:num="1"/>
          <w:docGrid w:type="lines" w:linePitch="312" w:charSpace="0"/>
        </w:sectPr>
      </w:pPr>
    </w:p>
    <w:p w14:paraId="0B6BACA9">
      <w:pPr>
        <w:spacing w:line="360" w:lineRule="auto"/>
        <w:jc w:val="left"/>
        <w:outlineLvl w:val="1"/>
        <w:rPr>
          <w:rFonts w:hint="eastAsia" w:ascii="仿宋" w:hAnsi="仿宋" w:eastAsia="仿宋" w:cs="仿宋"/>
          <w:b/>
          <w:bCs/>
          <w:sz w:val="28"/>
          <w:szCs w:val="28"/>
          <w:highlight w:val="none"/>
        </w:rPr>
      </w:pPr>
      <w:bookmarkStart w:id="129" w:name="_Toc20369"/>
      <w:bookmarkStart w:id="130" w:name="_Toc30074"/>
      <w:bookmarkStart w:id="131" w:name="_Toc17041"/>
      <w:bookmarkStart w:id="132" w:name="_Toc21832"/>
      <w:r>
        <w:rPr>
          <w:rFonts w:hint="eastAsia" w:ascii="仿宋" w:hAnsi="仿宋" w:eastAsia="仿宋" w:cs="仿宋"/>
          <w:b/>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A6ED6C">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AkRO6T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S5PAmQ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CRE7pP2AQAALAQAAA4AAAAAAAAAAQAgAAAAJgEAAGRycy9lMm9Eb2MueG1s&#10;UEsFBgAAAAAGAAYAWQEAAI4FAAAAAA==&#10;">
                <v:fill on="t" focussize="0,0"/>
                <v:stroke color="#000000" joinstyle="miter"/>
                <v:imagedata o:title=""/>
                <o:lock v:ext="edit" aspectratio="f"/>
                <v:textbox>
                  <w:txbxContent>
                    <w:p w14:paraId="5FA6ED6C">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highlight w:val="none"/>
        </w:rPr>
        <w:t>格式9 投标文件封面格式</w:t>
      </w:r>
      <w:bookmarkEnd w:id="129"/>
      <w:bookmarkEnd w:id="130"/>
      <w:bookmarkEnd w:id="131"/>
      <w:bookmarkEnd w:id="132"/>
    </w:p>
    <w:p w14:paraId="20D9FAA8">
      <w:pPr>
        <w:pStyle w:val="34"/>
        <w:spacing w:before="46" w:after="46"/>
        <w:ind w:firstLine="480"/>
        <w:rPr>
          <w:rFonts w:hint="eastAsia" w:ascii="仿宋" w:hAnsi="仿宋" w:eastAsia="仿宋" w:cs="仿宋"/>
          <w:sz w:val="24"/>
          <w:szCs w:val="24"/>
          <w:highlight w:val="none"/>
        </w:rPr>
      </w:pPr>
    </w:p>
    <w:p w14:paraId="5B914EC1">
      <w:pPr>
        <w:pStyle w:val="34"/>
        <w:spacing w:before="46" w:after="46"/>
        <w:ind w:firstLine="482"/>
        <w:rPr>
          <w:rFonts w:hint="eastAsia" w:ascii="仿宋" w:hAnsi="仿宋" w:eastAsia="仿宋" w:cs="仿宋"/>
          <w:b/>
          <w:sz w:val="24"/>
          <w:szCs w:val="24"/>
          <w:highlight w:val="none"/>
        </w:rPr>
      </w:pPr>
    </w:p>
    <w:p w14:paraId="30032F37">
      <w:pPr>
        <w:pStyle w:val="34"/>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24831448">
      <w:pPr>
        <w:pStyle w:val="34"/>
        <w:spacing w:before="46" w:after="46"/>
        <w:ind w:firstLine="240" w:firstLineChars="100"/>
        <w:rPr>
          <w:rFonts w:hint="eastAsia" w:ascii="仿宋" w:hAnsi="仿宋" w:eastAsia="仿宋" w:cs="仿宋"/>
          <w:sz w:val="24"/>
          <w:szCs w:val="24"/>
          <w:highlight w:val="none"/>
        </w:rPr>
      </w:pPr>
    </w:p>
    <w:p w14:paraId="7EE56DD8">
      <w:pPr>
        <w:pStyle w:val="34"/>
        <w:spacing w:before="46" w:after="46"/>
        <w:ind w:firstLine="280" w:firstLineChars="100"/>
        <w:jc w:val="center"/>
        <w:rPr>
          <w:rFonts w:hint="eastAsia" w:ascii="仿宋" w:hAnsi="仿宋" w:eastAsia="仿宋" w:cs="仿宋"/>
          <w:szCs w:val="28"/>
          <w:highlight w:val="none"/>
        </w:rPr>
      </w:pPr>
      <w:r>
        <w:rPr>
          <w:rFonts w:hint="eastAsia" w:ascii="仿宋" w:hAnsi="仿宋" w:eastAsia="仿宋" w:cs="仿宋"/>
          <w:szCs w:val="28"/>
          <w:highlight w:val="none"/>
        </w:rPr>
        <w:t>（资格性投标文件/其他投标文件）</w:t>
      </w:r>
    </w:p>
    <w:p w14:paraId="261E3114">
      <w:pPr>
        <w:pStyle w:val="34"/>
        <w:spacing w:before="46" w:after="46"/>
        <w:ind w:firstLine="480"/>
        <w:jc w:val="center"/>
        <w:rPr>
          <w:rFonts w:hint="eastAsia" w:ascii="仿宋" w:hAnsi="仿宋" w:eastAsia="仿宋" w:cs="仿宋"/>
          <w:sz w:val="24"/>
          <w:szCs w:val="24"/>
          <w:highlight w:val="none"/>
        </w:rPr>
      </w:pPr>
    </w:p>
    <w:p w14:paraId="7E0F3F9F">
      <w:pPr>
        <w:pStyle w:val="34"/>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77628005">
      <w:pPr>
        <w:pStyle w:val="34"/>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70D485AB">
      <w:pPr>
        <w:pStyle w:val="34"/>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18347567">
      <w:pPr>
        <w:pStyle w:val="34"/>
        <w:spacing w:before="46" w:after="46"/>
        <w:ind w:firstLine="1680" w:firstLineChars="600"/>
        <w:rPr>
          <w:rFonts w:hint="eastAsia" w:ascii="仿宋" w:hAnsi="仿宋" w:eastAsia="仿宋" w:cs="仿宋"/>
          <w:sz w:val="24"/>
          <w:szCs w:val="24"/>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07984807">
      <w:pPr>
        <w:tabs>
          <w:tab w:val="left" w:pos="7665"/>
        </w:tabs>
        <w:spacing w:line="360" w:lineRule="auto"/>
        <w:jc w:val="right"/>
        <w:rPr>
          <w:rFonts w:hint="eastAsia" w:ascii="仿宋" w:hAnsi="仿宋" w:eastAsia="仿宋" w:cs="仿宋"/>
          <w:sz w:val="32"/>
          <w:szCs w:val="32"/>
          <w:highlight w:val="none"/>
        </w:rPr>
      </w:pPr>
    </w:p>
    <w:p w14:paraId="6B05CFE8">
      <w:pPr>
        <w:tabs>
          <w:tab w:val="left" w:pos="7665"/>
        </w:tabs>
        <w:spacing w:line="360" w:lineRule="auto"/>
        <w:jc w:val="right"/>
        <w:rPr>
          <w:rFonts w:hint="eastAsia" w:ascii="仿宋" w:hAnsi="仿宋" w:eastAsia="仿宋" w:cs="仿宋"/>
          <w:sz w:val="32"/>
          <w:szCs w:val="32"/>
          <w:highlight w:val="none"/>
        </w:rPr>
      </w:pPr>
    </w:p>
    <w:p w14:paraId="350A89D8">
      <w:pPr>
        <w:tabs>
          <w:tab w:val="left" w:pos="7665"/>
        </w:tabs>
        <w:spacing w:line="360" w:lineRule="auto"/>
        <w:jc w:val="right"/>
        <w:rPr>
          <w:rFonts w:hint="eastAsia" w:ascii="仿宋" w:hAnsi="仿宋" w:eastAsia="仿宋" w:cs="仿宋"/>
          <w:sz w:val="32"/>
          <w:szCs w:val="32"/>
          <w:highlight w:val="none"/>
        </w:rPr>
      </w:pPr>
    </w:p>
    <w:p w14:paraId="2866DB08">
      <w:pPr>
        <w:tabs>
          <w:tab w:val="left" w:pos="7665"/>
        </w:tabs>
        <w:spacing w:line="360" w:lineRule="auto"/>
        <w:jc w:val="right"/>
        <w:rPr>
          <w:rFonts w:hint="eastAsia" w:ascii="仿宋" w:hAnsi="仿宋" w:eastAsia="仿宋" w:cs="仿宋"/>
          <w:sz w:val="24"/>
          <w:szCs w:val="24"/>
          <w:highlight w:val="none"/>
        </w:rPr>
      </w:pPr>
      <w:r>
        <w:rPr>
          <w:rFonts w:hint="eastAsia" w:ascii="仿宋" w:hAnsi="仿宋" w:eastAsia="仿宋" w:cs="仿宋"/>
          <w:sz w:val="32"/>
          <w:szCs w:val="32"/>
          <w:highlight w:val="none"/>
        </w:rPr>
        <w:t>年     月     日</w:t>
      </w:r>
      <w:r>
        <w:rPr>
          <w:rFonts w:hint="eastAsia" w:ascii="仿宋" w:hAnsi="仿宋" w:eastAsia="仿宋" w:cs="仿宋"/>
          <w:sz w:val="24"/>
          <w:szCs w:val="24"/>
          <w:highlight w:val="none"/>
        </w:rPr>
        <w:t xml:space="preserve"> </w:t>
      </w:r>
    </w:p>
    <w:p w14:paraId="13E2B549">
      <w:pPr>
        <w:spacing w:line="360" w:lineRule="auto"/>
        <w:rPr>
          <w:rFonts w:hint="eastAsia" w:ascii="仿宋" w:hAnsi="仿宋" w:eastAsia="仿宋" w:cs="仿宋"/>
          <w:b/>
          <w:sz w:val="24"/>
          <w:szCs w:val="24"/>
          <w:highlight w:val="none"/>
        </w:rPr>
        <w:sectPr>
          <w:pgSz w:w="11850" w:h="16783"/>
          <w:pgMar w:top="1417" w:right="1134" w:bottom="1417" w:left="1134" w:header="851" w:footer="992" w:gutter="0"/>
          <w:cols w:space="0" w:num="1"/>
          <w:docGrid w:type="lines" w:linePitch="312" w:charSpace="0"/>
        </w:sectPr>
      </w:pPr>
    </w:p>
    <w:p w14:paraId="6CB1FD40">
      <w:pPr>
        <w:pStyle w:val="34"/>
        <w:spacing w:before="46" w:after="46"/>
        <w:ind w:firstLine="0" w:firstLineChars="0"/>
        <w:outlineLvl w:val="1"/>
        <w:rPr>
          <w:rFonts w:hint="eastAsia" w:ascii="仿宋" w:hAnsi="仿宋" w:eastAsia="仿宋" w:cs="仿宋"/>
          <w:b/>
          <w:szCs w:val="28"/>
          <w:highlight w:val="none"/>
        </w:rPr>
      </w:pPr>
      <w:bookmarkStart w:id="133" w:name="_Toc11403"/>
      <w:bookmarkStart w:id="134" w:name="_Toc7606"/>
      <w:r>
        <w:rPr>
          <w:rFonts w:hint="eastAsia" w:ascii="仿宋" w:hAnsi="仿宋" w:eastAsia="仿宋" w:cs="仿宋"/>
          <w:b/>
          <w:szCs w:val="28"/>
          <w:highlight w:val="none"/>
        </w:rPr>
        <w:t>格式10 开标一览表封面格式</w:t>
      </w:r>
      <w:bookmarkEnd w:id="133"/>
      <w:bookmarkEnd w:id="134"/>
    </w:p>
    <w:p w14:paraId="70747EC9">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8415" b="18415"/>
                <wp:wrapNone/>
                <wp:docPr id="2" name="矩形 3"/>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7D4D68">
                            <w:pPr>
                              <w:jc w:val="center"/>
                              <w:rPr>
                                <w:b/>
                                <w:sz w:val="44"/>
                                <w:szCs w:val="44"/>
                              </w:rPr>
                            </w:pPr>
                            <w:r>
                              <w:rPr>
                                <w:rFonts w:hint="eastAsia"/>
                                <w:b/>
                                <w:sz w:val="44"/>
                                <w:szCs w:val="44"/>
                              </w:rPr>
                              <w:t>正本或副本</w:t>
                            </w:r>
                          </w:p>
                        </w:txbxContent>
                      </wps:txbx>
                      <wps:bodyPr upright="1"/>
                    </wps:wsp>
                  </a:graphicData>
                </a:graphic>
              </wp:anchor>
            </w:drawing>
          </mc:Choice>
          <mc:Fallback>
            <w:pict>
              <v:rect id="矩形 3"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cUPWAAAACAEAAA8AAAAAAAAAAQAgAAAAIgAAAGRycy9kb3du&#10;cmV2LnhtbFBLAQIUABQAAAAIAIdO4kChJ/yNAQIAACkEAAAOAAAAAAAAAAEAIAAAACUBAABkcnMv&#10;ZTJvRG9jLnhtbFBLBQYAAAAABgAGAFkBAACYBQAAAAA=&#10;">
                <v:fill on="t" focussize="0,0"/>
                <v:stroke color="#000000" joinstyle="miter"/>
                <v:imagedata o:title=""/>
                <o:lock v:ext="edit" aspectratio="f"/>
                <v:textbox>
                  <w:txbxContent>
                    <w:p w14:paraId="517D4D68">
                      <w:pPr>
                        <w:jc w:val="center"/>
                        <w:rPr>
                          <w:b/>
                          <w:sz w:val="44"/>
                          <w:szCs w:val="44"/>
                        </w:rPr>
                      </w:pPr>
                      <w:r>
                        <w:rPr>
                          <w:rFonts w:hint="eastAsia"/>
                          <w:b/>
                          <w:sz w:val="44"/>
                          <w:szCs w:val="44"/>
                        </w:rPr>
                        <w:t>正本或副本</w:t>
                      </w:r>
                    </w:p>
                  </w:txbxContent>
                </v:textbox>
              </v:rect>
            </w:pict>
          </mc:Fallback>
        </mc:AlternateContent>
      </w:r>
    </w:p>
    <w:p w14:paraId="243213B6">
      <w:pPr>
        <w:pStyle w:val="34"/>
        <w:spacing w:before="46" w:after="46"/>
        <w:ind w:firstLine="482"/>
        <w:rPr>
          <w:rFonts w:hint="eastAsia" w:ascii="仿宋" w:hAnsi="仿宋" w:eastAsia="仿宋" w:cs="仿宋"/>
          <w:b/>
          <w:sz w:val="24"/>
          <w:szCs w:val="24"/>
          <w:highlight w:val="none"/>
        </w:rPr>
      </w:pPr>
    </w:p>
    <w:p w14:paraId="70A1743A">
      <w:pPr>
        <w:pStyle w:val="34"/>
        <w:spacing w:before="46" w:after="46"/>
        <w:ind w:firstLine="241" w:firstLineChars="100"/>
        <w:rPr>
          <w:rFonts w:hint="eastAsia" w:ascii="仿宋" w:hAnsi="仿宋" w:eastAsia="仿宋" w:cs="仿宋"/>
          <w:b/>
          <w:sz w:val="24"/>
          <w:szCs w:val="24"/>
          <w:highlight w:val="none"/>
        </w:rPr>
      </w:pPr>
    </w:p>
    <w:p w14:paraId="5F0E3933">
      <w:pPr>
        <w:pStyle w:val="34"/>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631A5873">
      <w:pPr>
        <w:pStyle w:val="34"/>
        <w:spacing w:before="46" w:after="46"/>
        <w:ind w:firstLine="0" w:firstLineChars="0"/>
        <w:jc w:val="center"/>
        <w:rPr>
          <w:rFonts w:hint="eastAsia" w:ascii="仿宋" w:hAnsi="仿宋" w:eastAsia="仿宋" w:cs="仿宋"/>
          <w:b/>
          <w:sz w:val="52"/>
          <w:szCs w:val="52"/>
          <w:highlight w:val="none"/>
        </w:rPr>
      </w:pPr>
    </w:p>
    <w:p w14:paraId="725F3FA3">
      <w:pPr>
        <w:pStyle w:val="34"/>
        <w:spacing w:before="46" w:after="46"/>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（开标一览表/电子档）</w:t>
      </w:r>
    </w:p>
    <w:p w14:paraId="29C2AF0E">
      <w:pPr>
        <w:pStyle w:val="34"/>
        <w:spacing w:before="46" w:after="46"/>
        <w:ind w:firstLine="480"/>
        <w:jc w:val="center"/>
        <w:rPr>
          <w:rFonts w:hint="eastAsia" w:ascii="仿宋" w:hAnsi="仿宋" w:eastAsia="仿宋" w:cs="仿宋"/>
          <w:sz w:val="24"/>
          <w:szCs w:val="24"/>
          <w:highlight w:val="none"/>
        </w:rPr>
      </w:pPr>
    </w:p>
    <w:p w14:paraId="19FEAD38">
      <w:pPr>
        <w:pStyle w:val="34"/>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68EAC76B">
      <w:pPr>
        <w:pStyle w:val="34"/>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329A23BA">
      <w:pPr>
        <w:pStyle w:val="34"/>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769F8AF5">
      <w:pPr>
        <w:pStyle w:val="34"/>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339A7C54">
      <w:pPr>
        <w:pStyle w:val="34"/>
        <w:spacing w:before="46" w:after="46"/>
        <w:ind w:firstLine="480"/>
        <w:rPr>
          <w:rFonts w:hint="eastAsia" w:ascii="仿宋" w:hAnsi="仿宋" w:eastAsia="仿宋" w:cs="仿宋"/>
          <w:sz w:val="24"/>
          <w:szCs w:val="24"/>
          <w:highlight w:val="none"/>
          <w:u w:val="single"/>
        </w:rPr>
      </w:pPr>
    </w:p>
    <w:p w14:paraId="65917340">
      <w:pPr>
        <w:pStyle w:val="34"/>
        <w:spacing w:before="46" w:after="46"/>
        <w:ind w:firstLine="480"/>
        <w:rPr>
          <w:rFonts w:hint="eastAsia" w:ascii="仿宋" w:hAnsi="仿宋" w:eastAsia="仿宋" w:cs="仿宋"/>
          <w:sz w:val="24"/>
          <w:szCs w:val="24"/>
          <w:highlight w:val="none"/>
          <w:u w:val="single"/>
        </w:rPr>
      </w:pPr>
    </w:p>
    <w:p w14:paraId="417B6301">
      <w:pPr>
        <w:pStyle w:val="34"/>
        <w:spacing w:before="46" w:after="46"/>
        <w:ind w:firstLine="480"/>
        <w:rPr>
          <w:rFonts w:hint="eastAsia" w:ascii="仿宋" w:hAnsi="仿宋" w:eastAsia="仿宋" w:cs="仿宋"/>
          <w:sz w:val="24"/>
          <w:szCs w:val="24"/>
          <w:highlight w:val="none"/>
          <w:u w:val="single"/>
        </w:rPr>
      </w:pPr>
    </w:p>
    <w:p w14:paraId="5C52EA97">
      <w:pPr>
        <w:widowControl/>
        <w:spacing w:line="360" w:lineRule="auto"/>
        <w:ind w:firstLine="240" w:firstLineChars="100"/>
        <w:jc w:val="right"/>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8"/>
          <w:szCs w:val="28"/>
          <w:highlight w:val="none"/>
        </w:rPr>
        <w:t xml:space="preserve">   年     月    日</w:t>
      </w:r>
    </w:p>
    <w:p w14:paraId="5F72565D">
      <w:pPr>
        <w:widowControl/>
        <w:spacing w:line="360" w:lineRule="auto"/>
        <w:ind w:firstLine="240" w:firstLineChars="100"/>
        <w:jc w:val="left"/>
        <w:rPr>
          <w:rFonts w:hint="eastAsia" w:ascii="仿宋" w:hAnsi="仿宋" w:eastAsia="仿宋" w:cs="仿宋"/>
          <w:sz w:val="24"/>
          <w:szCs w:val="24"/>
          <w:highlight w:val="none"/>
        </w:rPr>
      </w:pPr>
    </w:p>
    <w:p w14:paraId="0B04D4B1">
      <w:pPr>
        <w:pStyle w:val="34"/>
        <w:spacing w:before="46" w:after="46"/>
        <w:ind w:firstLine="0" w:firstLineChars="0"/>
        <w:outlineLvl w:val="1"/>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rPr>
        <w:br w:type="page"/>
      </w:r>
      <w:bookmarkStart w:id="135" w:name="_Toc7809"/>
      <w:r>
        <w:rPr>
          <w:rFonts w:hint="eastAsia" w:ascii="仿宋" w:hAnsi="仿宋" w:eastAsia="仿宋" w:cs="仿宋"/>
          <w:b/>
          <w:bCs/>
          <w:szCs w:val="28"/>
          <w:highlight w:val="none"/>
        </w:rPr>
        <w:t>格式11</w:t>
      </w:r>
      <w:r>
        <w:rPr>
          <w:rFonts w:hint="eastAsia" w:ascii="仿宋" w:hAnsi="仿宋" w:eastAsia="仿宋" w:cs="仿宋"/>
          <w:b/>
          <w:bCs/>
          <w:sz w:val="24"/>
          <w:szCs w:val="24"/>
          <w:highlight w:val="none"/>
        </w:rPr>
        <w:t xml:space="preserve"> </w:t>
      </w:r>
      <w:r>
        <w:rPr>
          <w:rFonts w:hint="eastAsia" w:ascii="仿宋" w:hAnsi="仿宋" w:eastAsia="仿宋" w:cs="仿宋"/>
          <w:b/>
          <w:bCs/>
          <w:szCs w:val="28"/>
          <w:highlight w:val="none"/>
          <w:lang w:bidi="ar"/>
        </w:rPr>
        <w:t>依法缴纳税收和社会保障资金承诺函</w:t>
      </w:r>
      <w:bookmarkEnd w:id="135"/>
    </w:p>
    <w:p w14:paraId="24E8D940">
      <w:pPr>
        <w:pStyle w:val="34"/>
        <w:spacing w:before="46" w:after="46"/>
        <w:ind w:firstLine="0" w:firstLineChars="0"/>
        <w:rPr>
          <w:rFonts w:hint="eastAsia" w:ascii="仿宋" w:hAnsi="仿宋" w:eastAsia="仿宋" w:cs="仿宋"/>
          <w:b/>
          <w:bCs/>
          <w:sz w:val="24"/>
          <w:szCs w:val="24"/>
          <w:highlight w:val="none"/>
          <w:lang w:bidi="ar"/>
        </w:rPr>
      </w:pPr>
    </w:p>
    <w:p w14:paraId="011C70A9">
      <w:pPr>
        <w:widowControl/>
        <w:spacing w:line="360" w:lineRule="auto"/>
        <w:jc w:val="center"/>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bidi="ar"/>
        </w:rPr>
        <w:t>依法缴纳税收和社会保障资金承诺函</w:t>
      </w:r>
    </w:p>
    <w:p w14:paraId="58442175">
      <w:pPr>
        <w:widowControl/>
        <w:spacing w:line="360" w:lineRule="auto"/>
        <w:jc w:val="center"/>
        <w:rPr>
          <w:rFonts w:hint="eastAsia" w:ascii="仿宋" w:hAnsi="仿宋" w:eastAsia="仿宋" w:cs="仿宋"/>
          <w:b/>
          <w:bCs/>
          <w:sz w:val="24"/>
          <w:szCs w:val="24"/>
          <w:highlight w:val="none"/>
          <w:lang w:bidi="ar"/>
        </w:rPr>
      </w:pPr>
    </w:p>
    <w:p w14:paraId="3904BF2B">
      <w:pPr>
        <w:pStyle w:val="34"/>
        <w:spacing w:before="46" w:after="312" w:afterLines="10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u w:val="single"/>
        </w:rPr>
        <w:t xml:space="preserve"> </w:t>
      </w:r>
    </w:p>
    <w:p w14:paraId="0125F90B">
      <w:pPr>
        <w:pStyle w:val="19"/>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），并作出如下承诺：</w:t>
      </w:r>
    </w:p>
    <w:p w14:paraId="699CDFE9">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我单位依法缴纳税收和员工社会保险，随时接受采购人的检查验证。如违反上述承诺，我单位将按照相关规定接受处罚，并通过媒体予以公布。</w:t>
      </w:r>
    </w:p>
    <w:p w14:paraId="00C98291">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10A6B565">
      <w:pPr>
        <w:pStyle w:val="19"/>
        <w:spacing w:before="0" w:beforeAutospacing="0" w:after="0" w:afterAutospacing="0" w:line="360" w:lineRule="auto"/>
        <w:rPr>
          <w:rFonts w:hint="eastAsia" w:ascii="仿宋" w:hAnsi="仿宋" w:eastAsia="仿宋" w:cs="仿宋"/>
          <w:sz w:val="24"/>
          <w:szCs w:val="24"/>
          <w:highlight w:val="none"/>
        </w:rPr>
      </w:pPr>
    </w:p>
    <w:p w14:paraId="4721B907">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689D8A99">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4AE2D970">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14:paraId="79B582A5">
      <w:pPr>
        <w:pStyle w:val="34"/>
        <w:spacing w:before="46" w:after="46"/>
        <w:ind w:firstLine="480"/>
        <w:rPr>
          <w:rFonts w:hint="eastAsia" w:ascii="仿宋" w:hAnsi="仿宋" w:eastAsia="仿宋" w:cs="仿宋"/>
          <w:sz w:val="24"/>
          <w:szCs w:val="24"/>
          <w:highlight w:val="none"/>
        </w:rPr>
        <w:sectPr>
          <w:footerReference r:id="rId18" w:type="default"/>
          <w:pgSz w:w="11850" w:h="16783"/>
          <w:pgMar w:top="1417" w:right="1134" w:bottom="1417" w:left="1134" w:header="851" w:footer="992" w:gutter="0"/>
          <w:cols w:space="0" w:num="1"/>
          <w:docGrid w:type="lines" w:linePitch="312" w:charSpace="0"/>
        </w:sectPr>
      </w:pPr>
    </w:p>
    <w:p w14:paraId="4AFEF6E7">
      <w:pPr>
        <w:pStyle w:val="34"/>
        <w:spacing w:before="46" w:after="46"/>
        <w:ind w:firstLine="562"/>
        <w:outlineLvl w:val="1"/>
        <w:rPr>
          <w:rFonts w:hint="eastAsia" w:ascii="仿宋" w:hAnsi="仿宋" w:eastAsia="仿宋" w:cs="仿宋"/>
          <w:b/>
          <w:bCs/>
          <w:szCs w:val="28"/>
          <w:highlight w:val="none"/>
        </w:rPr>
      </w:pPr>
      <w:bookmarkStart w:id="136" w:name="_Toc20059"/>
      <w:bookmarkStart w:id="137" w:name="_Toc26488"/>
      <w:bookmarkStart w:id="138" w:name="_Toc8851"/>
      <w:r>
        <w:rPr>
          <w:rFonts w:hint="eastAsia" w:ascii="仿宋" w:hAnsi="仿宋" w:eastAsia="仿宋" w:cs="仿宋"/>
          <w:b/>
          <w:bCs/>
          <w:szCs w:val="28"/>
          <w:highlight w:val="none"/>
        </w:rPr>
        <w:t>格式12 无行贿犯罪记录承诺函</w:t>
      </w:r>
      <w:bookmarkEnd w:id="136"/>
      <w:bookmarkEnd w:id="137"/>
    </w:p>
    <w:p w14:paraId="528CE057">
      <w:pPr>
        <w:pStyle w:val="34"/>
        <w:spacing w:before="46" w:after="46"/>
        <w:ind w:firstLine="482"/>
        <w:rPr>
          <w:rFonts w:hint="eastAsia" w:ascii="仿宋" w:hAnsi="仿宋" w:eastAsia="仿宋" w:cs="仿宋"/>
          <w:b/>
          <w:bCs/>
          <w:sz w:val="24"/>
          <w:szCs w:val="24"/>
          <w:highlight w:val="none"/>
        </w:rPr>
      </w:pPr>
    </w:p>
    <w:p w14:paraId="3C94A5F5">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无行贿犯罪记录承诺函</w:t>
      </w:r>
    </w:p>
    <w:p w14:paraId="399AEBAC">
      <w:pPr>
        <w:pStyle w:val="34"/>
        <w:spacing w:before="46" w:after="312" w:afterLines="100"/>
        <w:ind w:firstLine="480"/>
        <w:rPr>
          <w:rFonts w:hint="eastAsia" w:ascii="仿宋" w:hAnsi="仿宋" w:eastAsia="仿宋" w:cs="仿宋"/>
          <w:sz w:val="24"/>
          <w:szCs w:val="24"/>
          <w:highlight w:val="none"/>
        </w:rPr>
      </w:pPr>
    </w:p>
    <w:p w14:paraId="25E3843A">
      <w:pPr>
        <w:pStyle w:val="34"/>
        <w:spacing w:before="46" w:after="312" w:afterLines="100"/>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4CFF29C2">
      <w:pPr>
        <w:pStyle w:val="19"/>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 项目（项目编号： ），并作出如下承诺：</w:t>
      </w:r>
    </w:p>
    <w:p w14:paraId="732DD8A9">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w:t>
      </w:r>
      <w:r>
        <w:rPr>
          <w:rFonts w:hint="eastAsia" w:ascii="仿宋" w:hAnsi="仿宋" w:eastAsia="仿宋" w:cs="仿宋"/>
          <w:sz w:val="24"/>
          <w:highlight w:val="none"/>
        </w:rPr>
        <w:t>单位及其现任法定代表人、主要负责人在参加采购活动前三年内无行贿犯罪记录，</w:t>
      </w:r>
    </w:p>
    <w:p w14:paraId="3AA8D659">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如违反上述承诺，我单位将按照相关规定接受处罚，并通过媒体予以公布。</w:t>
      </w:r>
    </w:p>
    <w:p w14:paraId="647DF186">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68F0D33B">
      <w:pPr>
        <w:pStyle w:val="19"/>
        <w:spacing w:before="0" w:beforeAutospacing="0" w:after="0" w:afterAutospacing="0" w:line="360" w:lineRule="auto"/>
        <w:rPr>
          <w:rFonts w:hint="eastAsia" w:ascii="仿宋" w:hAnsi="仿宋" w:eastAsia="仿宋" w:cs="仿宋"/>
          <w:sz w:val="24"/>
          <w:szCs w:val="24"/>
          <w:highlight w:val="none"/>
        </w:rPr>
      </w:pPr>
    </w:p>
    <w:p w14:paraId="0CE3D72B">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3FBCC80E">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5BC8F3CA">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 XXX年XXX月XXX日  </w:t>
      </w:r>
    </w:p>
    <w:p w14:paraId="78BE2C34">
      <w:pPr>
        <w:pStyle w:val="4"/>
        <w:spacing w:line="360" w:lineRule="auto"/>
        <w:jc w:val="center"/>
        <w:rPr>
          <w:rFonts w:hint="eastAsia" w:ascii="仿宋" w:hAnsi="仿宋" w:eastAsia="仿宋" w:cs="仿宋"/>
          <w:sz w:val="36"/>
          <w:szCs w:val="36"/>
          <w:highlight w:val="none"/>
        </w:rPr>
      </w:pPr>
    </w:p>
    <w:p w14:paraId="72CB3EFF">
      <w:pPr>
        <w:pStyle w:val="4"/>
        <w:spacing w:line="360" w:lineRule="auto"/>
        <w:jc w:val="center"/>
        <w:rPr>
          <w:rFonts w:hint="eastAsia" w:ascii="仿宋" w:hAnsi="仿宋" w:eastAsia="仿宋" w:cs="仿宋"/>
          <w:sz w:val="36"/>
          <w:szCs w:val="36"/>
          <w:highlight w:val="none"/>
        </w:rPr>
      </w:pPr>
    </w:p>
    <w:p w14:paraId="375648C5">
      <w:pPr>
        <w:pStyle w:val="4"/>
        <w:spacing w:line="360" w:lineRule="auto"/>
        <w:rPr>
          <w:rFonts w:hint="eastAsia" w:ascii="仿宋" w:hAnsi="仿宋" w:eastAsia="仿宋" w:cs="仿宋"/>
          <w:sz w:val="36"/>
          <w:szCs w:val="36"/>
          <w:highlight w:val="none"/>
        </w:rPr>
      </w:pPr>
    </w:p>
    <w:p w14:paraId="7682E9CC">
      <w:pPr>
        <w:rPr>
          <w:rFonts w:hint="eastAsia" w:ascii="仿宋" w:hAnsi="仿宋" w:eastAsia="仿宋" w:cs="仿宋"/>
          <w:sz w:val="32"/>
          <w:highlight w:val="none"/>
        </w:rPr>
      </w:pPr>
    </w:p>
    <w:p w14:paraId="1E35CB93">
      <w:pPr>
        <w:pStyle w:val="4"/>
        <w:spacing w:line="360" w:lineRule="auto"/>
        <w:rPr>
          <w:rFonts w:hint="eastAsia" w:ascii="仿宋" w:hAnsi="仿宋" w:eastAsia="仿宋" w:cs="仿宋"/>
          <w:sz w:val="36"/>
          <w:szCs w:val="36"/>
          <w:highlight w:val="none"/>
        </w:rPr>
      </w:pPr>
    </w:p>
    <w:p w14:paraId="38F69DB9">
      <w:pPr>
        <w:rPr>
          <w:rFonts w:hint="eastAsia"/>
        </w:rPr>
      </w:pPr>
    </w:p>
    <w:p w14:paraId="756F4639">
      <w:pPr>
        <w:rPr>
          <w:rFonts w:hint="eastAsia" w:ascii="仿宋" w:hAnsi="仿宋" w:eastAsia="仿宋" w:cs="仿宋"/>
          <w:sz w:val="32"/>
          <w:highlight w:val="none"/>
        </w:rPr>
      </w:pPr>
    </w:p>
    <w:p w14:paraId="733199B8">
      <w:pPr>
        <w:pStyle w:val="2"/>
        <w:rPr>
          <w:rFonts w:hint="eastAsia"/>
        </w:rPr>
      </w:pPr>
    </w:p>
    <w:p w14:paraId="06F31488">
      <w:pPr>
        <w:pStyle w:val="4"/>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第七章  评标方法</w:t>
      </w:r>
      <w:bookmarkEnd w:id="138"/>
    </w:p>
    <w:p w14:paraId="1FB87DF5">
      <w:pPr>
        <w:spacing w:line="360" w:lineRule="auto"/>
        <w:jc w:val="center"/>
        <w:outlineLvl w:val="1"/>
        <w:rPr>
          <w:rFonts w:hint="eastAsia" w:ascii="仿宋" w:hAnsi="仿宋" w:eastAsia="仿宋" w:cs="仿宋"/>
          <w:b/>
          <w:bCs/>
          <w:sz w:val="28"/>
          <w:szCs w:val="28"/>
          <w:highlight w:val="none"/>
        </w:rPr>
      </w:pPr>
      <w:bookmarkStart w:id="139" w:name="_Toc1262"/>
      <w:bookmarkStart w:id="140" w:name="_Toc209847065"/>
      <w:bookmarkStart w:id="141" w:name="_Toc101174146"/>
      <w:bookmarkStart w:id="142" w:name="_Toc101250640"/>
      <w:bookmarkStart w:id="143" w:name="_Toc101338358"/>
      <w:bookmarkStart w:id="144" w:name="_Toc430773924"/>
      <w:r>
        <w:rPr>
          <w:rFonts w:hint="eastAsia" w:ascii="仿宋" w:hAnsi="仿宋" w:eastAsia="仿宋" w:cs="仿宋"/>
          <w:b/>
          <w:bCs/>
          <w:sz w:val="28"/>
          <w:szCs w:val="28"/>
          <w:highlight w:val="none"/>
        </w:rPr>
        <w:t>一、总则</w:t>
      </w:r>
      <w:bookmarkEnd w:id="139"/>
    </w:p>
    <w:p w14:paraId="3A40FD9D">
      <w:pPr>
        <w:pStyle w:val="2"/>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1.1 本项目参考政府采购的流程进行采购，受《民法》和《合同法》的约束和调整，结合本采购项目特点制定本评标方法。</w:t>
      </w:r>
    </w:p>
    <w:p w14:paraId="431F81A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1.2 评标工作由采购代理机构负责组织，具体评标事务由采购代理机构依法组建的评标小组负责。</w:t>
      </w:r>
      <w:r>
        <w:rPr>
          <w:rFonts w:hint="eastAsia" w:ascii="仿宋" w:hAnsi="仿宋" w:eastAsia="仿宋" w:cs="仿宋"/>
          <w:bCs/>
          <w:sz w:val="24"/>
          <w:highlight w:val="none"/>
        </w:rPr>
        <w:t>评标委员会由采购人代表和有关技术、经济、法律等方面的专家组成。</w:t>
      </w:r>
    </w:p>
    <w:p w14:paraId="3D17434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1.3 评标工作应遵循公平、公正、科学及择优的原则，并以相同的评标程序和标准对待所有的投标人。</w:t>
      </w:r>
    </w:p>
    <w:p w14:paraId="5EAEFCC4">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1.4 评标小组按照招标文件规定的评标程序、评分方法和标准进行评标，并独立履行下列职责：</w:t>
      </w:r>
    </w:p>
    <w:p w14:paraId="16096AA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（一）熟悉和理解招标文件，确定招标文件内容是否违反国家有关强制性规定或者招标文件存在歧义、重大缺陷，根据需要书面要求采购人、采购代理机构对招标文件作出解释；</w:t>
      </w:r>
    </w:p>
    <w:p w14:paraId="5C00DA7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（二）审查投标人投标文件是否满足招标文件要求，并作出公正评价；</w:t>
      </w:r>
    </w:p>
    <w:p w14:paraId="67DED82A">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（三）根据需要要求投标人对投标文件中含义不明确、同类问题表述不一致或者有明显文字和计算错误的内容等作出必要的澄清、说明或者更正；</w:t>
      </w:r>
    </w:p>
    <w:p w14:paraId="649B9DB9">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（四）推荐中标人，或者受采购人委托确定中标人；</w:t>
      </w:r>
    </w:p>
    <w:p w14:paraId="3A04D80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（五）起草评标报告并进行签署；</w:t>
      </w:r>
    </w:p>
    <w:p w14:paraId="0B2A872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（六）向采购人、采购代理机构等报告非法干预评标工作的行为；</w:t>
      </w:r>
    </w:p>
    <w:p w14:paraId="23BB6D1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（七）其他职责。</w:t>
      </w:r>
    </w:p>
    <w:p w14:paraId="1452050D">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1.5 评标过程独立、保密。投标人非法干预评标过程的，其投标文件作无效处理。</w:t>
      </w:r>
    </w:p>
    <w:p w14:paraId="21A253A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1.6评标委员会评价投标文件的实质性，对于投标人而言，除评标委员会要求其澄清、说明或者更正而提供的资料外，仅依据投标文件本身的内容，不寻求其他外部证据。</w:t>
      </w:r>
    </w:p>
    <w:p w14:paraId="76B0D1CE">
      <w:pPr>
        <w:spacing w:line="360" w:lineRule="auto"/>
        <w:jc w:val="center"/>
        <w:outlineLvl w:val="1"/>
        <w:rPr>
          <w:rFonts w:hint="eastAsia" w:ascii="仿宋" w:hAnsi="仿宋" w:eastAsia="仿宋" w:cs="仿宋"/>
          <w:b/>
          <w:sz w:val="28"/>
          <w:szCs w:val="28"/>
          <w:highlight w:val="none"/>
        </w:rPr>
      </w:pPr>
      <w:bookmarkStart w:id="145" w:name="_Toc23766"/>
      <w:bookmarkStart w:id="146" w:name="_Toc24313"/>
      <w:r>
        <w:rPr>
          <w:rFonts w:hint="eastAsia" w:ascii="仿宋" w:hAnsi="仿宋" w:eastAsia="仿宋" w:cs="仿宋"/>
          <w:b/>
          <w:sz w:val="28"/>
          <w:szCs w:val="28"/>
          <w:highlight w:val="none"/>
        </w:rPr>
        <w:t>二、评标方法</w:t>
      </w:r>
      <w:bookmarkEnd w:id="145"/>
      <w:bookmarkEnd w:id="146"/>
    </w:p>
    <w:p w14:paraId="34ED6943">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本项目评标方法为：综合评分法。综合评分法</w:t>
      </w:r>
      <w:r>
        <w:rPr>
          <w:rFonts w:hint="eastAsia" w:ascii="仿宋" w:hAnsi="仿宋" w:eastAsia="仿宋" w:cs="仿宋"/>
          <w:snapToGrid w:val="0"/>
          <w:sz w:val="24"/>
          <w:szCs w:val="24"/>
          <w:highlight w:val="none"/>
        </w:rPr>
        <w:t>是指投标文件满足招标文件且按评标因素的量化指标评标得分最高的投标人为中标候选人的评标方法。</w:t>
      </w:r>
    </w:p>
    <w:p w14:paraId="44478FD4">
      <w:pPr>
        <w:spacing w:line="360" w:lineRule="auto"/>
        <w:jc w:val="center"/>
        <w:outlineLvl w:val="1"/>
        <w:rPr>
          <w:rFonts w:hint="eastAsia" w:ascii="仿宋" w:hAnsi="仿宋" w:eastAsia="仿宋" w:cs="仿宋"/>
          <w:b/>
          <w:sz w:val="28"/>
          <w:szCs w:val="28"/>
          <w:highlight w:val="none"/>
        </w:rPr>
      </w:pPr>
      <w:bookmarkStart w:id="147" w:name="_Toc14377"/>
      <w:r>
        <w:rPr>
          <w:rFonts w:hint="eastAsia" w:ascii="仿宋" w:hAnsi="仿宋" w:eastAsia="仿宋" w:cs="仿宋"/>
          <w:b/>
          <w:sz w:val="28"/>
          <w:szCs w:val="28"/>
          <w:highlight w:val="none"/>
        </w:rPr>
        <w:t>三、评标程序</w:t>
      </w:r>
      <w:bookmarkEnd w:id="147"/>
    </w:p>
    <w:p w14:paraId="3572B628">
      <w:pPr>
        <w:spacing w:line="360" w:lineRule="auto"/>
        <w:ind w:firstLine="472" w:firstLineChars="196"/>
        <w:rPr>
          <w:rFonts w:hint="eastAsia" w:ascii="仿宋" w:hAnsi="仿宋" w:eastAsia="仿宋" w:cs="仿宋"/>
          <w:b/>
          <w:sz w:val="24"/>
          <w:szCs w:val="24"/>
          <w:highlight w:val="none"/>
        </w:rPr>
      </w:pPr>
    </w:p>
    <w:p w14:paraId="40F6C6C3">
      <w:pPr>
        <w:spacing w:line="360" w:lineRule="auto"/>
        <w:ind w:firstLine="472" w:firstLineChars="196"/>
        <w:rPr>
          <w:rFonts w:hint="eastAsia" w:ascii="仿宋" w:hAnsi="仿宋" w:eastAsia="仿宋" w:cs="仿宋"/>
          <w:b/>
          <w:sz w:val="24"/>
          <w:szCs w:val="24"/>
          <w:highlight w:val="none"/>
        </w:rPr>
      </w:pPr>
    </w:p>
    <w:p w14:paraId="17CFF3D5">
      <w:pPr>
        <w:spacing w:line="360" w:lineRule="auto"/>
        <w:ind w:firstLine="472" w:firstLineChars="196"/>
        <w:rPr>
          <w:rFonts w:hint="eastAsia" w:ascii="仿宋" w:hAnsi="仿宋" w:eastAsia="仿宋" w:cs="仿宋"/>
          <w:b/>
          <w:sz w:val="24"/>
          <w:szCs w:val="24"/>
          <w:highlight w:val="none"/>
        </w:rPr>
      </w:pPr>
    </w:p>
    <w:p w14:paraId="61EA2D0A">
      <w:pPr>
        <w:spacing w:line="360" w:lineRule="auto"/>
        <w:ind w:firstLine="472" w:firstLineChars="196"/>
        <w:rPr>
          <w:rFonts w:hint="eastAsia" w:ascii="仿宋" w:hAnsi="仿宋" w:eastAsia="仿宋" w:cs="仿宋"/>
          <w:b/>
          <w:sz w:val="24"/>
          <w:szCs w:val="24"/>
          <w:highlight w:val="none"/>
        </w:rPr>
      </w:pPr>
    </w:p>
    <w:p w14:paraId="266CA081">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2.1审查招标文件和停止评标。</w:t>
      </w:r>
    </w:p>
    <w:p w14:paraId="5B567CBF">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 评标小组正式评标前，应当对招标文件进行熟悉和理解，内容主要包括招标文件中投标人资格条件要求、采购项目技术、服务和商务要求、评标办法和标准、采购要求以及采购合同主要条款等。</w:t>
      </w:r>
    </w:p>
    <w:p w14:paraId="3DF80F8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 本招标文件有下列情形之一的，评标小组应当停止评标：</w:t>
      </w:r>
    </w:p>
    <w:p w14:paraId="6D29E0F8">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（1）招标文件的规定存在歧义、重大缺陷的；</w:t>
      </w:r>
    </w:p>
    <w:p w14:paraId="7229B1A6">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（2）招标文件明显以不合理条件对投标人实行差别待遇或者歧视待遇的；</w:t>
      </w:r>
    </w:p>
    <w:p w14:paraId="0AEABF2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（3）招标文件规定的评标方法是综合评分法、最低评标价法之外的评标方法，或者虽然名称为综合评分法、最低评标价法，但实际上不符合国家规定；</w:t>
      </w:r>
    </w:p>
    <w:p w14:paraId="01EE01C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（4）招标文件将投标人的资格条件列为评分因素的；</w:t>
      </w:r>
    </w:p>
    <w:p w14:paraId="6D8308CC">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（5）招标文件载明的中标原则不合法的；</w:t>
      </w:r>
    </w:p>
    <w:p w14:paraId="08C200CF">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（6）招标文件有违反国家其他有关强制性规定的情形。</w:t>
      </w:r>
    </w:p>
    <w:p w14:paraId="208FADFF">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 出现本条2.1.2规定应当停止评标情形的，评标小组应当向采购人书面说明情况。除本条规定的情形外，评标小组不得以任何方式和理由停止评标。</w:t>
      </w:r>
    </w:p>
    <w:p w14:paraId="0CBC001B">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2.2 开标</w:t>
      </w:r>
    </w:p>
    <w:p w14:paraId="7EAAD1B0">
      <w:pPr>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开标在招标文件规定的时间和地点公开进行，采购人、投标人应派代表参加并签到以证明其出席。开标由采购代理机构主持，邀请投标人参加。评标委员会成员不参加开标活动。</w:t>
      </w:r>
    </w:p>
    <w:p w14:paraId="611811D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 开标时，可根据具体情况邀请有关监督管理部门对开标活动进行现场监督。</w:t>
      </w:r>
    </w:p>
    <w:p w14:paraId="4162CB8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开标时，由投标人或者其推选的代表检查其自己递交的投标文件的密封情况，经确认无误后，由代理机构工作人员将投标人的“开标一览表”当众拆封，并由唱标人员按照招标文件规定的内容进行宣读，并加以记录。</w:t>
      </w:r>
    </w:p>
    <w:p w14:paraId="4569BD1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2B5156F0">
      <w:pPr>
        <w:pStyle w:val="34"/>
        <w:spacing w:before="46" w:after="46"/>
        <w:ind w:firstLine="480"/>
        <w:rPr>
          <w:rFonts w:hint="eastAsia" w:ascii="仿宋" w:hAnsi="仿宋" w:eastAsia="仿宋" w:cs="仿宋"/>
          <w:sz w:val="24"/>
          <w:highlight w:val="none"/>
        </w:rPr>
      </w:pPr>
      <w:r>
        <w:rPr>
          <w:rFonts w:hint="eastAsia" w:ascii="仿宋" w:hAnsi="仿宋" w:eastAsia="仿宋" w:cs="仿宋"/>
          <w:sz w:val="24"/>
          <w:highlight w:val="none"/>
        </w:rPr>
        <w:t>2.2.4开标时，“开标一览表”中的大写金额与小写金额不一致的，以大写金额为准；总价金额与按单价计算的汇总金额不一致的，以单价计算的汇总金额为准；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63A482D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投标文件中相关内容与“开标一览表”不一致的，以“开标一览表”为准。对不同文字文本投标文件的解释发生异议的，以中文文本为准。</w:t>
      </w:r>
    </w:p>
    <w:p w14:paraId="0328C52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2.2.6 所有投标唱标完毕，如投标人代表对宣读的“开标一览表”上的内容有异议的，应在获得开标会主持人同意后当场提出。如确实属于唱标人员宣读错了的，当场予以更正。</w:t>
      </w:r>
    </w:p>
    <w:p w14:paraId="3DEBF09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 投标人未参加开标的，视同认可开标结果。</w:t>
      </w:r>
    </w:p>
    <w:p w14:paraId="181390D2">
      <w:pPr>
        <w:spacing w:line="360" w:lineRule="auto"/>
        <w:ind w:firstLine="482" w:firstLineChars="200"/>
        <w:rPr>
          <w:rFonts w:hint="eastAsia" w:ascii="仿宋" w:hAnsi="仿宋" w:eastAsia="仿宋" w:cs="仿宋"/>
          <w:b/>
          <w:sz w:val="28"/>
          <w:szCs w:val="28"/>
          <w:highlight w:val="none"/>
        </w:rPr>
      </w:pPr>
      <w:bookmarkStart w:id="148" w:name="_Toc217446058"/>
      <w:bookmarkStart w:id="149" w:name="_Toc308164807"/>
      <w:r>
        <w:rPr>
          <w:rFonts w:hint="eastAsia" w:ascii="仿宋" w:hAnsi="仿宋" w:eastAsia="仿宋" w:cs="仿宋"/>
          <w:b/>
          <w:sz w:val="24"/>
          <w:highlight w:val="none"/>
        </w:rPr>
        <w:t>2.3开标程序</w:t>
      </w:r>
      <w:bookmarkEnd w:id="148"/>
      <w:bookmarkEnd w:id="149"/>
    </w:p>
    <w:p w14:paraId="0C77111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开标会主持人按照招标文件规定的开标时间宣布开标，按照规定要求主持开标会。开标将按以下程序进行：</w:t>
      </w:r>
    </w:p>
    <w:p w14:paraId="506B15B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宣布开标会开始。当众宣布参加开标会主持人、唱标人、会议记录人等工作人员，根据“投标人签到表”宣布参加投标的投标人名单。</w:t>
      </w:r>
    </w:p>
    <w:p w14:paraId="5A4E0BE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根据投标人或者其推选的代表对投标文件密封的检查结果，当众宣布投标文件的密封情况。</w:t>
      </w:r>
    </w:p>
    <w:p w14:paraId="60DEEDB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2.3.3 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410F2E24">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2.3.4 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采购与招标网上查询。</w:t>
      </w:r>
    </w:p>
    <w:p w14:paraId="1F74B525">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2.4资格性审查。</w:t>
      </w:r>
    </w:p>
    <w:p w14:paraId="46A46B85">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2.4.1本项目由评标小组进行资格性审查。</w:t>
      </w:r>
    </w:p>
    <w:p w14:paraId="68CFD948">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2.4.2评标小组应依据招标文件的规定，对投标文件是否按照规定要求提供资格性证明材料、是否属于禁止参加采购活动的投标人、是否按照规定缴纳投标保证金等进行审查，以确定投标人是否具备投标资格。</w:t>
      </w:r>
    </w:p>
    <w:p w14:paraId="2AA68FA1">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bCs/>
          <w:sz w:val="24"/>
          <w:highlight w:val="none"/>
        </w:rPr>
        <w:t>合格投标人不足3家的</w:t>
      </w:r>
      <w:r>
        <w:rPr>
          <w:rFonts w:hint="eastAsia" w:ascii="仿宋" w:hAnsi="仿宋" w:eastAsia="仿宋" w:cs="仿宋"/>
          <w:b/>
          <w:bCs/>
          <w:sz w:val="24"/>
          <w:szCs w:val="24"/>
          <w:highlight w:val="none"/>
        </w:rPr>
        <w:t>，终</w:t>
      </w:r>
      <w:r>
        <w:rPr>
          <w:rFonts w:hint="eastAsia" w:ascii="仿宋" w:hAnsi="仿宋" w:eastAsia="仿宋" w:cs="仿宋"/>
          <w:b/>
          <w:sz w:val="24"/>
          <w:szCs w:val="24"/>
          <w:highlight w:val="none"/>
        </w:rPr>
        <w:t>止本次采购活动，并发布废标公告。</w:t>
      </w:r>
    </w:p>
    <w:p w14:paraId="5EDB00EA">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 符合性检查。</w:t>
      </w:r>
    </w:p>
    <w:p w14:paraId="5658760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54513DA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2.5.2投标文件（包括单独递交的开标一览表）有下列情形的，本项目不作为实质性要求进行规定，即不作为符合性审查事项，不得作为无效投标处理：</w:t>
      </w:r>
    </w:p>
    <w:p w14:paraId="4DABB3A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（一）正副本数量齐全、密封完好，只是未按照招标文件要求进行分装或者统装的；</w:t>
      </w:r>
    </w:p>
    <w:p w14:paraId="66FE617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（二）存在个别地方（不超过2个）没有法定代表人签字，但有法定代表人的私人印章或者有效授权代理人签字的；</w:t>
      </w:r>
    </w:p>
    <w:p w14:paraId="6319163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（三）除招标文件明确要求加盖单位(法人)公章的以外，其他地方以相关专用章加盖的；</w:t>
      </w:r>
    </w:p>
    <w:p w14:paraId="5331D14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（四）以骑缝章的形式代替投标文件内容逐页盖章的（但是骑缝章模糊不清，印章名称无法辨认的除外）；</w:t>
      </w:r>
    </w:p>
    <w:p w14:paraId="570D1EE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（五）其他不影响采购项目实质性要求的情形。</w:t>
      </w:r>
    </w:p>
    <w:p w14:paraId="0F352F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2.5.3除法律制度规定的情形外，本项目投标人或者其投标文件有下列情形之一的，作为无效投标处理：</w:t>
      </w:r>
    </w:p>
    <w:p w14:paraId="725D12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（一）投标文件正副本数量不足的；</w:t>
      </w:r>
    </w:p>
    <w:p w14:paraId="27FCF49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（二）投标文件组成明显不符合招标文件的规定要求，影响评标委员会评判的；</w:t>
      </w:r>
    </w:p>
    <w:p w14:paraId="341D119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（三）投标文件的格式、语言、计量单位、报价货币、知识产权、投标有效期等不符合招标文件的规定，影响评标委员会评判的；</w:t>
      </w:r>
    </w:p>
    <w:p w14:paraId="6D6FEF9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（四）投标报价不符合招标文件规定的采购预算或限价或其他报价规定的；</w:t>
      </w:r>
    </w:p>
    <w:p w14:paraId="72B1F5A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技术应答内容完全或者绝大部分复制招标文件规定要求，且无相关证明材料的（主要适用于专用设备和电子信息化建设采购项目，采购工程、采购协议供货或定点投标人采购、采购的货物属于规格标准统一或者订制产品的除外）；</w:t>
      </w:r>
    </w:p>
    <w:p w14:paraId="44AB6C9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（六）商务、技术、服务应答内容没有完全响应招标文件的实质性要求的；</w:t>
      </w:r>
    </w:p>
    <w:p w14:paraId="59298AF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（七）未载明或者载明的投标项目履约时间、方式、数量及其他采购合同实质性内容与招标文件要求不一致，且采购单位无法接受的。</w:t>
      </w:r>
    </w:p>
    <w:p w14:paraId="580B6B04">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2.6比较与评价。</w:t>
      </w:r>
      <w:r>
        <w:rPr>
          <w:rFonts w:hint="eastAsia" w:ascii="仿宋" w:hAnsi="仿宋" w:eastAsia="仿宋" w:cs="仿宋"/>
          <w:bCs/>
          <w:sz w:val="24"/>
          <w:szCs w:val="24"/>
          <w:highlight w:val="none"/>
        </w:rPr>
        <w:t>由评标小组采用综合评分法对提交最后报价的投标人的投标文件和最后报价进行综合评分，具体要求详见本章综合评分部分。</w:t>
      </w:r>
    </w:p>
    <w:p w14:paraId="1898702C">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2.7推荐中标候选人。</w:t>
      </w:r>
      <w:r>
        <w:rPr>
          <w:rFonts w:hint="eastAsia" w:ascii="仿宋" w:hAnsi="仿宋" w:eastAsia="仿宋" w:cs="仿宋"/>
          <w:bCs/>
          <w:sz w:val="24"/>
          <w:szCs w:val="24"/>
          <w:highlight w:val="none"/>
        </w:rPr>
        <w:t>评标小组应当根据综合评分情况，按照评标得分由高到低顺序推荐3家以上中标候选人，并编写评标报告。评标得分相同的，按照最后报价由低到高的顺序推荐。评标得分且最后报价相同的，按照技术指标优劣顺序推荐。评标得分且最后报价且技术指标分项得分均相同的，中标候选人并列（若中标第一候选人并列,由采购人自主采取公平择优的方式选择中标人）。</w:t>
      </w:r>
    </w:p>
    <w:p w14:paraId="48B33F0C">
      <w:pPr>
        <w:spacing w:line="360" w:lineRule="auto"/>
        <w:ind w:firstLine="482" w:firstLineChars="200"/>
        <w:rPr>
          <w:rFonts w:hint="eastAsia" w:ascii="仿宋" w:hAnsi="仿宋" w:eastAsia="仿宋" w:cs="仿宋"/>
          <w:sz w:val="32"/>
          <w:highlight w:val="none"/>
        </w:rPr>
      </w:pPr>
      <w:r>
        <w:rPr>
          <w:rFonts w:hint="eastAsia" w:ascii="仿宋" w:hAnsi="仿宋" w:eastAsia="仿宋" w:cs="仿宋"/>
          <w:b/>
          <w:sz w:val="24"/>
          <w:szCs w:val="24"/>
          <w:highlight w:val="none"/>
        </w:rPr>
        <w:t>2.8评标小组复核。</w:t>
      </w:r>
      <w:r>
        <w:rPr>
          <w:rFonts w:hint="eastAsia" w:ascii="仿宋" w:hAnsi="仿宋" w:eastAsia="仿宋" w:cs="仿宋"/>
          <w:bCs/>
          <w:sz w:val="24"/>
          <w:szCs w:val="24"/>
          <w:highlight w:val="none"/>
        </w:rPr>
        <w:t>评标小组评分汇总结束后，评标小组应当进行评标复核，对拟推荐为中标候选人的、报价最低的、投标人资格审查未通过的、投标人投标文件作无效处理的重点复核。</w:t>
      </w:r>
    </w:p>
    <w:p w14:paraId="543CB146">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2.9采购组织单位现场复核评标结果。</w:t>
      </w:r>
    </w:p>
    <w:p w14:paraId="463F36D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2.9.1评标结果汇总完成后，评标小组拟出具评标报告前，采购代理机构应当组织2名以上的本单位工作人员，在采购现场监督人员的监督之下，依据招标文件对评标结果进行复核，出具复核报告，存在下列情形之一的，采购人、采购代理机构应当根据情况书面建议评标小组现场修改评标结果：</w:t>
      </w:r>
    </w:p>
    <w:p w14:paraId="644DA68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（1）资格性审查认定错误的；</w:t>
      </w:r>
    </w:p>
    <w:p w14:paraId="237546E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（2）分值汇总计算错误的；</w:t>
      </w:r>
    </w:p>
    <w:p w14:paraId="71D20B65">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（3）分项评分超出评分标准范围的；</w:t>
      </w:r>
    </w:p>
    <w:p w14:paraId="79ED439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（4）客观评分不一致的。</w:t>
      </w:r>
    </w:p>
    <w:p w14:paraId="6D64177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存在本条上述情形的，由评标小组自主决定是否采纳采购代理机构的书面建议，并承担独立评标责任。评标小组采纳采购代理机构书面建议的，应当按照规定现场修改评标结果或者重新评标，并在评标报告中详细记载有关事宜；不采纳采购代理机构书面建议的，应当书面说明理由。采购代理机构书面建议未被评标小组采纳的，应当接照规定程序要求继续组织实施采购活动，不得擅自中止采购活动。采购代理机构认为评标小组评标结果不合法的，应当书面报告采购项目监督部门。</w:t>
      </w:r>
    </w:p>
    <w:p w14:paraId="6DA3E67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采购代理机构复核过程中，评标小组成员不得离开评标现场。</w:t>
      </w:r>
    </w:p>
    <w:p w14:paraId="556E75B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2.9.2有下列情形之一的，不得现场修改评标结果：</w:t>
      </w:r>
    </w:p>
    <w:p w14:paraId="722A2B75">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（1）评标小组已经出具评标报告并且离开评标现场的；</w:t>
      </w:r>
    </w:p>
    <w:p w14:paraId="5D366C1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（2）采购代理机构现场复核时，复核工作人员数量不足的；</w:t>
      </w:r>
    </w:p>
    <w:p w14:paraId="2DD9B2A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（3）采购代理机构现场复核时，没有采购监督人员现场监督的；</w:t>
      </w:r>
    </w:p>
    <w:p w14:paraId="0471DC3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（4）采购代理机构现场复核内容超出规定范围的；</w:t>
      </w:r>
    </w:p>
    <w:p w14:paraId="43A2281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（5）采购代理机构未提供书面建议的。</w:t>
      </w:r>
    </w:p>
    <w:p w14:paraId="483189AE">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2.10编写评标报告。</w:t>
      </w:r>
      <w:r>
        <w:rPr>
          <w:rFonts w:hint="eastAsia" w:ascii="仿宋" w:hAnsi="仿宋" w:eastAsia="仿宋" w:cs="仿宋"/>
          <w:sz w:val="24"/>
          <w:highlight w:val="none"/>
        </w:rPr>
        <w:t>评标委员会推荐中标候选供应商后，应当向采购单位出具评标报告。评标报告应当包括下列内容：</w:t>
      </w:r>
    </w:p>
    <w:p w14:paraId="0C9C701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14:paraId="3A1A8EB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14:paraId="58F0CCF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14:paraId="2309D1F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14:paraId="649D5C1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14:paraId="5B2E315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14:paraId="7E4F70C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6280589">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2.11评标异议处理规则。</w:t>
      </w:r>
      <w:r>
        <w:rPr>
          <w:rFonts w:hint="eastAsia" w:ascii="仿宋" w:hAnsi="仿宋" w:eastAsia="仿宋" w:cs="仿宋"/>
          <w:sz w:val="24"/>
          <w:highlight w:val="none"/>
        </w:rPr>
        <w:t>评标委员会在评审过程中，对于资格性审查、符合性审查、对投标人投标文件做无效投标处理及其他需要共同认定的事项存在争议的，应当以少数服从多数的原则做出结论，但不得违背招标文件规定。有不同意见的评标委员会成员认为认定过程和结果不符合招标文件规定的，应当及时向采购单位书面反映。采购单位收到书面反映后，应当书面报告采购项目监督部门依法处理。</w:t>
      </w:r>
    </w:p>
    <w:p w14:paraId="22CBCDCC">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2.12投标人澄清、说明。</w:t>
      </w:r>
    </w:p>
    <w:p w14:paraId="6A27550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2.12.1评标小组在对投标文件的有效性、完整性和投标程度进行审查时，可以要求投标人对投标文件中含义不明确、同类问题表述不一致或者有明显文字和计算错误的内容等作出必要的澄清、说明或者更正（含商务、技术等）。投标人的澄清、说明或者更正不得超出投标文件的范围或者改变投标文件的实质性内容。</w:t>
      </w:r>
    </w:p>
    <w:p w14:paraId="71E92B6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2.12.2评标小组要求投标人澄清、说明或者更正投标文件应当以书面形式作出。投标人的澄清、说明或者更正应当由法定代表人/主要负责人/本人或其授权代表签字</w:t>
      </w:r>
      <w:r>
        <w:rPr>
          <w:rFonts w:hint="eastAsia" w:ascii="仿宋" w:hAnsi="仿宋" w:eastAsia="仿宋" w:cs="仿宋"/>
          <w:sz w:val="24"/>
          <w:szCs w:val="24"/>
          <w:highlight w:val="none"/>
        </w:rPr>
        <w:t>（注：投标人为法人的，应当由其法定代表人或者授权代表签字确认；投标人为其他组织的，应当由其主要负责人或者授权代表签字确认</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澄清、说明或者更正不影响投标文件的效力，有效的澄清、说明或者更正材料，是投标文件的组成部分。</w:t>
      </w:r>
    </w:p>
    <w:p w14:paraId="7240B498">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2.13废标。</w:t>
      </w:r>
    </w:p>
    <w:p w14:paraId="406A45B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14:paraId="14441D1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（1）符合专业条件的投标人或者对招标文件作实质响应的投标人不足三家的；</w:t>
      </w:r>
    </w:p>
    <w:p w14:paraId="0D06F53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27FED93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14:paraId="44B1FB3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14:paraId="4EB7DEF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废标后，采购代理机构应在中国采购与招标网上公告，并公告废标的情形。投标人需要知晓导致废标情形的具体原因和理由的，可以通过书面形式询问采购单位。</w:t>
      </w:r>
    </w:p>
    <w:p w14:paraId="12478DE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14:paraId="677822EF">
      <w:pPr>
        <w:spacing w:line="360" w:lineRule="auto"/>
        <w:jc w:val="center"/>
        <w:outlineLvl w:val="1"/>
        <w:rPr>
          <w:rFonts w:hint="eastAsia" w:ascii="仿宋" w:hAnsi="仿宋" w:eastAsia="仿宋" w:cs="仿宋"/>
          <w:b/>
          <w:sz w:val="28"/>
          <w:szCs w:val="28"/>
          <w:highlight w:val="none"/>
        </w:rPr>
      </w:pPr>
      <w:bookmarkStart w:id="150" w:name="_Toc7489"/>
      <w:r>
        <w:rPr>
          <w:rFonts w:hint="eastAsia" w:ascii="仿宋" w:hAnsi="仿宋" w:eastAsia="仿宋" w:cs="仿宋"/>
          <w:b/>
          <w:sz w:val="28"/>
          <w:szCs w:val="28"/>
          <w:highlight w:val="none"/>
        </w:rPr>
        <w:t>四、综合评分</w:t>
      </w:r>
      <w:bookmarkEnd w:id="150"/>
    </w:p>
    <w:p w14:paraId="1A45429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4.1本次综合评分的因素是：详见本章节综合评分明细表。</w:t>
      </w:r>
    </w:p>
    <w:p w14:paraId="52F1850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 除价格因素外，评标小组成员应当根据自身专业情况独立对每个有效投标人的投标文件进行评价、打分。技术、与技术有关的服务及其他技术类评分因素由抽取的技术方面评标小组成员独立评分。财务状况及其他经济类评分因素由抽取的经济方面评标小组成员独立评分。采购合同主要条款及其他政策合同类的评分因素由抽取的法律方面评标小组成员独立评分。采购人代表原则上对技术、与技术有关的服务及其他技术类评分因素独立评分。价格及其他不能明确区分的评分因素由评标小组成员共同评分。</w:t>
      </w:r>
    </w:p>
    <w:p w14:paraId="23CEF5B5">
      <w:pPr>
        <w:pStyle w:val="9"/>
        <w:tabs>
          <w:tab w:val="left" w:pos="600"/>
        </w:tabs>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4.3综合评分明细表</w:t>
      </w:r>
    </w:p>
    <w:p w14:paraId="255F9D18">
      <w:pPr>
        <w:pStyle w:val="9"/>
        <w:tabs>
          <w:tab w:val="left" w:pos="60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14:paraId="4A40732B">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4.3.2综合评分明细表</w:t>
      </w:r>
    </w:p>
    <w:p w14:paraId="05BC7B85">
      <w:pPr>
        <w:spacing w:line="360" w:lineRule="auto"/>
        <w:ind w:firstLine="472" w:firstLineChars="196"/>
        <w:rPr>
          <w:rFonts w:hint="eastAsia" w:ascii="仿宋" w:hAnsi="仿宋" w:eastAsia="仿宋" w:cs="仿宋"/>
          <w:b/>
          <w:sz w:val="24"/>
          <w:szCs w:val="24"/>
          <w:highlight w:val="none"/>
        </w:rPr>
      </w:pPr>
    </w:p>
    <w:p w14:paraId="0495F56A">
      <w:pPr>
        <w:spacing w:line="360" w:lineRule="auto"/>
        <w:ind w:firstLine="472" w:firstLineChars="196"/>
        <w:rPr>
          <w:rFonts w:hint="eastAsia" w:ascii="仿宋" w:hAnsi="仿宋" w:eastAsia="仿宋" w:cs="仿宋"/>
          <w:b/>
          <w:sz w:val="24"/>
          <w:szCs w:val="24"/>
          <w:highlight w:val="none"/>
        </w:rPr>
      </w:pPr>
    </w:p>
    <w:tbl>
      <w:tblPr>
        <w:tblStyle w:val="22"/>
        <w:tblW w:w="5213"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69"/>
        <w:gridCol w:w="941"/>
        <w:gridCol w:w="4919"/>
        <w:gridCol w:w="1816"/>
      </w:tblGrid>
      <w:tr w14:paraId="1FD8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8" w:type="pct"/>
            <w:noWrap w:val="0"/>
            <w:vAlign w:val="center"/>
          </w:tcPr>
          <w:p w14:paraId="57826679">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序号</w:t>
            </w:r>
          </w:p>
        </w:tc>
        <w:tc>
          <w:tcPr>
            <w:tcW w:w="914" w:type="pct"/>
            <w:noWrap w:val="0"/>
            <w:vAlign w:val="center"/>
          </w:tcPr>
          <w:p w14:paraId="75D21B6D">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评分因素及权重</w:t>
            </w:r>
          </w:p>
        </w:tc>
        <w:tc>
          <w:tcPr>
            <w:tcW w:w="460" w:type="pct"/>
            <w:noWrap w:val="0"/>
            <w:vAlign w:val="center"/>
          </w:tcPr>
          <w:p w14:paraId="2A131CB0">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分值</w:t>
            </w:r>
          </w:p>
        </w:tc>
        <w:tc>
          <w:tcPr>
            <w:tcW w:w="2406" w:type="pct"/>
            <w:noWrap w:val="0"/>
            <w:vAlign w:val="center"/>
          </w:tcPr>
          <w:p w14:paraId="01F27747">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评分标准</w:t>
            </w:r>
          </w:p>
        </w:tc>
        <w:tc>
          <w:tcPr>
            <w:tcW w:w="888" w:type="pct"/>
            <w:noWrap w:val="0"/>
            <w:vAlign w:val="center"/>
          </w:tcPr>
          <w:p w14:paraId="0A349008">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评审依据</w:t>
            </w:r>
          </w:p>
        </w:tc>
      </w:tr>
      <w:tr w14:paraId="4610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328" w:type="pct"/>
            <w:noWrap w:val="0"/>
            <w:vAlign w:val="center"/>
          </w:tcPr>
          <w:p w14:paraId="2592A2BD">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rPr>
              <w:t>1</w:t>
            </w:r>
          </w:p>
        </w:tc>
        <w:tc>
          <w:tcPr>
            <w:tcW w:w="1869" w:type="dxa"/>
            <w:noWrap w:val="0"/>
            <w:vAlign w:val="center"/>
          </w:tcPr>
          <w:p w14:paraId="427B1F91">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i w:val="0"/>
                <w:color w:val="000000"/>
                <w:kern w:val="0"/>
                <w:sz w:val="24"/>
                <w:szCs w:val="24"/>
                <w:u w:val="none"/>
                <w:lang w:val="en-US" w:eastAsia="zh-CN" w:bidi="ar"/>
              </w:rPr>
              <w:t>报价40%</w:t>
            </w:r>
          </w:p>
        </w:tc>
        <w:tc>
          <w:tcPr>
            <w:tcW w:w="941" w:type="dxa"/>
            <w:noWrap w:val="0"/>
            <w:vAlign w:val="center"/>
          </w:tcPr>
          <w:p w14:paraId="43511BC9">
            <w:pPr>
              <w:keepNext w:val="0"/>
              <w:keepLines w:val="0"/>
              <w:widowControl/>
              <w:suppressLineNumbers w:val="0"/>
              <w:jc w:val="center"/>
              <w:textAlignment w:val="center"/>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i w:val="0"/>
                <w:color w:val="000000"/>
                <w:kern w:val="0"/>
                <w:sz w:val="24"/>
                <w:szCs w:val="24"/>
                <w:u w:val="none"/>
                <w:lang w:val="en-US" w:eastAsia="zh-CN" w:bidi="ar"/>
              </w:rPr>
              <w:t>40分</w:t>
            </w:r>
          </w:p>
        </w:tc>
        <w:tc>
          <w:tcPr>
            <w:tcW w:w="4919" w:type="dxa"/>
            <w:noWrap w:val="0"/>
            <w:vAlign w:val="center"/>
          </w:tcPr>
          <w:p w14:paraId="695E5F7F">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val="en-US" w:eastAsia="zh-CN" w:bidi="zh-CN"/>
              </w:rPr>
            </w:pPr>
            <w:r>
              <w:rPr>
                <w:rFonts w:hint="eastAsia" w:ascii="仿宋" w:hAnsi="仿宋" w:eastAsia="仿宋" w:cs="仿宋"/>
                <w:i w:val="0"/>
                <w:color w:val="000000"/>
                <w:kern w:val="0"/>
                <w:sz w:val="24"/>
                <w:szCs w:val="24"/>
                <w:u w:val="none"/>
                <w:lang w:val="en-US" w:eastAsia="zh-CN" w:bidi="ar"/>
              </w:rPr>
              <w:t>满足招标文件要求且价格最低的投标人投标报价为评标基准价，其价格分为满分。其他投标人的价格分统一按照下列公式计算：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报价得分=（评标基准价÷投标报价）×40%×100。</w:t>
            </w:r>
          </w:p>
        </w:tc>
        <w:tc>
          <w:tcPr>
            <w:tcW w:w="888" w:type="pct"/>
            <w:noWrap w:val="0"/>
            <w:vAlign w:val="center"/>
          </w:tcPr>
          <w:p w14:paraId="44B78C1A">
            <w:pPr>
              <w:widowControl/>
              <w:wordWrap w:val="0"/>
              <w:spacing w:line="360" w:lineRule="auto"/>
              <w:ind w:right="30" w:rightChars="0"/>
              <w:jc w:val="center"/>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sz w:val="24"/>
                <w:szCs w:val="24"/>
                <w:highlight w:val="none"/>
                <w:lang w:eastAsia="zh-CN"/>
              </w:rPr>
              <w:t>以投标人提供的报价一览表为依据。</w:t>
            </w:r>
          </w:p>
        </w:tc>
      </w:tr>
      <w:tr w14:paraId="5A5D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4" w:hRule="atLeast"/>
        </w:trPr>
        <w:tc>
          <w:tcPr>
            <w:tcW w:w="328" w:type="pct"/>
            <w:tcBorders>
              <w:top w:val="single" w:color="auto" w:sz="4" w:space="0"/>
              <w:left w:val="single" w:color="auto" w:sz="4" w:space="0"/>
              <w:right w:val="single" w:color="auto" w:sz="4" w:space="0"/>
            </w:tcBorders>
            <w:noWrap w:val="0"/>
            <w:vAlign w:val="center"/>
          </w:tcPr>
          <w:p w14:paraId="0CA41BA6">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1869" w:type="dxa"/>
            <w:tcBorders>
              <w:top w:val="single" w:color="auto" w:sz="4" w:space="0"/>
              <w:left w:val="single" w:color="auto" w:sz="4" w:space="0"/>
              <w:right w:val="single" w:color="auto" w:sz="4" w:space="0"/>
            </w:tcBorders>
            <w:noWrap w:val="0"/>
            <w:vAlign w:val="center"/>
          </w:tcPr>
          <w:p w14:paraId="187007D9">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i w:val="0"/>
                <w:color w:val="000000"/>
                <w:kern w:val="0"/>
                <w:sz w:val="24"/>
                <w:szCs w:val="24"/>
                <w:u w:val="none"/>
                <w:lang w:val="en-US" w:eastAsia="zh-CN" w:bidi="ar"/>
              </w:rPr>
              <w:t>项目实施方案30%</w:t>
            </w:r>
          </w:p>
        </w:tc>
        <w:tc>
          <w:tcPr>
            <w:tcW w:w="941" w:type="dxa"/>
            <w:tcBorders>
              <w:top w:val="single" w:color="auto" w:sz="4" w:space="0"/>
              <w:left w:val="single" w:color="auto" w:sz="4" w:space="0"/>
              <w:right w:val="single" w:color="auto" w:sz="4" w:space="0"/>
            </w:tcBorders>
            <w:noWrap w:val="0"/>
            <w:vAlign w:val="center"/>
          </w:tcPr>
          <w:p w14:paraId="3EC59F04">
            <w:pPr>
              <w:keepNext w:val="0"/>
              <w:keepLines w:val="0"/>
              <w:widowControl/>
              <w:suppressLineNumbers w:val="0"/>
              <w:jc w:val="center"/>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i w:val="0"/>
                <w:color w:val="000000"/>
                <w:kern w:val="0"/>
                <w:sz w:val="24"/>
                <w:szCs w:val="24"/>
                <w:u w:val="none"/>
                <w:lang w:val="en-US" w:eastAsia="zh-CN" w:bidi="ar"/>
              </w:rPr>
              <w:t>30分</w:t>
            </w:r>
          </w:p>
        </w:tc>
        <w:tc>
          <w:tcPr>
            <w:tcW w:w="4919" w:type="dxa"/>
            <w:tcBorders>
              <w:top w:val="single" w:color="auto" w:sz="4" w:space="0"/>
              <w:left w:val="single" w:color="auto" w:sz="4" w:space="0"/>
              <w:bottom w:val="single" w:color="auto" w:sz="4" w:space="0"/>
              <w:right w:val="single" w:color="auto" w:sz="4" w:space="0"/>
            </w:tcBorders>
            <w:noWrap w:val="0"/>
            <w:vAlign w:val="center"/>
          </w:tcPr>
          <w:p w14:paraId="4E46C3F3">
            <w:pPr>
              <w:keepNext w:val="0"/>
              <w:keepLines w:val="0"/>
              <w:widowControl/>
              <w:suppressLineNumbers w:val="0"/>
              <w:jc w:val="left"/>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i w:val="0"/>
                <w:color w:val="000000"/>
                <w:kern w:val="0"/>
                <w:sz w:val="24"/>
                <w:szCs w:val="24"/>
                <w:u w:val="none"/>
                <w:lang w:val="en-US" w:eastAsia="zh-CN" w:bidi="ar"/>
              </w:rPr>
              <w:t>根据投标人提供的针对本项目的项目实施方案（包含：①配送服务计划及响应时限；②公司内部管理制度；③备货方案；④人员配置安排方案；⑤项目服务质量保障措施及安全保障措施。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以上5个部分方案要素齐全得30分。每缺少一个部分扣6分，扣完为止，内容描述存在不完整、前后矛盾、不符合项目要求中任何一种情形或其他不足之处的，每有一处扣1分，每个部分最多扣6分，扣完为止。（注：其他不足之处是指存在内容套用或错用、涉及的规范及标准错误、地点区域错误、科学原理错误以及不可能实现的夸大情形、仅有标题或框架等。）</w:t>
            </w:r>
          </w:p>
        </w:tc>
        <w:tc>
          <w:tcPr>
            <w:tcW w:w="888" w:type="pct"/>
            <w:tcBorders>
              <w:top w:val="single" w:color="auto" w:sz="4" w:space="0"/>
              <w:left w:val="single" w:color="auto" w:sz="4" w:space="0"/>
              <w:right w:val="single" w:color="auto" w:sz="4" w:space="0"/>
            </w:tcBorders>
            <w:noWrap w:val="0"/>
            <w:vAlign w:val="center"/>
          </w:tcPr>
          <w:p w14:paraId="034FF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1E2C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trPr>
        <w:tc>
          <w:tcPr>
            <w:tcW w:w="328" w:type="pct"/>
            <w:tcBorders>
              <w:top w:val="single" w:color="auto" w:sz="4" w:space="0"/>
              <w:left w:val="single" w:color="auto" w:sz="4" w:space="0"/>
              <w:right w:val="single" w:color="auto" w:sz="4" w:space="0"/>
            </w:tcBorders>
            <w:noWrap w:val="0"/>
            <w:vAlign w:val="center"/>
          </w:tcPr>
          <w:p w14:paraId="038AB1E1">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3</w:t>
            </w:r>
          </w:p>
        </w:tc>
        <w:tc>
          <w:tcPr>
            <w:tcW w:w="1869" w:type="dxa"/>
            <w:tcBorders>
              <w:top w:val="single" w:color="auto" w:sz="4" w:space="0"/>
              <w:left w:val="single" w:color="auto" w:sz="4" w:space="0"/>
              <w:right w:val="single" w:color="auto" w:sz="4" w:space="0"/>
            </w:tcBorders>
            <w:noWrap w:val="0"/>
            <w:vAlign w:val="center"/>
          </w:tcPr>
          <w:p w14:paraId="32B721AF">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i w:val="0"/>
                <w:color w:val="000000"/>
                <w:kern w:val="0"/>
                <w:sz w:val="24"/>
                <w:szCs w:val="24"/>
                <w:u w:val="none"/>
                <w:lang w:val="en-US" w:eastAsia="zh-CN" w:bidi="ar"/>
              </w:rPr>
              <w:t>售后服务方案25%</w:t>
            </w:r>
          </w:p>
        </w:tc>
        <w:tc>
          <w:tcPr>
            <w:tcW w:w="941" w:type="dxa"/>
            <w:tcBorders>
              <w:top w:val="single" w:color="auto" w:sz="4" w:space="0"/>
              <w:left w:val="single" w:color="auto" w:sz="4" w:space="0"/>
              <w:right w:val="single" w:color="auto" w:sz="4" w:space="0"/>
            </w:tcBorders>
            <w:noWrap w:val="0"/>
            <w:vAlign w:val="center"/>
          </w:tcPr>
          <w:p w14:paraId="12C45D71">
            <w:pPr>
              <w:keepNext w:val="0"/>
              <w:keepLines w:val="0"/>
              <w:widowControl/>
              <w:suppressLineNumbers w:val="0"/>
              <w:jc w:val="center"/>
              <w:textAlignment w:val="center"/>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i w:val="0"/>
                <w:color w:val="000000"/>
                <w:kern w:val="0"/>
                <w:sz w:val="24"/>
                <w:szCs w:val="24"/>
                <w:u w:val="none"/>
                <w:lang w:val="en-US" w:eastAsia="zh-CN" w:bidi="ar"/>
              </w:rPr>
              <w:t>25分</w:t>
            </w:r>
          </w:p>
        </w:tc>
        <w:tc>
          <w:tcPr>
            <w:tcW w:w="4919" w:type="dxa"/>
            <w:tcBorders>
              <w:top w:val="single" w:color="auto" w:sz="4" w:space="0"/>
              <w:left w:val="single" w:color="auto" w:sz="4" w:space="0"/>
              <w:bottom w:val="single" w:color="auto" w:sz="4" w:space="0"/>
              <w:right w:val="single" w:color="auto" w:sz="4" w:space="0"/>
            </w:tcBorders>
            <w:noWrap w:val="0"/>
            <w:vAlign w:val="center"/>
          </w:tcPr>
          <w:p w14:paraId="48E98D12">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i w:val="0"/>
                <w:color w:val="000000"/>
                <w:kern w:val="0"/>
                <w:sz w:val="24"/>
                <w:szCs w:val="24"/>
                <w:u w:val="none"/>
                <w:lang w:val="en-US" w:eastAsia="zh-CN" w:bidi="ar"/>
              </w:rPr>
              <w:t>根据投标人提供的针对本项目的售后服务方案（包含：①售后服务体系；②不良事件处理方案；③短缺货/紧急采购应急处置流程；④退换货服务方案;⑤设备维护保养技术人员。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以上5个部分方案要素齐全得25分。每缺少一个部分扣5分，扣完为止，内容描述存在不完整、前后矛盾、不符合项目要求中任何一种情形或其他不足之处的，每有一处扣1分，每个部分最多扣5分，扣完为止。（注：其他不足之处是指存在内容套用或错用、涉及的规范及标准错误、地点区域错误、科学原理错误以及不可能实现的夸大情形、仅有标题或框架等。）</w:t>
            </w:r>
          </w:p>
        </w:tc>
        <w:tc>
          <w:tcPr>
            <w:tcW w:w="888" w:type="pct"/>
            <w:tcBorders>
              <w:top w:val="single" w:color="auto" w:sz="4" w:space="0"/>
              <w:left w:val="single" w:color="auto" w:sz="4" w:space="0"/>
              <w:right w:val="single" w:color="auto" w:sz="4" w:space="0"/>
            </w:tcBorders>
            <w:noWrap w:val="0"/>
            <w:vAlign w:val="center"/>
          </w:tcPr>
          <w:p w14:paraId="7FC29A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4"/>
                <w:szCs w:val="24"/>
                <w:highlight w:val="none"/>
                <w:lang w:bidi="zh-CN"/>
              </w:rPr>
            </w:pPr>
            <w:r>
              <w:rPr>
                <w:rFonts w:hint="eastAsia" w:ascii="仿宋" w:hAnsi="仿宋" w:eastAsia="仿宋" w:cs="仿宋"/>
                <w:b w:val="0"/>
                <w:bCs w:val="0"/>
                <w:color w:val="auto"/>
                <w:sz w:val="24"/>
                <w:szCs w:val="24"/>
                <w:highlight w:val="none"/>
              </w:rPr>
              <w:t>以投标人提供的投标文件为依据。</w:t>
            </w:r>
          </w:p>
        </w:tc>
      </w:tr>
      <w:tr w14:paraId="685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14:paraId="00475B5A">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color w:val="auto"/>
                <w:sz w:val="22"/>
                <w:szCs w:val="22"/>
                <w:highlight w:val="none"/>
                <w:lang w:val="en-US" w:eastAsia="zh-CN"/>
              </w:rPr>
              <w:t>4</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47715068">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rPr>
            </w:pPr>
            <w:bookmarkStart w:id="151" w:name="OLE_LINK16"/>
            <w:r>
              <w:rPr>
                <w:rFonts w:hint="eastAsia" w:ascii="仿宋" w:hAnsi="仿宋" w:eastAsia="仿宋" w:cs="仿宋"/>
                <w:i w:val="0"/>
                <w:color w:val="000000"/>
                <w:kern w:val="0"/>
                <w:sz w:val="24"/>
                <w:szCs w:val="24"/>
                <w:u w:val="none"/>
                <w:lang w:val="en-US" w:eastAsia="zh-CN" w:bidi="ar"/>
              </w:rPr>
              <w:t>同类业绩</w:t>
            </w:r>
            <w:bookmarkEnd w:id="151"/>
            <w:r>
              <w:rPr>
                <w:rFonts w:hint="eastAsia" w:ascii="仿宋" w:hAnsi="仿宋" w:eastAsia="仿宋" w:cs="仿宋"/>
                <w:i w:val="0"/>
                <w:color w:val="000000"/>
                <w:kern w:val="0"/>
                <w:sz w:val="24"/>
                <w:szCs w:val="24"/>
                <w:u w:val="none"/>
                <w:lang w:val="en-US" w:eastAsia="zh-CN" w:bidi="ar"/>
              </w:rPr>
              <w:t>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3B2D88A">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i w:val="0"/>
                <w:color w:val="000000"/>
                <w:kern w:val="0"/>
                <w:sz w:val="24"/>
                <w:szCs w:val="24"/>
                <w:u w:val="none"/>
                <w:lang w:val="en-US" w:eastAsia="zh-CN" w:bidi="ar"/>
              </w:rPr>
              <w:t>5分</w:t>
            </w:r>
          </w:p>
        </w:tc>
        <w:tc>
          <w:tcPr>
            <w:tcW w:w="4919" w:type="dxa"/>
            <w:tcBorders>
              <w:top w:val="single" w:color="auto" w:sz="4" w:space="0"/>
              <w:left w:val="single" w:color="auto" w:sz="4" w:space="0"/>
              <w:bottom w:val="single" w:color="auto" w:sz="4" w:space="0"/>
              <w:right w:val="single" w:color="auto" w:sz="4" w:space="0"/>
            </w:tcBorders>
            <w:noWrap w:val="0"/>
            <w:vAlign w:val="center"/>
          </w:tcPr>
          <w:p w14:paraId="7BBF308A">
            <w:pPr>
              <w:keepNext w:val="0"/>
              <w:keepLines w:val="0"/>
              <w:widowControl/>
              <w:suppressLineNumbers w:val="0"/>
              <w:jc w:val="left"/>
              <w:textAlignment w:val="cente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i w:val="0"/>
                <w:color w:val="000000"/>
                <w:kern w:val="0"/>
                <w:sz w:val="24"/>
                <w:szCs w:val="24"/>
                <w:u w:val="none"/>
                <w:lang w:val="en-US" w:eastAsia="zh-CN" w:bidi="ar"/>
              </w:rPr>
              <w:t>投标人自 2023年 1 月 1 日（以签订合同时间为准）至今，每提供 1 个同类业绩的得2.5分，本项最多得5分。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注：提供项目合同复印件，并加盖投标人鲜章。</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0DB8EC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以投标人提供的投标文件为依据。</w:t>
            </w:r>
          </w:p>
        </w:tc>
      </w:tr>
    </w:tbl>
    <w:p w14:paraId="06A8DC6D">
      <w:pPr>
        <w:spacing w:line="360" w:lineRule="auto"/>
        <w:rPr>
          <w:rFonts w:hint="eastAsia" w:ascii="仿宋" w:hAnsi="仿宋" w:eastAsia="仿宋" w:cs="仿宋"/>
          <w:sz w:val="24"/>
          <w:szCs w:val="24"/>
          <w:highlight w:val="none"/>
        </w:rPr>
      </w:pPr>
    </w:p>
    <w:p w14:paraId="35BA2C7F">
      <w:pPr>
        <w:pStyle w:val="2"/>
        <w:rPr>
          <w:rFonts w:hint="eastAsia" w:ascii="仿宋" w:hAnsi="仿宋" w:eastAsia="仿宋" w:cs="仿宋"/>
          <w:highlight w:val="none"/>
        </w:rPr>
      </w:pPr>
    </w:p>
    <w:p w14:paraId="195D4F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注：评分的取值按四舍五入法，保留小数点后两位。</w:t>
      </w:r>
    </w:p>
    <w:bookmarkEnd w:id="140"/>
    <w:bookmarkEnd w:id="141"/>
    <w:bookmarkEnd w:id="142"/>
    <w:bookmarkEnd w:id="143"/>
    <w:p w14:paraId="39188083">
      <w:pPr>
        <w:tabs>
          <w:tab w:val="left" w:pos="851"/>
        </w:tabs>
        <w:spacing w:line="360" w:lineRule="auto"/>
        <w:jc w:val="center"/>
        <w:outlineLvl w:val="1"/>
        <w:rPr>
          <w:rFonts w:hint="eastAsia" w:ascii="仿宋" w:hAnsi="仿宋" w:eastAsia="仿宋" w:cs="仿宋"/>
          <w:b/>
          <w:sz w:val="28"/>
          <w:szCs w:val="28"/>
          <w:highlight w:val="none"/>
        </w:rPr>
      </w:pPr>
      <w:bookmarkStart w:id="152" w:name="_Toc26677"/>
      <w:r>
        <w:rPr>
          <w:rFonts w:hint="eastAsia" w:ascii="仿宋" w:hAnsi="仿宋" w:eastAsia="仿宋" w:cs="仿宋"/>
          <w:b/>
          <w:sz w:val="28"/>
          <w:szCs w:val="28"/>
          <w:highlight w:val="none"/>
        </w:rPr>
        <w:t>五、纪律及注意事项</w:t>
      </w:r>
      <w:bookmarkEnd w:id="152"/>
    </w:p>
    <w:p w14:paraId="4247F173">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4.1评标小组内部讨论的情况和意见必须保密，任何人不得以任何形式透露给投标人或与投标人有关的单位或个人。</w:t>
      </w:r>
    </w:p>
    <w:p w14:paraId="5ACFF77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4.2在采购活动过程中，投标人不得以任何形式对评标小组成员进行旨在影响采购结果的私下接触，否则将取消其参与采购的资格。</w:t>
      </w:r>
    </w:p>
    <w:p w14:paraId="64359709">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4.3对各投标人的商业秘密，评标小组成员应予以保密，不得泄露给其他投标人。</w:t>
      </w:r>
    </w:p>
    <w:p w14:paraId="444706C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评标小组独立评判，推荐中标候选人，并写出书面报告。</w:t>
      </w:r>
    </w:p>
    <w:p w14:paraId="58634B32">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 评标小组可根据需要对投标人进行实地考察。</w:t>
      </w:r>
    </w:p>
    <w:bookmarkEnd w:id="144"/>
    <w:p w14:paraId="4BC17C75">
      <w:pPr>
        <w:tabs>
          <w:tab w:val="left" w:pos="7665"/>
        </w:tabs>
        <w:spacing w:line="360" w:lineRule="auto"/>
        <w:jc w:val="center"/>
        <w:outlineLvl w:val="1"/>
        <w:rPr>
          <w:rFonts w:hint="eastAsia" w:ascii="仿宋" w:hAnsi="仿宋" w:eastAsia="仿宋" w:cs="仿宋"/>
          <w:b/>
          <w:sz w:val="28"/>
          <w:szCs w:val="28"/>
          <w:highlight w:val="none"/>
        </w:rPr>
      </w:pPr>
      <w:bookmarkStart w:id="153" w:name="_Toc14931"/>
      <w:r>
        <w:rPr>
          <w:rFonts w:hint="eastAsia" w:ascii="仿宋" w:hAnsi="仿宋" w:eastAsia="仿宋" w:cs="仿宋"/>
          <w:b/>
          <w:bCs/>
          <w:sz w:val="28"/>
          <w:szCs w:val="28"/>
          <w:highlight w:val="none"/>
        </w:rPr>
        <w:t>六、评标</w:t>
      </w:r>
      <w:r>
        <w:rPr>
          <w:rFonts w:hint="eastAsia" w:ascii="仿宋" w:hAnsi="仿宋" w:eastAsia="仿宋" w:cs="仿宋"/>
          <w:b/>
          <w:sz w:val="28"/>
          <w:szCs w:val="28"/>
          <w:highlight w:val="none"/>
        </w:rPr>
        <w:t>小组在采购活动中承担以下义务</w:t>
      </w:r>
      <w:bookmarkEnd w:id="153"/>
    </w:p>
    <w:p w14:paraId="58C18EC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（一）遵守评标工作纪律；</w:t>
      </w:r>
    </w:p>
    <w:p w14:paraId="04F58A1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（二）按照客观、公正、审慎的原则，根据招标文件规定的评标程序、评标方法和评标标准进行独立评标；</w:t>
      </w:r>
    </w:p>
    <w:p w14:paraId="09C393F2">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（三）不得泄露评标文件、评标情况和在评标过程中获悉的商业秘密；</w:t>
      </w:r>
    </w:p>
    <w:p w14:paraId="423ED10C">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（四）及时向有关部门报告评标过程中发现的采购人、采购代理机构向评标专家做倾向性、误导性的解释或者说明，以及投标人行贿、提供虚假材料或者串通等违法行为；</w:t>
      </w:r>
    </w:p>
    <w:p w14:paraId="1E10C4F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（五）发现招标文件内容违反国家有关强制性规定或者招标文件存在歧义、重大缺陷导致评标工作无法进行时，停止评标并向采购人或者采购代理机构书面说明情况；</w:t>
      </w:r>
    </w:p>
    <w:p w14:paraId="438BCF3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（六）及时举报在评标过程中受到非法干预的情况；</w:t>
      </w:r>
    </w:p>
    <w:p w14:paraId="5C8AC069">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（七）配合答复处理投标人的询问、质疑和投诉等事项；</w:t>
      </w:r>
    </w:p>
    <w:p w14:paraId="4E0BE1D0">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（八）其他义务。</w:t>
      </w:r>
    </w:p>
    <w:p w14:paraId="1144A356">
      <w:pPr>
        <w:tabs>
          <w:tab w:val="left" w:pos="7665"/>
        </w:tabs>
        <w:spacing w:line="360" w:lineRule="auto"/>
        <w:jc w:val="center"/>
        <w:outlineLvl w:val="1"/>
        <w:rPr>
          <w:rFonts w:hint="eastAsia" w:ascii="仿宋" w:hAnsi="仿宋" w:eastAsia="仿宋" w:cs="仿宋"/>
          <w:b/>
          <w:sz w:val="28"/>
          <w:szCs w:val="28"/>
          <w:highlight w:val="none"/>
        </w:rPr>
      </w:pPr>
      <w:bookmarkStart w:id="154" w:name="_Toc1532"/>
      <w:r>
        <w:rPr>
          <w:rFonts w:hint="eastAsia" w:ascii="仿宋" w:hAnsi="仿宋" w:eastAsia="仿宋" w:cs="仿宋"/>
          <w:b/>
          <w:sz w:val="28"/>
          <w:szCs w:val="28"/>
          <w:highlight w:val="none"/>
        </w:rPr>
        <w:t>七、评标专家在采购活动中应当遵守以下工作纪律</w:t>
      </w:r>
      <w:bookmarkEnd w:id="154"/>
    </w:p>
    <w:p w14:paraId="7EF9F57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（一）发现参加了与自己有利害关系的评标活动，须主动提出回避，退出评标；</w:t>
      </w:r>
    </w:p>
    <w:p w14:paraId="37F8A2A7">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（二）评标前，应当将通讯工具或者相关电子设备交由采购代理机构统一保管；</w:t>
      </w:r>
    </w:p>
    <w:p w14:paraId="43CC535F">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（三）评标过程中，不得与外界联系，因发生不可预见情况，确实需要与外界联系的，应当在监督人员监督之下办理；</w:t>
      </w:r>
    </w:p>
    <w:p w14:paraId="7E68B42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过程中，不得发表影响评标公正的倾向性、歧视性言论，不得征询或者接受采购人的倾向性意见，不得明示或暗示投标人在澄清时表达与其投标文件原义不同的意见，不得以招标文件没有规定的评标方法和标准作为评标的依据，不得修改或者细化评标程序、评标方法、评标因素和评标标准，不得违规撰写评标意见，不得拒绝对自己的评标意见签字确认；</w:t>
      </w:r>
    </w:p>
    <w:p w14:paraId="56A9EFDE">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（五）在评标过程中和评标结束后，不得记录、复制或带走任何评标资料，不得向外界透露评标内容；</w:t>
      </w:r>
    </w:p>
    <w:p w14:paraId="19E1441A">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（六）评标现场服从采购代理机构工作人员的管理，接受现场监督人员的合法监督；</w:t>
      </w:r>
    </w:p>
    <w:p w14:paraId="7642A85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（七）遵守有关廉洁自律规定，不得私下接触投标人，不得收受投标人及有关业务单位和个人的财物或好处，不得接受采购代理机构的请托。</w:t>
      </w:r>
    </w:p>
    <w:p w14:paraId="24675FBD">
      <w:pPr>
        <w:adjustRightInd w:val="0"/>
        <w:snapToGrid w:val="0"/>
        <w:spacing w:line="360" w:lineRule="auto"/>
        <w:rPr>
          <w:rFonts w:hint="eastAsia" w:ascii="仿宋" w:hAnsi="仿宋" w:eastAsia="仿宋" w:cs="仿宋"/>
          <w:b/>
          <w:bCs/>
          <w:sz w:val="24"/>
          <w:szCs w:val="24"/>
          <w:highlight w:val="none"/>
        </w:rPr>
      </w:pPr>
    </w:p>
    <w:p w14:paraId="4A84F6BE">
      <w:pPr>
        <w:spacing w:line="360" w:lineRule="auto"/>
        <w:jc w:val="center"/>
        <w:rPr>
          <w:rFonts w:hint="eastAsia" w:ascii="仿宋" w:hAnsi="仿宋" w:eastAsia="仿宋" w:cs="仿宋"/>
          <w:sz w:val="24"/>
          <w:szCs w:val="24"/>
          <w:highlight w:val="none"/>
        </w:rPr>
      </w:pPr>
    </w:p>
    <w:p w14:paraId="7FFF5AFA">
      <w:pPr>
        <w:spacing w:line="360" w:lineRule="auto"/>
        <w:rPr>
          <w:rFonts w:hint="eastAsia" w:ascii="仿宋" w:hAnsi="仿宋" w:eastAsia="仿宋" w:cs="仿宋"/>
          <w:sz w:val="24"/>
          <w:szCs w:val="24"/>
          <w:highlight w:val="none"/>
        </w:rPr>
      </w:pPr>
    </w:p>
    <w:p w14:paraId="2AA72493">
      <w:pPr>
        <w:numPr>
          <w:ilvl w:val="0"/>
          <w:numId w:val="4"/>
        </w:numPr>
        <w:tabs>
          <w:tab w:val="left" w:pos="7665"/>
        </w:tabs>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155" w:name="_Toc3114"/>
      <w:r>
        <w:rPr>
          <w:rFonts w:hint="eastAsia" w:ascii="仿宋" w:hAnsi="仿宋" w:eastAsia="仿宋" w:cs="仿宋"/>
          <w:b/>
          <w:sz w:val="36"/>
          <w:szCs w:val="36"/>
          <w:highlight w:val="none"/>
        </w:rPr>
        <w:t xml:space="preserve"> 采购合同（草案）</w:t>
      </w:r>
      <w:bookmarkEnd w:id="155"/>
    </w:p>
    <w:bookmarkEnd w:id="96"/>
    <w:bookmarkEnd w:id="97"/>
    <w:bookmarkEnd w:id="98"/>
    <w:p w14:paraId="54901584">
      <w:pPr>
        <w:widowControl/>
        <w:spacing w:before="240" w:after="240"/>
        <w:jc w:val="center"/>
        <w:rPr>
          <w:rFonts w:hint="eastAsia" w:ascii="仿宋" w:hAnsi="仿宋" w:eastAsia="仿宋" w:cs="仿宋"/>
          <w:b/>
          <w:bCs/>
          <w:color w:val="auto"/>
          <w:kern w:val="0"/>
          <w:sz w:val="36"/>
          <w:highlight w:val="none"/>
        </w:rPr>
      </w:pPr>
      <w:bookmarkStart w:id="156" w:name="_Toc212285660"/>
      <w:bookmarkStart w:id="157" w:name="_Toc132254137"/>
      <w:bookmarkStart w:id="158" w:name="_Toc136833130"/>
      <w:bookmarkStart w:id="159" w:name="_Toc215280223"/>
      <w:bookmarkStart w:id="160" w:name="_Toc132254489"/>
      <w:bookmarkStart w:id="161" w:name="_Toc201853419"/>
      <w:bookmarkStart w:id="162" w:name="_Toc132253971"/>
      <w:bookmarkStart w:id="163" w:name="_Toc171051496"/>
      <w:bookmarkStart w:id="164" w:name="_Toc138581212"/>
      <w:bookmarkStart w:id="165" w:name="_Toc138581131"/>
      <w:bookmarkStart w:id="166" w:name="_Toc134953394"/>
      <w:bookmarkStart w:id="167" w:name="_Toc130193156"/>
      <w:bookmarkStart w:id="168" w:name="_Toc132163519"/>
      <w:bookmarkStart w:id="169" w:name="_Toc28817"/>
      <w:r>
        <w:rPr>
          <w:rFonts w:hint="eastAsia" w:ascii="仿宋" w:hAnsi="仿宋" w:eastAsia="仿宋" w:cs="仿宋"/>
          <w:b/>
          <w:bCs/>
          <w:color w:val="000000"/>
          <w:kern w:val="0"/>
          <w:sz w:val="36"/>
          <w:highlight w:val="none"/>
        </w:rPr>
        <w:t>富</w:t>
      </w:r>
      <w:r>
        <w:rPr>
          <w:rFonts w:hint="eastAsia" w:ascii="仿宋" w:hAnsi="仿宋" w:eastAsia="仿宋" w:cs="仿宋"/>
          <w:b/>
          <w:bCs/>
          <w:color w:val="auto"/>
          <w:kern w:val="0"/>
          <w:sz w:val="36"/>
          <w:highlight w:val="none"/>
        </w:rPr>
        <w:t>顺县中医医院</w:t>
      </w:r>
    </w:p>
    <w:p w14:paraId="3A3FF958">
      <w:pPr>
        <w:widowControl/>
        <w:spacing w:before="240" w:after="240"/>
        <w:jc w:val="center"/>
        <w:rPr>
          <w:rFonts w:hint="eastAsia" w:ascii="仿宋" w:hAnsi="仿宋" w:eastAsia="仿宋" w:cs="仿宋"/>
          <w:color w:val="auto"/>
          <w:kern w:val="0"/>
          <w:szCs w:val="21"/>
          <w:highlight w:val="none"/>
        </w:rPr>
      </w:pPr>
      <w:r>
        <w:rPr>
          <w:rFonts w:hint="eastAsia" w:ascii="仿宋" w:hAnsi="仿宋" w:eastAsia="仿宋" w:cs="仿宋"/>
          <w:b/>
          <w:bCs/>
          <w:color w:val="auto"/>
          <w:kern w:val="0"/>
          <w:sz w:val="36"/>
          <w:highlight w:val="none"/>
          <w:lang w:val="en-US" w:eastAsia="zh-CN"/>
        </w:rPr>
        <w:t>***</w:t>
      </w:r>
      <w:r>
        <w:rPr>
          <w:rFonts w:hint="eastAsia" w:ascii="仿宋" w:hAnsi="仿宋" w:eastAsia="仿宋" w:cs="仿宋"/>
          <w:b/>
          <w:bCs/>
          <w:color w:val="auto"/>
          <w:kern w:val="0"/>
          <w:sz w:val="36"/>
          <w:highlight w:val="none"/>
          <w:lang w:eastAsia="zh-CN"/>
        </w:rPr>
        <w:t>医疗</w:t>
      </w:r>
      <w:r>
        <w:rPr>
          <w:rFonts w:hint="eastAsia" w:ascii="仿宋" w:hAnsi="仿宋" w:eastAsia="仿宋" w:cs="仿宋"/>
          <w:b/>
          <w:bCs/>
          <w:color w:val="auto"/>
          <w:kern w:val="0"/>
          <w:sz w:val="36"/>
          <w:highlight w:val="none"/>
        </w:rPr>
        <w:t>耗材</w:t>
      </w:r>
      <w:r>
        <w:rPr>
          <w:rFonts w:hint="eastAsia" w:ascii="仿宋" w:hAnsi="仿宋" w:eastAsia="仿宋" w:cs="仿宋"/>
          <w:b/>
          <w:bCs/>
          <w:color w:val="auto"/>
          <w:kern w:val="0"/>
          <w:sz w:val="36"/>
          <w:highlight w:val="none"/>
          <w:lang w:eastAsia="zh-CN"/>
        </w:rPr>
        <w:t>采购项目</w:t>
      </w:r>
      <w:r>
        <w:rPr>
          <w:rFonts w:hint="eastAsia" w:ascii="仿宋" w:hAnsi="仿宋" w:eastAsia="仿宋" w:cs="仿宋"/>
          <w:b/>
          <w:bCs/>
          <w:color w:val="auto"/>
          <w:kern w:val="0"/>
          <w:sz w:val="36"/>
          <w:highlight w:val="none"/>
        </w:rPr>
        <w:t>采购合同</w:t>
      </w:r>
      <w:bookmarkEnd w:id="156"/>
      <w:bookmarkEnd w:id="157"/>
      <w:bookmarkEnd w:id="158"/>
      <w:bookmarkEnd w:id="159"/>
      <w:bookmarkEnd w:id="160"/>
      <w:bookmarkEnd w:id="161"/>
      <w:bookmarkEnd w:id="162"/>
      <w:bookmarkEnd w:id="163"/>
    </w:p>
    <w:p w14:paraId="642F1529">
      <w:pPr>
        <w:widowControl/>
        <w:spacing w:line="420" w:lineRule="exact"/>
        <w:jc w:val="left"/>
        <w:rPr>
          <w:rFonts w:hint="eastAsia" w:ascii="仿宋" w:hAnsi="仿宋" w:eastAsia="仿宋" w:cs="仿宋"/>
          <w:kern w:val="0"/>
          <w:sz w:val="24"/>
          <w:u w:val="single"/>
        </w:rPr>
      </w:pP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24"/>
          <w:highlight w:val="none"/>
        </w:rPr>
        <w:t xml:space="preserve">  </w:t>
      </w:r>
    </w:p>
    <w:p w14:paraId="3434941C">
      <w:pPr>
        <w:widowControl/>
        <w:spacing w:line="360" w:lineRule="auto"/>
        <w:ind w:firstLine="480" w:firstLineChars="200"/>
        <w:jc w:val="left"/>
        <w:rPr>
          <w:rFonts w:hint="eastAsia" w:ascii="仿宋" w:hAnsi="仿宋" w:eastAsia="仿宋" w:cs="仿宋"/>
          <w:color w:val="000000"/>
          <w:sz w:val="24"/>
          <w:szCs w:val="24"/>
        </w:rPr>
      </w:pPr>
    </w:p>
    <w:p w14:paraId="1E27D2A2">
      <w:pPr>
        <w:widowControl/>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合同编号：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(第  包）</w:t>
      </w:r>
      <w:r>
        <w:rPr>
          <w:rFonts w:hint="eastAsia" w:ascii="仿宋" w:hAnsi="仿宋" w:eastAsia="仿宋" w:cs="仿宋"/>
          <w:color w:val="000000"/>
          <w:sz w:val="24"/>
          <w:szCs w:val="24"/>
          <w:u w:val="single"/>
        </w:rPr>
        <w:t xml:space="preserve">  </w:t>
      </w:r>
    </w:p>
    <w:p w14:paraId="4E31D82F">
      <w:pPr>
        <w:widowControl/>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签订地点：</w:t>
      </w:r>
      <w:r>
        <w:rPr>
          <w:rFonts w:hint="eastAsia" w:ascii="仿宋" w:hAnsi="仿宋" w:eastAsia="仿宋" w:cs="仿宋"/>
          <w:color w:val="000000"/>
          <w:sz w:val="24"/>
          <w:szCs w:val="24"/>
          <w:u w:val="single"/>
        </w:rPr>
        <w:t xml:space="preserve">   富顺县中医医院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744567FD">
      <w:pPr>
        <w:widowControl/>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签订时间：</w:t>
      </w:r>
      <w:r>
        <w:rPr>
          <w:rFonts w:hint="eastAsia" w:ascii="仿宋" w:hAnsi="仿宋" w:eastAsia="仿宋" w:cs="仿宋"/>
          <w:color w:val="000000"/>
          <w:sz w:val="24"/>
          <w:szCs w:val="24"/>
          <w:u w:val="single"/>
        </w:rPr>
        <w:t xml:space="preserve">  202</w:t>
      </w:r>
      <w:r>
        <w:rPr>
          <w:rFonts w:hint="eastAsia" w:ascii="仿宋" w:hAnsi="仿宋" w:eastAsia="仿宋" w:cs="仿宋"/>
          <w:color w:val="000000"/>
          <w:sz w:val="24"/>
          <w:szCs w:val="24"/>
          <w:u w:val="single"/>
          <w:lang w:val="en-US" w:eastAsia="zh-CN"/>
        </w:rPr>
        <w:t>5</w:t>
      </w:r>
      <w:r>
        <w:rPr>
          <w:rFonts w:hint="eastAsia" w:ascii="仿宋" w:hAnsi="仿宋" w:eastAsia="仿宋" w:cs="仿宋"/>
          <w:color w:val="000000"/>
          <w:sz w:val="24"/>
          <w:szCs w:val="24"/>
          <w:u w:val="single"/>
        </w:rPr>
        <w:t xml:space="preserve">年   月    日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6E40A2D3">
      <w:pPr>
        <w:widowControl/>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招标人（甲方）：</w:t>
      </w:r>
      <w:r>
        <w:rPr>
          <w:rFonts w:hint="eastAsia" w:ascii="仿宋" w:hAnsi="仿宋" w:eastAsia="仿宋" w:cs="仿宋"/>
          <w:color w:val="000000"/>
          <w:sz w:val="24"/>
          <w:szCs w:val="24"/>
          <w:u w:val="single"/>
        </w:rPr>
        <w:t xml:space="preserve">  富顺县中医医院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187076E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rPr>
        <w:t>投标人（乙方）：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 xml:space="preserve">                   </w:t>
      </w:r>
      <w:r>
        <w:rPr>
          <w:rFonts w:hint="eastAsia" w:ascii="仿宋" w:hAnsi="仿宋" w:eastAsia="仿宋" w:cs="仿宋"/>
          <w:color w:val="000000"/>
          <w:sz w:val="24"/>
          <w:szCs w:val="24"/>
          <w:u w:val="single"/>
        </w:rPr>
        <w:t xml:space="preserve"> </w:t>
      </w:r>
    </w:p>
    <w:p w14:paraId="5D528931">
      <w:pPr>
        <w:widowControl/>
        <w:spacing w:line="360" w:lineRule="auto"/>
        <w:ind w:left="194" w:leftChars="57" w:firstLine="360" w:firstLineChars="150"/>
        <w:jc w:val="left"/>
        <w:rPr>
          <w:rFonts w:hint="eastAsia" w:ascii="仿宋" w:hAnsi="仿宋" w:eastAsia="仿宋" w:cs="仿宋"/>
          <w:color w:val="000000"/>
          <w:kern w:val="0"/>
          <w:sz w:val="24"/>
        </w:rPr>
      </w:pPr>
      <w:r>
        <w:rPr>
          <w:rFonts w:hint="eastAsia" w:ascii="仿宋" w:hAnsi="仿宋" w:eastAsia="仿宋" w:cs="仿宋"/>
          <w:color w:val="000000"/>
          <w:kern w:val="0"/>
          <w:sz w:val="24"/>
        </w:rPr>
        <w:t>甲方对</w:t>
      </w:r>
      <w:bookmarkStart w:id="170" w:name="OLE_LINK29"/>
      <w:bookmarkStart w:id="171" w:name="OLE_LINK30"/>
      <w:r>
        <w:rPr>
          <w:rFonts w:hint="eastAsia" w:ascii="仿宋" w:hAnsi="仿宋" w:eastAsia="仿宋" w:cs="仿宋"/>
          <w:bCs/>
          <w:sz w:val="24"/>
        </w:rPr>
        <w:t>富顺县中医医院</w:t>
      </w:r>
      <w:bookmarkStart w:id="172" w:name="OLE_LINK26"/>
      <w:bookmarkStart w:id="173" w:name="OLE_LINK25"/>
      <w:r>
        <w:rPr>
          <w:rFonts w:hint="eastAsia" w:ascii="仿宋" w:hAnsi="仿宋" w:eastAsia="仿宋" w:cs="仿宋"/>
          <w:bCs/>
          <w:sz w:val="24"/>
        </w:rPr>
        <w:t>202</w:t>
      </w:r>
      <w:r>
        <w:rPr>
          <w:rFonts w:hint="eastAsia" w:ascii="仿宋" w:hAnsi="仿宋" w:eastAsia="仿宋" w:cs="仿宋"/>
          <w:bCs/>
          <w:sz w:val="24"/>
          <w:lang w:val="en-US" w:eastAsia="zh-CN"/>
        </w:rPr>
        <w:t>5</w:t>
      </w:r>
      <w:r>
        <w:rPr>
          <w:rFonts w:hint="eastAsia" w:ascii="仿宋" w:hAnsi="仿宋" w:eastAsia="仿宋" w:cs="仿宋"/>
          <w:bCs/>
          <w:sz w:val="24"/>
        </w:rPr>
        <w:t>年第</w:t>
      </w:r>
      <w:r>
        <w:rPr>
          <w:rFonts w:hint="eastAsia" w:ascii="仿宋" w:hAnsi="仿宋" w:eastAsia="仿宋" w:cs="仿宋"/>
          <w:bCs/>
          <w:sz w:val="24"/>
          <w:lang w:val="en-US" w:eastAsia="zh-CN"/>
        </w:rPr>
        <w:t>....</w:t>
      </w:r>
      <w:r>
        <w:rPr>
          <w:rFonts w:hint="eastAsia" w:ascii="仿宋" w:hAnsi="仿宋" w:eastAsia="仿宋" w:cs="仿宋"/>
          <w:bCs/>
          <w:sz w:val="24"/>
        </w:rPr>
        <w:t>批医疗耗材</w:t>
      </w:r>
      <w:bookmarkEnd w:id="172"/>
      <w:bookmarkEnd w:id="173"/>
      <w:r>
        <w:rPr>
          <w:rFonts w:hint="eastAsia" w:ascii="仿宋" w:hAnsi="仿宋" w:eastAsia="仿宋" w:cs="仿宋"/>
          <w:bCs/>
          <w:sz w:val="24"/>
        </w:rPr>
        <w:t>采购</w:t>
      </w:r>
      <w:bookmarkEnd w:id="170"/>
      <w:bookmarkEnd w:id="171"/>
      <w:r>
        <w:rPr>
          <w:rFonts w:hint="eastAsia" w:ascii="仿宋" w:hAnsi="仿宋" w:eastAsia="仿宋" w:cs="仿宋"/>
          <w:color w:val="000000"/>
          <w:kern w:val="0"/>
          <w:sz w:val="24"/>
        </w:rPr>
        <w:t>项目进行采购，于</w:t>
      </w:r>
      <w:r>
        <w:rPr>
          <w:rFonts w:hint="eastAsia" w:ascii="仿宋" w:hAnsi="仿宋" w:eastAsia="仿宋" w:cs="仿宋"/>
          <w:color w:val="000000"/>
          <w:kern w:val="0"/>
          <w:sz w:val="24"/>
          <w:u w:val="single"/>
        </w:rPr>
        <w:t>202</w:t>
      </w:r>
      <w:r>
        <w:rPr>
          <w:rFonts w:hint="eastAsia" w:ascii="仿宋" w:hAnsi="仿宋" w:eastAsia="仿宋" w:cs="仿宋"/>
          <w:color w:val="000000"/>
          <w:kern w:val="0"/>
          <w:sz w:val="24"/>
          <w:u w:val="single"/>
          <w:lang w:val="en-US" w:eastAsia="zh-CN"/>
        </w:rPr>
        <w:t>5</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eastAsia="zh-CN"/>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eastAsia="zh-CN"/>
        </w:rPr>
        <w:t xml:space="preserve">  </w:t>
      </w:r>
      <w:r>
        <w:rPr>
          <w:rFonts w:hint="eastAsia" w:ascii="仿宋" w:hAnsi="仿宋" w:eastAsia="仿宋" w:cs="仿宋"/>
          <w:color w:val="000000"/>
          <w:kern w:val="0"/>
          <w:sz w:val="24"/>
        </w:rPr>
        <w:t>日通过公开遴选，确定乙方为项目中选人。为了保护供需各方合法权益,根据《中华人民共和国政府采购法》、《中华人民共和国民法典》等相关法律、法规的规定，经甲乙双方一致协商，订立本合同。</w:t>
      </w:r>
    </w:p>
    <w:p w14:paraId="244C631C">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一、项目清单及合同金额</w:t>
      </w:r>
      <w:r>
        <w:rPr>
          <w:rFonts w:hint="eastAsia" w:ascii="仿宋" w:hAnsi="仿宋" w:eastAsia="仿宋" w:cs="仿宋"/>
          <w:color w:val="000000"/>
          <w:kern w:val="0"/>
          <w:sz w:val="24"/>
        </w:rPr>
        <w:t xml:space="preserve">（详见报价表，附后）   </w:t>
      </w:r>
    </w:p>
    <w:p w14:paraId="48938C2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color w:val="000000"/>
          <w:kern w:val="0"/>
          <w:sz w:val="24"/>
        </w:rPr>
        <w:t>1. 项目名称：</w:t>
      </w:r>
      <w:r>
        <w:rPr>
          <w:rFonts w:hint="eastAsia" w:ascii="仿宋" w:hAnsi="仿宋" w:eastAsia="仿宋" w:cs="仿宋"/>
          <w:color w:val="000000"/>
          <w:sz w:val="24"/>
          <w:szCs w:val="24"/>
        </w:rPr>
        <w:t>富顺县中医医院</w:t>
      </w:r>
      <w:r>
        <w:rPr>
          <w:rFonts w:hint="eastAsia" w:ascii="仿宋" w:hAnsi="仿宋" w:eastAsia="仿宋" w:cs="仿宋"/>
          <w:color w:val="000000"/>
          <w:kern w:val="0"/>
          <w:sz w:val="24"/>
          <w:lang w:val="en-US" w:eastAsia="zh-CN"/>
        </w:rPr>
        <w:t>****</w:t>
      </w:r>
      <w:r>
        <w:rPr>
          <w:rFonts w:hint="eastAsia" w:ascii="仿宋" w:hAnsi="仿宋" w:eastAsia="仿宋" w:cs="仿宋"/>
          <w:color w:val="000000"/>
          <w:sz w:val="24"/>
          <w:szCs w:val="24"/>
          <w:lang w:eastAsia="zh-CN"/>
        </w:rPr>
        <w:t>采购项目</w:t>
      </w:r>
    </w:p>
    <w:p w14:paraId="24D1431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项目编号</w:t>
      </w:r>
      <w:r>
        <w:rPr>
          <w:rFonts w:hint="eastAsia" w:ascii="仿宋" w:hAnsi="仿宋" w:eastAsia="仿宋" w:cs="仿宋"/>
          <w:kern w:val="0"/>
          <w:sz w:val="24"/>
          <w:szCs w:val="24"/>
          <w:lang w:eastAsia="zh-CN"/>
        </w:rPr>
        <w:t>：</w:t>
      </w:r>
    </w:p>
    <w:p w14:paraId="777A1D4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 xml:space="preserve">. 具体内容： (详见附表) </w:t>
      </w:r>
    </w:p>
    <w:p w14:paraId="323A8698">
      <w:pPr>
        <w:pStyle w:val="7"/>
        <w:spacing w:line="360" w:lineRule="auto"/>
        <w:ind w:firstLine="4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 xml:space="preserve">4. </w:t>
      </w:r>
      <w:r>
        <w:rPr>
          <w:rFonts w:hint="eastAsia" w:ascii="仿宋" w:hAnsi="仿宋" w:eastAsia="仿宋" w:cs="仿宋"/>
          <w:color w:val="000000"/>
          <w:kern w:val="0"/>
          <w:sz w:val="24"/>
          <w:szCs w:val="24"/>
          <w:lang w:val="en-US" w:eastAsia="zh-CN" w:bidi="ar-SA"/>
        </w:rPr>
        <w:t>该合同附件价格已包括货物设计、材料、制造、包装、运输等所有其他</w:t>
      </w:r>
      <w:r>
        <w:rPr>
          <w:rFonts w:hint="eastAsia" w:ascii="仿宋" w:hAnsi="仿宋" w:eastAsia="仿宋" w:cs="仿宋"/>
          <w:color w:val="000000"/>
          <w:kern w:val="0"/>
          <w:sz w:val="24"/>
          <w:szCs w:val="24"/>
          <w:highlight w:val="none"/>
          <w:lang w:val="en-US" w:eastAsia="zh-CN" w:bidi="ar-SA"/>
        </w:rPr>
        <w:t>有关各项的含税费用。本合同执行期间采购单价变动参照2021年6月15《四川省医疗保障局关于规范开展药品和医用耗材集中采购工作的通知》执行。采购</w:t>
      </w:r>
      <w:r>
        <w:rPr>
          <w:rFonts w:hint="eastAsia" w:ascii="仿宋" w:hAnsi="仿宋" w:eastAsia="仿宋" w:cs="仿宋"/>
          <w:color w:val="000000"/>
          <w:kern w:val="0"/>
          <w:sz w:val="24"/>
          <w:szCs w:val="24"/>
          <w:lang w:val="en-US" w:eastAsia="zh-CN" w:bidi="ar-SA"/>
        </w:rPr>
        <w:t>数量及总金额以每月实际采购计划为准。</w:t>
      </w:r>
    </w:p>
    <w:p w14:paraId="02E05F22">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000000"/>
          <w:kern w:val="0"/>
          <w:sz w:val="24"/>
          <w:szCs w:val="24"/>
          <w:lang w:val="en-US" w:eastAsia="zh-CN" w:bidi="ar-SA"/>
        </w:rPr>
      </w:pPr>
    </w:p>
    <w:p w14:paraId="1F5F5249">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000000"/>
          <w:kern w:val="0"/>
          <w:sz w:val="24"/>
          <w:szCs w:val="24"/>
          <w:lang w:val="en-US" w:eastAsia="zh-CN" w:bidi="ar-SA"/>
        </w:rPr>
      </w:pPr>
    </w:p>
    <w:p w14:paraId="31382C67">
      <w:pPr>
        <w:keepNext w:val="0"/>
        <w:keepLines w:val="0"/>
        <w:pageBreakBefore w:val="0"/>
        <w:widowControl/>
        <w:numPr>
          <w:ilvl w:val="0"/>
          <w:numId w:val="5"/>
        </w:numPr>
        <w:kinsoku/>
        <w:wordWrap/>
        <w:overflowPunct/>
        <w:topLinePunct w:val="0"/>
        <w:autoSpaceDE/>
        <w:autoSpaceDN/>
        <w:bidi w:val="0"/>
        <w:spacing w:line="360" w:lineRule="auto"/>
        <w:jc w:val="left"/>
        <w:textAlignment w:val="auto"/>
        <w:rPr>
          <w:rFonts w:hint="eastAsia" w:ascii="仿宋" w:hAnsi="仿宋" w:eastAsia="仿宋" w:cs="仿宋"/>
        </w:rPr>
      </w:pPr>
      <w:r>
        <w:rPr>
          <w:rFonts w:hint="eastAsia" w:ascii="仿宋" w:hAnsi="仿宋" w:eastAsia="仿宋" w:cs="仿宋"/>
          <w:b/>
          <w:bCs/>
          <w:color w:val="000000"/>
          <w:kern w:val="0"/>
          <w:sz w:val="24"/>
        </w:rPr>
        <w:t>采购周期</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 xml:space="preserve"> 年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月 至     年    月</w:t>
      </w:r>
    </w:p>
    <w:p w14:paraId="11C408FD">
      <w:pPr>
        <w:pStyle w:val="21"/>
        <w:rPr>
          <w:rFonts w:hint="eastAsia" w:ascii="仿宋" w:hAnsi="仿宋" w:eastAsia="仿宋" w:cs="仿宋"/>
        </w:rPr>
      </w:pPr>
    </w:p>
    <w:p w14:paraId="6631D59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三、交货时间、验收地点及交付方式</w:t>
      </w:r>
    </w:p>
    <w:p w14:paraId="2810005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 xml:space="preserve"> 交货时间：在接到甲方的通知</w:t>
      </w:r>
      <w:r>
        <w:rPr>
          <w:rFonts w:hint="eastAsia" w:ascii="仿宋" w:hAnsi="仿宋" w:eastAsia="仿宋" w:cs="仿宋"/>
          <w:color w:val="000000" w:themeColor="text1"/>
          <w:kern w:val="0"/>
          <w:sz w:val="24"/>
          <w14:textFill>
            <w14:solidFill>
              <w14:schemeClr w14:val="tx1"/>
            </w14:solidFill>
          </w14:textFill>
        </w:rPr>
        <w:t>（包括并不限于书面、口头、电话、短信、微信等形式）</w:t>
      </w:r>
      <w:r>
        <w:rPr>
          <w:rFonts w:hint="eastAsia" w:ascii="仿宋" w:hAnsi="仿宋" w:eastAsia="仿宋" w:cs="仿宋"/>
          <w:color w:val="000000"/>
          <w:kern w:val="0"/>
          <w:sz w:val="24"/>
        </w:rPr>
        <w:t>后，</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48</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小时内。</w:t>
      </w:r>
    </w:p>
    <w:p w14:paraId="02BB9A8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验收地点：甲方指定地点。</w:t>
      </w:r>
    </w:p>
    <w:p w14:paraId="121E0CF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交付方式：免费送货上门，连同配套工具交付使用，如因甲方手术需要，则厂家技术人员须免费上门指导。</w:t>
      </w:r>
    </w:p>
    <w:p w14:paraId="12BE0635">
      <w:pPr>
        <w:pStyle w:val="21"/>
        <w:rPr>
          <w:rFonts w:hint="eastAsia" w:ascii="仿宋" w:hAnsi="仿宋" w:eastAsia="仿宋" w:cs="仿宋"/>
        </w:rPr>
      </w:pPr>
    </w:p>
    <w:p w14:paraId="304A8F7A">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四、履约验收</w:t>
      </w:r>
    </w:p>
    <w:p w14:paraId="210A932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乙方提供的耗材为最新生产的原装正品，各项指标符合出产国检测标准和出厂标准，各项技术参数符合</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文件要求和乙方投递的</w:t>
      </w:r>
      <w:r>
        <w:rPr>
          <w:rFonts w:hint="eastAsia" w:ascii="仿宋" w:hAnsi="仿宋" w:eastAsia="仿宋" w:cs="仿宋"/>
          <w:color w:val="000000"/>
          <w:kern w:val="0"/>
          <w:sz w:val="24"/>
          <w:lang w:eastAsia="zh-CN"/>
        </w:rPr>
        <w:t>响应</w:t>
      </w:r>
      <w:r>
        <w:rPr>
          <w:rFonts w:hint="eastAsia" w:ascii="仿宋" w:hAnsi="仿宋" w:eastAsia="仿宋" w:cs="仿宋"/>
          <w:color w:val="000000"/>
          <w:kern w:val="0"/>
          <w:sz w:val="24"/>
        </w:rPr>
        <w:t>文件承诺。</w:t>
      </w:r>
    </w:p>
    <w:p w14:paraId="7BAAA4EB">
      <w:pPr>
        <w:keepNext w:val="0"/>
        <w:keepLines w:val="0"/>
        <w:pageBreakBefore w:val="0"/>
        <w:widowControl/>
        <w:kinsoku/>
        <w:wordWrap/>
        <w:overflowPunct/>
        <w:topLinePunct w:val="0"/>
        <w:autoSpaceDE/>
        <w:autoSpaceDN/>
        <w:bidi w:val="0"/>
        <w:spacing w:line="360" w:lineRule="auto"/>
        <w:ind w:left="384" w:leftChars="113" w:firstLine="120" w:firstLineChars="5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 乙方提供的产品若为原装进口产品，还应在验收时提供该耗材属原装进口</w:t>
      </w:r>
    </w:p>
    <w:p w14:paraId="06E06799">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的相关凭据。 </w:t>
      </w:r>
    </w:p>
    <w:p w14:paraId="30E91C15">
      <w:pPr>
        <w:keepNext w:val="0"/>
        <w:keepLines w:val="0"/>
        <w:pageBreakBefore w:val="0"/>
        <w:widowControl/>
        <w:kinsoku/>
        <w:wordWrap/>
        <w:overflowPunct/>
        <w:topLinePunct w:val="0"/>
        <w:autoSpaceDE/>
        <w:autoSpaceDN/>
        <w:bidi w:val="0"/>
        <w:spacing w:line="360" w:lineRule="auto"/>
        <w:ind w:left="1255" w:leftChars="228" w:hanging="480" w:hanging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乙方所交产品不符合规定或质量不合格的，由乙方负责包换，并承担换货</w:t>
      </w:r>
    </w:p>
    <w:p w14:paraId="7924CC3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而支付的一切费用。乙方不能调换的，按不能交货处理。 </w:t>
      </w:r>
    </w:p>
    <w:p w14:paraId="236F9393">
      <w:pPr>
        <w:pStyle w:val="21"/>
        <w:rPr>
          <w:rFonts w:hint="eastAsia" w:ascii="仿宋" w:hAnsi="仿宋" w:eastAsia="仿宋" w:cs="仿宋"/>
        </w:rPr>
      </w:pPr>
    </w:p>
    <w:p w14:paraId="7104922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五、售后服务</w:t>
      </w:r>
    </w:p>
    <w:p w14:paraId="361C6DDB">
      <w:pPr>
        <w:keepNext w:val="0"/>
        <w:keepLines w:val="0"/>
        <w:pageBreakBefore w:val="0"/>
        <w:widowControl/>
        <w:kinsoku/>
        <w:wordWrap/>
        <w:overflowPunct/>
        <w:topLinePunct w:val="0"/>
        <w:autoSpaceDE/>
        <w:autoSpaceDN/>
        <w:bidi w:val="0"/>
        <w:spacing w:line="360" w:lineRule="auto"/>
        <w:ind w:left="775" w:leftChars="228"/>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严格遵守售后服务承诺，耗材在使用中出现任何问题，甲方与乙方联系，</w:t>
      </w:r>
    </w:p>
    <w:p w14:paraId="3D93E32E">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乙方在接到电话后</w:t>
      </w:r>
      <w:r>
        <w:rPr>
          <w:rFonts w:hint="eastAsia" w:ascii="仿宋" w:hAnsi="仿宋" w:eastAsia="仿宋" w:cs="仿宋"/>
          <w:color w:val="000000"/>
          <w:kern w:val="0"/>
          <w:sz w:val="24"/>
          <w:u w:val="single"/>
        </w:rPr>
        <w:t xml:space="preserve">   4  </w:t>
      </w:r>
      <w:r>
        <w:rPr>
          <w:rFonts w:hint="eastAsia" w:ascii="仿宋" w:hAnsi="仿宋" w:eastAsia="仿宋" w:cs="仿宋"/>
          <w:color w:val="000000"/>
          <w:kern w:val="0"/>
          <w:sz w:val="24"/>
        </w:rPr>
        <w:t>小时内到达现场提供现场服务。有关内容如下：</w:t>
      </w:r>
    </w:p>
    <w:p w14:paraId="7B8C2860">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乙方承诺，甲方使用乙方提供的产品，若发生质量问题，乙方将承担全部责任，若乙方不能自已证明该产品无质量问题，或是由非质量问题以外其他原因造成的，同样由乙方承担相应责任。</w:t>
      </w:r>
    </w:p>
    <w:p w14:paraId="4C858E4B">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提供相应的备用机</w:t>
      </w:r>
      <w:r>
        <w:rPr>
          <w:rFonts w:hint="eastAsia" w:ascii="仿宋" w:hAnsi="仿宋" w:eastAsia="仿宋" w:cs="仿宋"/>
          <w:color w:val="000000"/>
          <w:kern w:val="0"/>
          <w:sz w:val="24"/>
          <w:highlight w:val="none"/>
          <w:lang w:eastAsia="zh-CN"/>
        </w:rPr>
        <w:t>及</w:t>
      </w:r>
      <w:r>
        <w:rPr>
          <w:rFonts w:hint="eastAsia" w:ascii="仿宋" w:hAnsi="仿宋" w:eastAsia="仿宋" w:cs="仿宋"/>
          <w:color w:val="000000"/>
          <w:kern w:val="0"/>
          <w:sz w:val="24"/>
          <w:highlight w:val="none"/>
        </w:rPr>
        <w:t>备用机的维护保养，保证备用机的正常运行</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 xml:space="preserve">    </w:t>
      </w:r>
      <w:r>
        <w:rPr>
          <w:rFonts w:hint="eastAsia" w:ascii="仿宋" w:hAnsi="仿宋" w:eastAsia="仿宋" w:cs="仿宋"/>
          <w:kern w:val="0"/>
          <w:sz w:val="24"/>
          <w:highlight w:val="none"/>
        </w:rPr>
        <w:t xml:space="preserve">                                        </w:t>
      </w:r>
    </w:p>
    <w:p w14:paraId="6749C304">
      <w:pPr>
        <w:widowControl/>
        <w:numPr>
          <w:ilvl w:val="0"/>
          <w:numId w:val="6"/>
        </w:numPr>
        <w:spacing w:line="440" w:lineRule="exact"/>
        <w:ind w:left="0" w:leftChars="0" w:firstLine="480" w:firstLineChars="20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rPr>
        <w:t>签定合同后耗材价格在</w:t>
      </w:r>
      <w:r>
        <w:rPr>
          <w:rFonts w:hint="eastAsia" w:ascii="仿宋" w:hAnsi="仿宋" w:eastAsia="仿宋" w:cs="仿宋"/>
          <w:sz w:val="24"/>
          <w:szCs w:val="24"/>
          <w:highlight w:val="none"/>
          <w:lang w:eastAsia="zh-CN"/>
        </w:rPr>
        <w:t>四川医保平台子系统</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药品和医用耗材招采管理系统</w:t>
      </w:r>
      <w:r>
        <w:rPr>
          <w:rFonts w:hint="eastAsia" w:ascii="仿宋" w:hAnsi="仿宋" w:eastAsia="仿宋" w:cs="仿宋"/>
          <w:kern w:val="0"/>
          <w:sz w:val="24"/>
          <w:highlight w:val="none"/>
        </w:rPr>
        <w:t>上如出现了最低采购价的按照最低价格进行采购，中标供应商无条件执行（并在</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四川医保平台子系统-药品和医用耗材招采管理系统</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上进行价格确认）生成订单，中标供应商如不执行我院有权终止合同。</w:t>
      </w:r>
    </w:p>
    <w:p w14:paraId="0AEDAEE0">
      <w:pPr>
        <w:widowControl/>
        <w:numPr>
          <w:ilvl w:val="0"/>
          <w:numId w:val="0"/>
        </w:numPr>
        <w:spacing w:line="440" w:lineRule="exact"/>
        <w:ind w:firstLine="480" w:firstLineChars="20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所有采购产品，出现国家集采范围内，进入国家集采范围内的产品自动中止采购，执行国家集采相关政策</w:t>
      </w:r>
      <w:r>
        <w:rPr>
          <w:rFonts w:hint="eastAsia" w:ascii="仿宋" w:hAnsi="仿宋" w:eastAsia="仿宋" w:cs="仿宋"/>
          <w:color w:val="000000" w:themeColor="text1"/>
          <w:sz w:val="24"/>
          <w:szCs w:val="24"/>
          <w:lang w:eastAsia="zh-CN"/>
          <w14:textFill>
            <w14:solidFill>
              <w14:schemeClr w14:val="tx1"/>
            </w14:solidFill>
          </w14:textFill>
        </w:rPr>
        <w:t>。</w:t>
      </w:r>
    </w:p>
    <w:p w14:paraId="7E016403">
      <w:pPr>
        <w:widowControl/>
        <w:numPr>
          <w:ilvl w:val="0"/>
          <w:numId w:val="0"/>
        </w:numPr>
        <w:spacing w:line="440" w:lineRule="exact"/>
        <w:ind w:leftChars="20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6.投标人需向采购人提供及时有效的技术支持。</w:t>
      </w:r>
    </w:p>
    <w:p w14:paraId="6CDC8238">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rPr>
        <w:t>六、相关权利及义务</w:t>
      </w:r>
    </w:p>
    <w:p w14:paraId="6E14C2F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1. </w:t>
      </w:r>
      <w:r>
        <w:rPr>
          <w:rFonts w:hint="eastAsia" w:ascii="仿宋" w:hAnsi="仿宋" w:eastAsia="仿宋" w:cs="仿宋"/>
          <w:color w:val="000000"/>
          <w:kern w:val="0"/>
          <w:sz w:val="24"/>
        </w:rPr>
        <w:t>甲方在验收时对不符合</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 xml:space="preserve">文件要求的产品有权拒绝接收和追究违约责任。 </w:t>
      </w:r>
    </w:p>
    <w:p w14:paraId="3A39367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2. </w:t>
      </w:r>
      <w:r>
        <w:rPr>
          <w:rFonts w:hint="eastAsia" w:ascii="仿宋" w:hAnsi="仿宋" w:eastAsia="仿宋" w:cs="仿宋"/>
          <w:color w:val="000000"/>
          <w:kern w:val="0"/>
          <w:sz w:val="24"/>
        </w:rPr>
        <w:t>甲方有权监督乙方的售后服务，并对乙方的售后服务不符合</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文件承诺内容时加以指出乃至追究合同责任。</w:t>
      </w:r>
    </w:p>
    <w:p w14:paraId="5F43F94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3. </w:t>
      </w:r>
      <w:r>
        <w:rPr>
          <w:rFonts w:hint="eastAsia" w:ascii="仿宋" w:hAnsi="仿宋" w:eastAsia="仿宋" w:cs="仿宋"/>
          <w:color w:val="000000"/>
          <w:kern w:val="0"/>
          <w:sz w:val="24"/>
        </w:rPr>
        <w:t>甲方在合同规定期限内协助履行付款责任。</w:t>
      </w:r>
    </w:p>
    <w:p w14:paraId="149E5D9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4. </w:t>
      </w:r>
      <w:r>
        <w:rPr>
          <w:rFonts w:hint="eastAsia" w:ascii="仿宋" w:hAnsi="仿宋" w:eastAsia="仿宋" w:cs="仿宋"/>
          <w:color w:val="000000"/>
          <w:kern w:val="0"/>
          <w:sz w:val="24"/>
        </w:rPr>
        <w:t>乙方有权按照合同要</w:t>
      </w:r>
      <w:r>
        <w:rPr>
          <w:rFonts w:hint="eastAsia" w:ascii="仿宋" w:hAnsi="仿宋" w:eastAsia="仿宋" w:cs="仿宋"/>
          <w:color w:val="000000" w:themeColor="text1"/>
          <w:kern w:val="0"/>
          <w:sz w:val="24"/>
          <w14:textFill>
            <w14:solidFill>
              <w14:schemeClr w14:val="tx1"/>
            </w14:solidFill>
          </w14:textFill>
        </w:rPr>
        <w:t>求及时、保质、保量交付产品。</w:t>
      </w:r>
    </w:p>
    <w:p w14:paraId="2B521DE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5. </w:t>
      </w:r>
      <w:r>
        <w:rPr>
          <w:rFonts w:hint="eastAsia" w:ascii="仿宋" w:hAnsi="仿宋" w:eastAsia="仿宋" w:cs="仿宋"/>
          <w:color w:val="000000"/>
          <w:kern w:val="0"/>
          <w:sz w:val="24"/>
        </w:rPr>
        <w:t>乙方有义务按</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w:t>
      </w:r>
      <w:r>
        <w:rPr>
          <w:rFonts w:hint="eastAsia" w:ascii="仿宋" w:hAnsi="仿宋" w:eastAsia="仿宋" w:cs="仿宋"/>
          <w:color w:val="000000"/>
          <w:kern w:val="0"/>
          <w:sz w:val="24"/>
          <w:lang w:eastAsia="zh-CN"/>
        </w:rPr>
        <w:t>及响应文件</w:t>
      </w:r>
      <w:r>
        <w:rPr>
          <w:rFonts w:hint="eastAsia" w:ascii="仿宋" w:hAnsi="仿宋" w:eastAsia="仿宋" w:cs="仿宋"/>
          <w:color w:val="000000"/>
          <w:kern w:val="0"/>
          <w:sz w:val="24"/>
        </w:rPr>
        <w:t>中的售后服务承诺提供良好的服务。</w:t>
      </w:r>
    </w:p>
    <w:p w14:paraId="5ECA4A6D">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所有中标公司的产品需经临床试用两个月，在试用过程中如临床科室提出异议，应更换产品的生产厂家或者规格</w:t>
      </w:r>
      <w:r>
        <w:rPr>
          <w:rFonts w:hint="eastAsia" w:ascii="仿宋" w:hAnsi="仿宋" w:eastAsia="仿宋" w:cs="仿宋"/>
          <w:color w:val="auto"/>
          <w:kern w:val="0"/>
          <w:sz w:val="24"/>
          <w:highlight w:val="none"/>
          <w:lang w:eastAsia="zh-CN"/>
        </w:rPr>
        <w:t>。</w:t>
      </w:r>
    </w:p>
    <w:p w14:paraId="3AA73499">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 xml:space="preserve">     7.在合同执行期间，同品种耗材在使用过程中如甲方需采购其他规格型号的，采购价参考</w:t>
      </w:r>
      <w:r>
        <w:rPr>
          <w:rFonts w:hint="eastAsia" w:ascii="仿宋" w:hAnsi="仿宋" w:eastAsia="仿宋" w:cs="仿宋"/>
          <w:color w:val="auto"/>
          <w:kern w:val="0"/>
          <w:sz w:val="24"/>
          <w:highlight w:val="none"/>
          <w:lang w:eastAsia="zh-CN"/>
        </w:rPr>
        <w:t>“</w:t>
      </w:r>
      <w:r>
        <w:rPr>
          <w:rFonts w:hint="eastAsia" w:ascii="仿宋" w:hAnsi="仿宋" w:eastAsia="仿宋" w:cs="仿宋"/>
          <w:kern w:val="0"/>
          <w:sz w:val="24"/>
          <w:highlight w:val="none"/>
        </w:rPr>
        <w:t>四川医保平台子系统-药品和医用耗材招采管理系统</w:t>
      </w:r>
      <w:r>
        <w:rPr>
          <w:rFonts w:hint="eastAsia" w:ascii="仿宋" w:hAnsi="仿宋" w:eastAsia="仿宋" w:cs="仿宋"/>
          <w:color w:val="auto"/>
          <w:kern w:val="0"/>
          <w:sz w:val="24"/>
          <w:highlight w:val="none"/>
          <w:lang w:eastAsia="zh-CN"/>
        </w:rPr>
        <w:t>”上价格。</w:t>
      </w:r>
    </w:p>
    <w:p w14:paraId="7DDE056A">
      <w:pPr>
        <w:pStyle w:val="21"/>
        <w:rPr>
          <w:rFonts w:hint="eastAsia" w:ascii="仿宋" w:hAnsi="仿宋" w:eastAsia="仿宋" w:cs="仿宋"/>
          <w:lang w:val="en-US" w:eastAsia="zh-CN"/>
        </w:rPr>
      </w:pPr>
    </w:p>
    <w:p w14:paraId="1E0432E9">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七、付款方式</w:t>
      </w:r>
    </w:p>
    <w:p w14:paraId="678992D0">
      <w:pPr>
        <w:pStyle w:val="36"/>
        <w:keepNext w:val="0"/>
        <w:keepLines w:val="0"/>
        <w:pageBreakBefore w:val="0"/>
        <w:kinsoku/>
        <w:wordWrap/>
        <w:overflowPunct/>
        <w:topLinePunct w:val="0"/>
        <w:autoSpaceDE/>
        <w:autoSpaceDN/>
        <w:bidi w:val="0"/>
        <w:spacing w:line="360" w:lineRule="auto"/>
        <w:ind w:firstLine="436" w:firstLineChars="182"/>
        <w:textAlignment w:val="auto"/>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乙方每月底须向甲方出具合法有效完整的发票及凭证资料进行支付结算。甲方财务部门每月按照实际采购金额进行滚动付款。</w:t>
      </w:r>
      <w:r>
        <w:rPr>
          <w:rFonts w:hint="eastAsia" w:ascii="仿宋" w:hAnsi="仿宋" w:eastAsia="仿宋" w:cs="仿宋"/>
          <w:color w:val="000000"/>
          <w:kern w:val="0"/>
          <w:sz w:val="24"/>
          <w:szCs w:val="24"/>
        </w:rPr>
        <w:t xml:space="preserve"> </w:t>
      </w:r>
    </w:p>
    <w:p w14:paraId="6B340EC3">
      <w:pPr>
        <w:pStyle w:val="30"/>
        <w:pageBreakBefore w:val="0"/>
        <w:numPr>
          <w:ilvl w:val="0"/>
          <w:numId w:val="0"/>
        </w:numPr>
        <w:kinsoku/>
        <w:wordWrap/>
        <w:overflowPunct/>
        <w:topLinePunct w:val="0"/>
        <w:bidi w:val="0"/>
        <w:spacing w:line="360" w:lineRule="auto"/>
        <w:ind w:firstLine="480" w:firstLineChars="200"/>
        <w:jc w:val="left"/>
        <w:rPr>
          <w:rFonts w:hint="eastAsia" w:ascii="仿宋" w:hAnsi="仿宋" w:eastAsia="仿宋" w:cs="仿宋"/>
          <w:color w:val="000000"/>
          <w:sz w:val="24"/>
          <w:szCs w:val="20"/>
          <w:lang w:val="zh-CN" w:eastAsia="zh-CN" w:bidi="ar-SA"/>
        </w:rPr>
      </w:pPr>
      <w:r>
        <w:rPr>
          <w:rFonts w:hint="eastAsia" w:ascii="仿宋" w:hAnsi="仿宋" w:eastAsia="仿宋" w:cs="仿宋"/>
          <w:color w:val="000000"/>
          <w:sz w:val="24"/>
          <w:szCs w:val="20"/>
          <w:lang w:val="en-US" w:eastAsia="zh-CN" w:bidi="ar-SA"/>
        </w:rPr>
        <w:t>2、</w:t>
      </w:r>
      <w:r>
        <w:rPr>
          <w:rFonts w:hint="eastAsia" w:ascii="仿宋" w:hAnsi="仿宋" w:eastAsia="仿宋" w:cs="仿宋"/>
          <w:color w:val="000000"/>
          <w:sz w:val="24"/>
          <w:szCs w:val="20"/>
          <w:lang w:val="zh-CN" w:eastAsia="zh-CN" w:bidi="ar-SA"/>
        </w:rPr>
        <w:t>履约保证金退还：耗材供货后</w:t>
      </w:r>
      <w:r>
        <w:rPr>
          <w:rFonts w:hint="eastAsia" w:ascii="仿宋" w:hAnsi="仿宋" w:eastAsia="仿宋" w:cs="仿宋"/>
          <w:color w:val="000000"/>
          <w:sz w:val="24"/>
          <w:szCs w:val="20"/>
          <w:lang w:val="en-US" w:eastAsia="zh-CN" w:bidi="ar-SA"/>
        </w:rPr>
        <w:t>6个月，</w:t>
      </w:r>
      <w:r>
        <w:rPr>
          <w:rFonts w:hint="eastAsia" w:ascii="仿宋" w:hAnsi="仿宋" w:eastAsia="仿宋" w:cs="仿宋"/>
          <w:color w:val="000000"/>
          <w:sz w:val="24"/>
          <w:szCs w:val="20"/>
          <w:lang w:val="zh-CN" w:eastAsia="zh-CN" w:bidi="ar-SA"/>
        </w:rPr>
        <w:t>货物无任何质量问题且中标人履行了售后服务义务，采购人凭中标人提供的退还履约保证金申请无息退还履约保证金。</w:t>
      </w:r>
      <w:r>
        <w:rPr>
          <w:rFonts w:hint="eastAsia" w:ascii="仿宋" w:hAnsi="仿宋" w:eastAsia="仿宋" w:cs="仿宋"/>
          <w:color w:val="000000"/>
          <w:sz w:val="24"/>
          <w:szCs w:val="20"/>
          <w:lang w:val="en-US" w:eastAsia="zh-CN" w:bidi="ar-SA"/>
        </w:rPr>
        <w:t>乙方履约不合格的，履约保证金不予退还。</w:t>
      </w:r>
    </w:p>
    <w:p w14:paraId="6B172974">
      <w:pPr>
        <w:pStyle w:val="2"/>
        <w:numPr>
          <w:ilvl w:val="0"/>
          <w:numId w:val="0"/>
        </w:numPr>
        <w:spacing w:line="360" w:lineRule="auto"/>
        <w:ind w:right="292" w:rightChars="0" w:firstLine="456" w:firstLineChars="200"/>
        <w:jc w:val="both"/>
        <w:rPr>
          <w:rFonts w:hint="eastAsia" w:ascii="仿宋" w:hAnsi="仿宋" w:eastAsia="仿宋" w:cs="仿宋"/>
          <w:spacing w:val="-6"/>
          <w:kern w:val="0"/>
          <w:sz w:val="24"/>
          <w:szCs w:val="22"/>
          <w:lang w:val="zh-CN" w:eastAsia="zh-CN" w:bidi="zh-CN"/>
        </w:rPr>
      </w:pPr>
      <w:r>
        <w:rPr>
          <w:rFonts w:hint="eastAsia" w:ascii="仿宋" w:hAnsi="仿宋" w:eastAsia="仿宋" w:cs="仿宋"/>
          <w:spacing w:val="-6"/>
          <w:kern w:val="0"/>
          <w:sz w:val="24"/>
          <w:szCs w:val="22"/>
          <w:lang w:val="en-US" w:eastAsia="zh-CN" w:bidi="zh-CN"/>
        </w:rPr>
        <w:t>3、</w:t>
      </w:r>
      <w:r>
        <w:rPr>
          <w:rFonts w:hint="eastAsia" w:ascii="仿宋" w:hAnsi="仿宋" w:eastAsia="仿宋" w:cs="仿宋"/>
          <w:spacing w:val="-6"/>
          <w:kern w:val="0"/>
          <w:sz w:val="24"/>
          <w:szCs w:val="22"/>
          <w:lang w:val="zh-CN" w:eastAsia="zh-CN" w:bidi="zh-CN"/>
        </w:rPr>
        <w:t>乙方须向甲方出具合法有效完整的完税发票及凭证资料后进行支付结算，付款方式均采用公对公的银行转账，乙方接受转账的开户信息以本协议载明的为准。</w:t>
      </w:r>
    </w:p>
    <w:p w14:paraId="697BDD5D">
      <w:pPr>
        <w:pStyle w:val="36"/>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000000"/>
          <w:kern w:val="0"/>
          <w:sz w:val="24"/>
          <w:szCs w:val="24"/>
        </w:rPr>
      </w:pPr>
    </w:p>
    <w:p w14:paraId="7B01FC7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eastAsia="zh-CN"/>
        </w:rPr>
        <w:t>八</w:t>
      </w:r>
      <w:r>
        <w:rPr>
          <w:rFonts w:hint="eastAsia" w:ascii="仿宋" w:hAnsi="仿宋" w:eastAsia="仿宋" w:cs="仿宋"/>
          <w:b/>
          <w:color w:val="000000"/>
          <w:kern w:val="0"/>
          <w:sz w:val="24"/>
          <w:szCs w:val="24"/>
        </w:rPr>
        <w:t>、违约责任</w:t>
      </w:r>
    </w:p>
    <w:p w14:paraId="12F0B98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甲乙双方均应遵守本合同，如有违约，将赔偿因违约给对方造成的经济损失，因不可抗拒力所导致的交货及付款延迟等按照《中华人民共和国</w:t>
      </w:r>
      <w:r>
        <w:rPr>
          <w:rFonts w:hint="eastAsia" w:ascii="仿宋" w:hAnsi="仿宋" w:eastAsia="仿宋" w:cs="仿宋"/>
          <w:color w:val="000000"/>
          <w:kern w:val="0"/>
          <w:sz w:val="24"/>
          <w:lang w:eastAsia="zh-CN"/>
        </w:rPr>
        <w:t>民法典</w:t>
      </w:r>
      <w:r>
        <w:rPr>
          <w:rFonts w:hint="eastAsia" w:ascii="仿宋" w:hAnsi="仿宋" w:eastAsia="仿宋" w:cs="仿宋"/>
          <w:color w:val="000000"/>
          <w:kern w:val="0"/>
          <w:sz w:val="24"/>
        </w:rPr>
        <w:t>》有关条文及本合同第</w:t>
      </w:r>
      <w:r>
        <w:rPr>
          <w:rFonts w:hint="eastAsia" w:ascii="仿宋" w:hAnsi="仿宋" w:eastAsia="仿宋" w:cs="仿宋"/>
          <w:color w:val="000000"/>
          <w:kern w:val="0"/>
          <w:sz w:val="24"/>
          <w:lang w:eastAsia="zh-CN"/>
        </w:rPr>
        <w:t>九</w:t>
      </w:r>
      <w:r>
        <w:rPr>
          <w:rFonts w:hint="eastAsia" w:ascii="仿宋" w:hAnsi="仿宋" w:eastAsia="仿宋" w:cs="仿宋"/>
          <w:color w:val="000000"/>
          <w:kern w:val="0"/>
          <w:sz w:val="24"/>
        </w:rPr>
        <w:t>条处理。</w:t>
      </w:r>
    </w:p>
    <w:p w14:paraId="1E04854B">
      <w:pPr>
        <w:pStyle w:val="21"/>
        <w:rPr>
          <w:rFonts w:hint="eastAsia" w:ascii="仿宋" w:hAnsi="仿宋" w:eastAsia="仿宋" w:cs="仿宋"/>
        </w:rPr>
      </w:pPr>
    </w:p>
    <w:p w14:paraId="272437AC">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lang w:eastAsia="zh-CN"/>
        </w:rPr>
        <w:t>九</w:t>
      </w:r>
      <w:r>
        <w:rPr>
          <w:rFonts w:hint="eastAsia" w:ascii="仿宋" w:hAnsi="仿宋" w:eastAsia="仿宋" w:cs="仿宋"/>
          <w:b/>
          <w:color w:val="000000"/>
          <w:kern w:val="0"/>
          <w:sz w:val="24"/>
        </w:rPr>
        <w:t xml:space="preserve">、不可抗力 </w:t>
      </w:r>
    </w:p>
    <w:p w14:paraId="27C542F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1. </w:t>
      </w:r>
      <w:r>
        <w:rPr>
          <w:rFonts w:hint="eastAsia" w:ascii="仿宋" w:hAnsi="仿宋" w:eastAsia="仿宋" w:cs="仿宋"/>
          <w:color w:val="000000"/>
          <w:kern w:val="0"/>
          <w:sz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3CB1103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 xml:space="preserve">2. </w:t>
      </w:r>
      <w:r>
        <w:rPr>
          <w:rFonts w:hint="eastAsia" w:ascii="仿宋" w:hAnsi="仿宋" w:eastAsia="仿宋" w:cs="仿宋"/>
          <w:color w:val="000000"/>
          <w:kern w:val="0"/>
          <w:sz w:val="24"/>
          <w:lang w:eastAsia="zh-CN"/>
        </w:rPr>
        <w:t>如因政策原因无法继续履行合同，双方无条件终止此合同。</w:t>
      </w:r>
    </w:p>
    <w:p w14:paraId="4ED3F3CB">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FF0000"/>
          <w:kern w:val="0"/>
          <w:sz w:val="24"/>
        </w:rPr>
      </w:pPr>
      <w:r>
        <w:rPr>
          <w:rFonts w:hint="eastAsia" w:ascii="仿宋" w:hAnsi="仿宋" w:eastAsia="仿宋" w:cs="仿宋"/>
          <w:b/>
          <w:bCs/>
          <w:color w:val="000000"/>
          <w:kern w:val="0"/>
          <w:sz w:val="24"/>
          <w:lang w:eastAsia="zh-CN"/>
        </w:rPr>
        <w:t>十</w:t>
      </w:r>
      <w:r>
        <w:rPr>
          <w:rFonts w:hint="eastAsia" w:ascii="仿宋" w:hAnsi="仿宋" w:eastAsia="仿宋" w:cs="仿宋"/>
          <w:b/>
          <w:bCs/>
          <w:color w:val="000000"/>
          <w:kern w:val="0"/>
          <w:sz w:val="24"/>
        </w:rPr>
        <w:t>、</w:t>
      </w:r>
      <w:r>
        <w:rPr>
          <w:rFonts w:hint="eastAsia" w:ascii="仿宋" w:hAnsi="仿宋" w:eastAsia="仿宋" w:cs="仿宋"/>
          <w:color w:val="000000"/>
          <w:kern w:val="0"/>
          <w:sz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0A3FE3B8">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24"/>
        </w:rPr>
        <w:t>十</w:t>
      </w:r>
      <w:r>
        <w:rPr>
          <w:rFonts w:hint="eastAsia" w:ascii="仿宋" w:hAnsi="仿宋" w:eastAsia="仿宋" w:cs="仿宋"/>
          <w:b/>
          <w:color w:val="000000"/>
          <w:kern w:val="0"/>
          <w:sz w:val="24"/>
          <w:lang w:eastAsia="zh-CN"/>
        </w:rPr>
        <w:t>一</w:t>
      </w:r>
      <w:r>
        <w:rPr>
          <w:rFonts w:hint="eastAsia" w:ascii="仿宋" w:hAnsi="仿宋" w:eastAsia="仿宋" w:cs="仿宋"/>
          <w:b/>
          <w:color w:val="000000"/>
          <w:kern w:val="0"/>
          <w:sz w:val="24"/>
        </w:rPr>
        <w:t>、争议</w:t>
      </w:r>
    </w:p>
    <w:p w14:paraId="170D0F1C">
      <w:pPr>
        <w:keepNext w:val="0"/>
        <w:keepLines w:val="0"/>
        <w:pageBreakBefore w:val="0"/>
        <w:widowControl/>
        <w:kinsoku/>
        <w:wordWrap/>
        <w:overflowPunct/>
        <w:topLinePunct w:val="0"/>
        <w:autoSpaceDE/>
        <w:autoSpaceDN/>
        <w:bidi w:val="0"/>
        <w:spacing w:before="240" w:after="240" w:line="360" w:lineRule="auto"/>
        <w:ind w:firstLine="48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24"/>
        </w:rPr>
        <w:t>双方本着友好合作的态度，对合同履行过程中发生的违约行为进行及时的协商解决，如不能协商解决可向合同</w:t>
      </w:r>
      <w:r>
        <w:rPr>
          <w:rFonts w:hint="eastAsia" w:ascii="仿宋" w:hAnsi="仿宋" w:eastAsia="仿宋" w:cs="仿宋"/>
          <w:color w:val="000000"/>
          <w:kern w:val="0"/>
          <w:sz w:val="24"/>
          <w:lang w:eastAsia="zh-CN"/>
        </w:rPr>
        <w:t>甲方住所</w:t>
      </w:r>
      <w:r>
        <w:rPr>
          <w:rFonts w:hint="eastAsia" w:ascii="仿宋" w:hAnsi="仿宋" w:eastAsia="仿宋" w:cs="仿宋"/>
          <w:color w:val="000000"/>
          <w:kern w:val="0"/>
          <w:sz w:val="24"/>
        </w:rPr>
        <w:t>地法院通过法律诉讼解决。</w:t>
      </w:r>
    </w:p>
    <w:p w14:paraId="703D94FF">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十</w:t>
      </w:r>
      <w:r>
        <w:rPr>
          <w:rFonts w:hint="eastAsia" w:ascii="仿宋" w:hAnsi="仿宋" w:eastAsia="仿宋" w:cs="仿宋"/>
          <w:b/>
          <w:color w:val="000000"/>
          <w:kern w:val="0"/>
          <w:sz w:val="24"/>
          <w:lang w:eastAsia="zh-CN"/>
        </w:rPr>
        <w:t>二</w:t>
      </w:r>
      <w:r>
        <w:rPr>
          <w:rFonts w:hint="eastAsia" w:ascii="仿宋" w:hAnsi="仿宋" w:eastAsia="仿宋" w:cs="仿宋"/>
          <w:b/>
          <w:color w:val="000000"/>
          <w:kern w:val="0"/>
          <w:sz w:val="24"/>
        </w:rPr>
        <w:t>、其它</w:t>
      </w:r>
    </w:p>
    <w:p w14:paraId="3157739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本合同一式</w:t>
      </w:r>
      <w:r>
        <w:rPr>
          <w:rFonts w:hint="eastAsia" w:ascii="仿宋" w:hAnsi="仿宋" w:eastAsia="仿宋" w:cs="仿宋"/>
          <w:color w:val="000000"/>
          <w:kern w:val="0"/>
          <w:sz w:val="24"/>
          <w:lang w:eastAsia="zh-CN"/>
        </w:rPr>
        <w:t>陆</w:t>
      </w:r>
      <w:r>
        <w:rPr>
          <w:rFonts w:hint="eastAsia" w:ascii="仿宋" w:hAnsi="仿宋" w:eastAsia="仿宋" w:cs="仿宋"/>
          <w:color w:val="000000"/>
          <w:kern w:val="0"/>
          <w:sz w:val="24"/>
        </w:rPr>
        <w:t>份，甲方</w:t>
      </w:r>
      <w:r>
        <w:rPr>
          <w:rFonts w:hint="eastAsia" w:ascii="仿宋" w:hAnsi="仿宋" w:eastAsia="仿宋" w:cs="仿宋"/>
          <w:color w:val="000000"/>
          <w:kern w:val="0"/>
          <w:sz w:val="24"/>
          <w:lang w:eastAsia="zh-CN"/>
        </w:rPr>
        <w:t>四份</w:t>
      </w:r>
      <w:r>
        <w:rPr>
          <w:rFonts w:hint="eastAsia" w:ascii="仿宋" w:hAnsi="仿宋" w:eastAsia="仿宋" w:cs="仿宋"/>
          <w:color w:val="000000"/>
          <w:kern w:val="0"/>
          <w:sz w:val="24"/>
        </w:rPr>
        <w:t>、乙方一份</w:t>
      </w:r>
      <w:r>
        <w:rPr>
          <w:rFonts w:hint="eastAsia" w:ascii="仿宋" w:hAnsi="仿宋" w:eastAsia="仿宋" w:cs="仿宋"/>
          <w:color w:val="000000"/>
          <w:kern w:val="0"/>
          <w:sz w:val="24"/>
          <w:lang w:eastAsia="zh-CN"/>
        </w:rPr>
        <w:t>、代理一份</w:t>
      </w:r>
      <w:r>
        <w:rPr>
          <w:rFonts w:hint="eastAsia" w:ascii="仿宋" w:hAnsi="仿宋" w:eastAsia="仿宋" w:cs="仿宋"/>
          <w:color w:val="000000"/>
          <w:kern w:val="0"/>
          <w:sz w:val="24"/>
        </w:rPr>
        <w:t>。</w:t>
      </w:r>
    </w:p>
    <w:p w14:paraId="242496A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本合同自签订之日起生效。</w:t>
      </w:r>
    </w:p>
    <w:p w14:paraId="45A04BE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本项目的</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文件等是本合同的附件，与合同具有同等的法律效力。</w:t>
      </w:r>
    </w:p>
    <w:p w14:paraId="6C6A539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其它未尽事宜，由双方友好协商解决，并参照《中华人民共和国</w:t>
      </w:r>
      <w:r>
        <w:rPr>
          <w:rFonts w:hint="eastAsia" w:ascii="仿宋" w:hAnsi="仿宋" w:eastAsia="仿宋" w:cs="仿宋"/>
          <w:color w:val="000000"/>
          <w:kern w:val="0"/>
          <w:sz w:val="24"/>
          <w:lang w:eastAsia="zh-CN"/>
        </w:rPr>
        <w:t>民法典</w:t>
      </w:r>
      <w:r>
        <w:rPr>
          <w:rFonts w:hint="eastAsia" w:ascii="仿宋" w:hAnsi="仿宋" w:eastAsia="仿宋" w:cs="仿宋"/>
          <w:color w:val="000000"/>
          <w:kern w:val="0"/>
          <w:sz w:val="24"/>
        </w:rPr>
        <w:t>》有关条款执行。</w:t>
      </w:r>
    </w:p>
    <w:p w14:paraId="456823A1">
      <w:pPr>
        <w:widowControl/>
        <w:spacing w:line="44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（附：乙方报价表）</w:t>
      </w:r>
    </w:p>
    <w:bookmarkEnd w:id="164"/>
    <w:bookmarkEnd w:id="165"/>
    <w:bookmarkEnd w:id="166"/>
    <w:bookmarkEnd w:id="167"/>
    <w:bookmarkEnd w:id="168"/>
    <w:tbl>
      <w:tblPr>
        <w:tblStyle w:val="22"/>
        <w:tblpPr w:leftFromText="180" w:rightFromText="180" w:vertAnchor="text" w:horzAnchor="page" w:tblpX="1497" w:tblpY="482"/>
        <w:tblOverlap w:val="never"/>
        <w:tblW w:w="480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10"/>
        <w:gridCol w:w="4700"/>
      </w:tblGrid>
      <w:tr w14:paraId="7582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503" w:type="pct"/>
            <w:tcBorders>
              <w:top w:val="single" w:color="auto" w:sz="4" w:space="0"/>
              <w:left w:val="single" w:color="auto" w:sz="4" w:space="0"/>
              <w:bottom w:val="single" w:color="auto" w:sz="4" w:space="0"/>
              <w:right w:val="single" w:color="auto" w:sz="4" w:space="0"/>
            </w:tcBorders>
            <w:noWrap/>
            <w:vAlign w:val="top"/>
          </w:tcPr>
          <w:p w14:paraId="39C808F3">
            <w:pPr>
              <w:spacing w:line="360" w:lineRule="auto"/>
              <w:rPr>
                <w:rFonts w:hint="eastAsia" w:ascii="仿宋" w:hAnsi="仿宋" w:eastAsia="仿宋" w:cs="仿宋"/>
                <w:sz w:val="24"/>
              </w:rPr>
            </w:pPr>
            <w:r>
              <w:rPr>
                <w:rFonts w:hint="eastAsia" w:ascii="仿宋" w:hAnsi="仿宋" w:eastAsia="仿宋" w:cs="仿宋"/>
                <w:sz w:val="24"/>
              </w:rPr>
              <w:t xml:space="preserve">甲方（盖章）：富顺县中医医院 </w:t>
            </w:r>
          </w:p>
          <w:p w14:paraId="2C62E4AB">
            <w:pPr>
              <w:spacing w:line="360" w:lineRule="auto"/>
              <w:rPr>
                <w:rFonts w:hint="eastAsia" w:ascii="仿宋" w:hAnsi="仿宋" w:eastAsia="仿宋" w:cs="仿宋"/>
                <w:sz w:val="24"/>
              </w:rPr>
            </w:pPr>
            <w:r>
              <w:rPr>
                <w:rFonts w:hint="eastAsia" w:ascii="仿宋" w:hAnsi="仿宋" w:eastAsia="仿宋" w:cs="仿宋"/>
                <w:sz w:val="24"/>
              </w:rPr>
              <w:t>甲方代表（签字）：</w:t>
            </w:r>
          </w:p>
          <w:p w14:paraId="7BDD176A">
            <w:pPr>
              <w:spacing w:line="360" w:lineRule="auto"/>
              <w:rPr>
                <w:rFonts w:hint="eastAsia" w:ascii="仿宋" w:hAnsi="仿宋" w:eastAsia="仿宋" w:cs="仿宋"/>
                <w:sz w:val="24"/>
              </w:rPr>
            </w:pPr>
            <w:r>
              <w:rPr>
                <w:rFonts w:hint="eastAsia" w:ascii="仿宋" w:hAnsi="仿宋" w:eastAsia="仿宋" w:cs="仿宋"/>
                <w:sz w:val="24"/>
              </w:rPr>
              <w:t xml:space="preserve">地址：富顺县东湖大道1801号 </w:t>
            </w:r>
          </w:p>
          <w:p w14:paraId="3F5A5FB5">
            <w:pPr>
              <w:spacing w:line="360" w:lineRule="auto"/>
              <w:rPr>
                <w:rFonts w:hint="eastAsia" w:ascii="仿宋" w:hAnsi="仿宋" w:eastAsia="仿宋" w:cs="仿宋"/>
                <w:sz w:val="24"/>
              </w:rPr>
            </w:pPr>
            <w:r>
              <w:rPr>
                <w:rFonts w:hint="eastAsia" w:ascii="仿宋" w:hAnsi="仿宋" w:eastAsia="仿宋" w:cs="仿宋"/>
                <w:sz w:val="24"/>
              </w:rPr>
              <w:t>电话：0813-5197655</w:t>
            </w:r>
          </w:p>
          <w:p w14:paraId="1D98D7F5">
            <w:pPr>
              <w:spacing w:line="360" w:lineRule="auto"/>
              <w:rPr>
                <w:rFonts w:hint="eastAsia" w:ascii="仿宋" w:hAnsi="仿宋" w:eastAsia="仿宋" w:cs="仿宋"/>
                <w:sz w:val="24"/>
              </w:rPr>
            </w:pPr>
            <w:r>
              <w:rPr>
                <w:rFonts w:hint="eastAsia" w:ascii="仿宋" w:hAnsi="仿宋" w:eastAsia="仿宋" w:cs="仿宋"/>
                <w:sz w:val="24"/>
              </w:rPr>
              <w:t>开户银行：四川富顺农村商业银行股份有限公司营业部</w:t>
            </w:r>
          </w:p>
          <w:p w14:paraId="55137989">
            <w:pPr>
              <w:spacing w:line="360" w:lineRule="auto"/>
              <w:rPr>
                <w:rFonts w:hint="eastAsia" w:ascii="仿宋" w:hAnsi="仿宋" w:eastAsia="仿宋" w:cs="仿宋"/>
                <w:sz w:val="24"/>
              </w:rPr>
            </w:pPr>
            <w:r>
              <w:rPr>
                <w:rFonts w:hint="eastAsia" w:ascii="仿宋" w:hAnsi="仿宋" w:eastAsia="仿宋" w:cs="仿宋"/>
                <w:sz w:val="24"/>
              </w:rPr>
              <w:t>开户帐号：11820120000037316</w:t>
            </w:r>
          </w:p>
          <w:p w14:paraId="61485E20">
            <w:pPr>
              <w:spacing w:line="360" w:lineRule="auto"/>
              <w:rPr>
                <w:rFonts w:hint="eastAsia" w:ascii="仿宋" w:hAnsi="仿宋" w:eastAsia="仿宋" w:cs="仿宋"/>
                <w:sz w:val="24"/>
              </w:rPr>
            </w:pPr>
            <w:r>
              <w:rPr>
                <w:rFonts w:hint="eastAsia" w:ascii="仿宋" w:hAnsi="仿宋" w:eastAsia="仿宋" w:cs="仿宋"/>
                <w:sz w:val="24"/>
              </w:rPr>
              <w:t>日期：   年   月   日</w:t>
            </w:r>
          </w:p>
        </w:tc>
        <w:tc>
          <w:tcPr>
            <w:tcW w:w="2496" w:type="pct"/>
            <w:tcBorders>
              <w:top w:val="single" w:color="auto" w:sz="4" w:space="0"/>
              <w:left w:val="single" w:color="auto" w:sz="4" w:space="0"/>
              <w:bottom w:val="single" w:color="auto" w:sz="4" w:space="0"/>
              <w:right w:val="single" w:color="auto" w:sz="4" w:space="0"/>
            </w:tcBorders>
            <w:noWrap/>
            <w:vAlign w:val="top"/>
          </w:tcPr>
          <w:p w14:paraId="64C37740">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乙方（盖章）： </w:t>
            </w:r>
          </w:p>
          <w:p w14:paraId="38012E56">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乙方代表（签字）：</w:t>
            </w:r>
          </w:p>
          <w:p w14:paraId="40EC0736">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地址： </w:t>
            </w:r>
          </w:p>
          <w:p w14:paraId="55C11095">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电话： </w:t>
            </w:r>
          </w:p>
          <w:p w14:paraId="5BA60C48">
            <w:pPr>
              <w:spacing w:line="360" w:lineRule="auto"/>
              <w:ind w:firstLine="480" w:firstLineChars="200"/>
              <w:rPr>
                <w:rFonts w:hint="eastAsia" w:ascii="仿宋" w:hAnsi="仿宋" w:eastAsia="仿宋" w:cs="仿宋"/>
                <w:sz w:val="24"/>
              </w:rPr>
            </w:pPr>
            <w:r>
              <w:rPr>
                <w:rFonts w:hint="eastAsia" w:ascii="仿宋" w:hAnsi="仿宋" w:eastAsia="仿宋" w:cs="仿宋"/>
                <w:sz w:val="24"/>
              </w:rPr>
              <w:t>开户银行：</w:t>
            </w:r>
          </w:p>
          <w:p w14:paraId="12628C6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开户帐号： </w:t>
            </w:r>
          </w:p>
          <w:p w14:paraId="535BA2E0">
            <w:pPr>
              <w:spacing w:line="360" w:lineRule="auto"/>
              <w:ind w:firstLine="480" w:firstLineChars="200"/>
              <w:rPr>
                <w:rFonts w:hint="eastAsia" w:ascii="仿宋" w:hAnsi="仿宋" w:eastAsia="仿宋" w:cs="仿宋"/>
                <w:sz w:val="24"/>
              </w:rPr>
            </w:pPr>
            <w:r>
              <w:rPr>
                <w:rFonts w:hint="eastAsia" w:ascii="仿宋" w:hAnsi="仿宋" w:eastAsia="仿宋" w:cs="仿宋"/>
                <w:sz w:val="24"/>
              </w:rPr>
              <w:t>日期：   年    月   日</w:t>
            </w:r>
          </w:p>
        </w:tc>
      </w:tr>
    </w:tbl>
    <w:p w14:paraId="1A404178">
      <w:pPr>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bCs/>
          <w:sz w:val="36"/>
          <w:szCs w:val="36"/>
          <w:highlight w:val="none"/>
        </w:rPr>
        <w:t>第九章 附件</w:t>
      </w:r>
      <w:bookmarkEnd w:id="169"/>
    </w:p>
    <w:p w14:paraId="36AD86F4">
      <w:pPr>
        <w:spacing w:before="312" w:beforeLines="100" w:line="360" w:lineRule="auto"/>
        <w:jc w:val="left"/>
        <w:outlineLvl w:val="1"/>
        <w:rPr>
          <w:rFonts w:hint="eastAsia" w:ascii="仿宋" w:hAnsi="仿宋" w:eastAsia="仿宋" w:cs="仿宋"/>
          <w:b/>
          <w:sz w:val="28"/>
          <w:szCs w:val="28"/>
          <w:highlight w:val="none"/>
        </w:rPr>
      </w:pPr>
      <w:bookmarkStart w:id="174" w:name="_Toc1844"/>
      <w:bookmarkStart w:id="175" w:name="_Toc6522"/>
      <w:bookmarkStart w:id="176" w:name="_Toc23165"/>
      <w:r>
        <w:rPr>
          <w:rFonts w:hint="eastAsia" w:ascii="仿宋" w:hAnsi="仿宋" w:eastAsia="仿宋" w:cs="仿宋"/>
          <w:b/>
          <w:bCs/>
          <w:kern w:val="44"/>
          <w:sz w:val="28"/>
          <w:szCs w:val="28"/>
          <w:highlight w:val="none"/>
        </w:rPr>
        <w:t xml:space="preserve">附件1 </w:t>
      </w:r>
      <w:r>
        <w:rPr>
          <w:rFonts w:hint="eastAsia" w:ascii="仿宋" w:hAnsi="仿宋" w:eastAsia="仿宋" w:cs="仿宋"/>
          <w:b/>
          <w:sz w:val="28"/>
          <w:szCs w:val="28"/>
          <w:highlight w:val="none"/>
        </w:rPr>
        <w:t>投标人报名登记表</w:t>
      </w:r>
      <w:bookmarkEnd w:id="174"/>
      <w:bookmarkEnd w:id="175"/>
      <w:bookmarkEnd w:id="176"/>
    </w:p>
    <w:p w14:paraId="77FE187B">
      <w:pPr>
        <w:spacing w:line="360" w:lineRule="auto"/>
        <w:jc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投标人报名登记表</w:t>
      </w:r>
    </w:p>
    <w:tbl>
      <w:tblPr>
        <w:tblStyle w:val="22"/>
        <w:tblW w:w="9612" w:type="dxa"/>
        <w:tblInd w:w="0" w:type="dxa"/>
        <w:tblLayout w:type="fixed"/>
        <w:tblCellMar>
          <w:top w:w="15" w:type="dxa"/>
          <w:left w:w="15" w:type="dxa"/>
          <w:bottom w:w="15" w:type="dxa"/>
          <w:right w:w="15" w:type="dxa"/>
        </w:tblCellMar>
      </w:tblPr>
      <w:tblGrid>
        <w:gridCol w:w="2590"/>
        <w:gridCol w:w="7022"/>
      </w:tblGrid>
      <w:tr w14:paraId="2636BCCA">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14:paraId="236BF98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项目编号(必填）</w:t>
            </w:r>
          </w:p>
        </w:tc>
        <w:tc>
          <w:tcPr>
            <w:tcW w:w="7022" w:type="dxa"/>
            <w:tcBorders>
              <w:top w:val="single" w:color="auto" w:sz="4" w:space="0"/>
              <w:left w:val="single" w:color="auto" w:sz="4" w:space="0"/>
              <w:bottom w:val="single" w:color="auto" w:sz="4" w:space="0"/>
              <w:right w:val="single" w:color="auto" w:sz="4" w:space="0"/>
            </w:tcBorders>
            <w:vAlign w:val="center"/>
          </w:tcPr>
          <w:p w14:paraId="276D15EF">
            <w:pPr>
              <w:widowControl/>
              <w:spacing w:line="360" w:lineRule="auto"/>
              <w:jc w:val="left"/>
              <w:textAlignment w:val="center"/>
              <w:rPr>
                <w:rFonts w:hint="eastAsia" w:ascii="仿宋" w:hAnsi="仿宋" w:eastAsia="仿宋" w:cs="仿宋"/>
                <w:sz w:val="24"/>
                <w:szCs w:val="24"/>
                <w:highlight w:val="none"/>
                <w:lang w:bidi="ar"/>
              </w:rPr>
            </w:pPr>
          </w:p>
        </w:tc>
      </w:tr>
      <w:tr w14:paraId="159EA0A4">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14:paraId="78CE07E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项目名称(必填）</w:t>
            </w:r>
          </w:p>
        </w:tc>
        <w:tc>
          <w:tcPr>
            <w:tcW w:w="7022" w:type="dxa"/>
            <w:tcBorders>
              <w:top w:val="single" w:color="auto" w:sz="4" w:space="0"/>
              <w:left w:val="single" w:color="auto" w:sz="4" w:space="0"/>
              <w:bottom w:val="single" w:color="000000" w:sz="4" w:space="0"/>
              <w:right w:val="single" w:color="auto" w:sz="4" w:space="0"/>
            </w:tcBorders>
            <w:vAlign w:val="center"/>
          </w:tcPr>
          <w:p w14:paraId="087F7803">
            <w:pPr>
              <w:widowControl/>
              <w:spacing w:line="360" w:lineRule="auto"/>
              <w:jc w:val="left"/>
              <w:textAlignment w:val="center"/>
              <w:rPr>
                <w:rFonts w:hint="eastAsia" w:ascii="仿宋" w:hAnsi="仿宋" w:eastAsia="仿宋" w:cs="仿宋"/>
                <w:sz w:val="24"/>
                <w:szCs w:val="24"/>
                <w:highlight w:val="none"/>
                <w:lang w:bidi="ar"/>
              </w:rPr>
            </w:pPr>
          </w:p>
        </w:tc>
      </w:tr>
      <w:tr w14:paraId="4811F4DC">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14:paraId="39129A5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单位名称(必填）</w:t>
            </w:r>
          </w:p>
        </w:tc>
        <w:tc>
          <w:tcPr>
            <w:tcW w:w="7022" w:type="dxa"/>
            <w:tcBorders>
              <w:top w:val="single" w:color="000000" w:sz="4" w:space="0"/>
              <w:left w:val="single" w:color="auto" w:sz="4" w:space="0"/>
              <w:bottom w:val="single" w:color="000000" w:sz="4" w:space="0"/>
              <w:right w:val="single" w:color="000000" w:sz="4" w:space="0"/>
            </w:tcBorders>
            <w:vAlign w:val="center"/>
          </w:tcPr>
          <w:p w14:paraId="60B055F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（加盖公章）</w:t>
            </w:r>
          </w:p>
        </w:tc>
      </w:tr>
      <w:tr w14:paraId="13F6840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21EA51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127CE1F">
            <w:pPr>
              <w:spacing w:line="360" w:lineRule="auto"/>
              <w:rPr>
                <w:rFonts w:hint="eastAsia" w:ascii="仿宋" w:hAnsi="仿宋" w:eastAsia="仿宋" w:cs="仿宋"/>
                <w:sz w:val="24"/>
                <w:szCs w:val="24"/>
                <w:highlight w:val="none"/>
              </w:rPr>
            </w:pPr>
          </w:p>
        </w:tc>
      </w:tr>
      <w:tr w14:paraId="2432A93B">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DC2E1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购买文件时间(必填）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D726818">
            <w:pPr>
              <w:spacing w:line="360" w:lineRule="auto"/>
              <w:rPr>
                <w:rFonts w:hint="eastAsia" w:ascii="仿宋" w:hAnsi="仿宋" w:eastAsia="仿宋" w:cs="仿宋"/>
                <w:sz w:val="24"/>
                <w:szCs w:val="24"/>
                <w:highlight w:val="none"/>
              </w:rPr>
            </w:pPr>
          </w:p>
        </w:tc>
      </w:tr>
      <w:tr w14:paraId="53D1B129">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3B13BA5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包件号(必填）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4BBE1194">
            <w:pPr>
              <w:spacing w:line="360" w:lineRule="auto"/>
              <w:rPr>
                <w:rFonts w:hint="eastAsia" w:ascii="仿宋" w:hAnsi="仿宋" w:eastAsia="仿宋" w:cs="仿宋"/>
                <w:sz w:val="24"/>
                <w:szCs w:val="24"/>
                <w:highlight w:val="none"/>
              </w:rPr>
            </w:pPr>
          </w:p>
        </w:tc>
      </w:tr>
      <w:tr w14:paraId="190DA6D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4D1CEB5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E6C1920">
            <w:pPr>
              <w:spacing w:line="360" w:lineRule="auto"/>
              <w:rPr>
                <w:rFonts w:hint="eastAsia" w:ascii="仿宋" w:hAnsi="仿宋" w:eastAsia="仿宋" w:cs="仿宋"/>
                <w:sz w:val="24"/>
                <w:szCs w:val="24"/>
                <w:highlight w:val="none"/>
              </w:rPr>
            </w:pPr>
          </w:p>
        </w:tc>
      </w:tr>
      <w:tr w14:paraId="00E73147">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1E4B4C8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14:paraId="5F9DD503">
            <w:pPr>
              <w:spacing w:line="360" w:lineRule="auto"/>
              <w:rPr>
                <w:rFonts w:hint="eastAsia" w:ascii="仿宋" w:hAnsi="仿宋" w:eastAsia="仿宋" w:cs="仿宋"/>
                <w:sz w:val="24"/>
                <w:szCs w:val="24"/>
                <w:highlight w:val="none"/>
              </w:rPr>
            </w:pPr>
          </w:p>
        </w:tc>
      </w:tr>
      <w:tr w14:paraId="73A192C3">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1366822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经办人移动电话(必填）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7D0D827A">
            <w:pPr>
              <w:spacing w:line="360" w:lineRule="auto"/>
              <w:rPr>
                <w:rFonts w:hint="eastAsia" w:ascii="仿宋" w:hAnsi="仿宋" w:eastAsia="仿宋" w:cs="仿宋"/>
                <w:sz w:val="24"/>
                <w:szCs w:val="24"/>
                <w:highlight w:val="none"/>
              </w:rPr>
            </w:pPr>
          </w:p>
        </w:tc>
      </w:tr>
      <w:tr w14:paraId="4778028A">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CAB1E7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14:paraId="639C18EE">
            <w:pPr>
              <w:spacing w:line="360" w:lineRule="auto"/>
              <w:rPr>
                <w:rFonts w:hint="eastAsia" w:ascii="仿宋" w:hAnsi="仿宋" w:eastAsia="仿宋" w:cs="仿宋"/>
                <w:sz w:val="24"/>
                <w:szCs w:val="24"/>
                <w:highlight w:val="none"/>
              </w:rPr>
            </w:pPr>
          </w:p>
        </w:tc>
      </w:tr>
      <w:tr w14:paraId="053148C3">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F26966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0B55414">
            <w:pPr>
              <w:spacing w:line="360" w:lineRule="auto"/>
              <w:rPr>
                <w:rFonts w:hint="eastAsia" w:ascii="仿宋" w:hAnsi="仿宋" w:eastAsia="仿宋" w:cs="仿宋"/>
                <w:sz w:val="24"/>
                <w:szCs w:val="24"/>
                <w:highlight w:val="none"/>
              </w:rPr>
            </w:pPr>
          </w:p>
        </w:tc>
      </w:tr>
      <w:tr w14:paraId="112CA19F">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4176EA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14:paraId="4B176A90">
            <w:pPr>
              <w:spacing w:line="360" w:lineRule="auto"/>
              <w:rPr>
                <w:rFonts w:hint="eastAsia" w:ascii="仿宋" w:hAnsi="仿宋" w:eastAsia="仿宋" w:cs="仿宋"/>
                <w:sz w:val="24"/>
                <w:szCs w:val="24"/>
                <w:highlight w:val="none"/>
              </w:rPr>
            </w:pPr>
          </w:p>
        </w:tc>
      </w:tr>
    </w:tbl>
    <w:p w14:paraId="7D4DF6B7">
      <w:pPr>
        <w:spacing w:before="312" w:beforeLines="100" w:line="360" w:lineRule="auto"/>
        <w:ind w:firstLine="361" w:firstLineChars="15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注：</w:t>
      </w:r>
      <w:r>
        <w:rPr>
          <w:rFonts w:hint="eastAsia" w:ascii="仿宋" w:hAnsi="仿宋" w:eastAsia="仿宋" w:cs="仿宋"/>
          <w:sz w:val="24"/>
          <w:szCs w:val="24"/>
          <w:highlight w:val="none"/>
        </w:rPr>
        <w:t>采用邮购联系方式的投标人请将报名资料电子版传至</w:t>
      </w:r>
      <w:r>
        <w:rPr>
          <w:rFonts w:hint="eastAsia" w:ascii="仿宋" w:hAnsi="仿宋" w:eastAsia="仿宋" w:cs="仿宋"/>
          <w:color w:val="FF0000"/>
          <w:sz w:val="24"/>
          <w:szCs w:val="24"/>
          <w:highlight w:val="none"/>
          <w:lang w:val="zh-CN"/>
        </w:rPr>
        <w:t xml:space="preserve">766107639@qq.com </w:t>
      </w:r>
      <w:r>
        <w:rPr>
          <w:rFonts w:hint="eastAsia" w:ascii="仿宋" w:hAnsi="仿宋" w:eastAsia="仿宋" w:cs="仿宋"/>
          <w:color w:val="auto"/>
          <w:sz w:val="24"/>
          <w:highlight w:val="none"/>
          <w:lang w:eastAsia="zh-CN"/>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r>
        <w:rPr>
          <w:rFonts w:hint="eastAsia" w:ascii="仿宋" w:hAnsi="仿宋" w:eastAsia="仿宋" w:cs="仿宋"/>
          <w:sz w:val="24"/>
          <w:szCs w:val="24"/>
          <w:highlight w:val="none"/>
        </w:rPr>
        <w:t>。</w:t>
      </w:r>
    </w:p>
    <w:p w14:paraId="30C2ECE4">
      <w:pPr>
        <w:spacing w:line="360" w:lineRule="auto"/>
        <w:rPr>
          <w:rFonts w:hint="eastAsia" w:ascii="仿宋" w:hAnsi="仿宋" w:eastAsia="仿宋" w:cs="仿宋"/>
          <w:sz w:val="24"/>
          <w:szCs w:val="24"/>
          <w:highlight w:val="none"/>
        </w:rPr>
      </w:pPr>
    </w:p>
    <w:p w14:paraId="522BB87B">
      <w:pPr>
        <w:spacing w:line="360" w:lineRule="auto"/>
        <w:rPr>
          <w:rFonts w:hint="eastAsia" w:ascii="仿宋" w:hAnsi="仿宋" w:eastAsia="仿宋" w:cs="仿宋"/>
          <w:b/>
          <w:bCs/>
          <w:sz w:val="24"/>
          <w:szCs w:val="24"/>
          <w:highlight w:val="none"/>
        </w:rPr>
        <w:sectPr>
          <w:pgSz w:w="11850" w:h="16783"/>
          <w:pgMar w:top="1417" w:right="1134" w:bottom="1417" w:left="1134" w:header="851" w:footer="992" w:gutter="0"/>
          <w:cols w:space="0" w:num="1"/>
          <w:docGrid w:type="lines" w:linePitch="312" w:charSpace="0"/>
        </w:sectPr>
      </w:pPr>
    </w:p>
    <w:tbl>
      <w:tblPr>
        <w:tblStyle w:val="22"/>
        <w:tblW w:w="137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2951"/>
      </w:tblGrid>
      <w:tr w14:paraId="0AD7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7" w:hRule="atLeast"/>
        </w:trPr>
        <w:tc>
          <w:tcPr>
            <w:tcW w:w="768" w:type="dxa"/>
            <w:tcBorders>
              <w:top w:val="nil"/>
              <w:left w:val="nil"/>
              <w:bottom w:val="nil"/>
              <w:right w:val="nil"/>
            </w:tcBorders>
            <w:shd w:val="clear" w:color="auto" w:fill="FFFFFF"/>
            <w:noWrap/>
            <w:vAlign w:val="center"/>
          </w:tcPr>
          <w:p w14:paraId="679E56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c>
          <w:tcPr>
            <w:tcW w:w="12951" w:type="dxa"/>
            <w:tcBorders>
              <w:top w:val="nil"/>
              <w:left w:val="nil"/>
              <w:bottom w:val="nil"/>
              <w:right w:val="nil"/>
            </w:tcBorders>
            <w:shd w:val="clear" w:color="auto" w:fill="FFFFFF"/>
            <w:noWrap/>
            <w:vAlign w:val="center"/>
          </w:tcPr>
          <w:p w14:paraId="0BD7B4D6">
            <w:pPr>
              <w:keepNext w:val="0"/>
              <w:keepLines w:val="0"/>
              <w:widowControl/>
              <w:suppressLineNumbers w:val="0"/>
              <w:jc w:val="both"/>
              <w:textAlignment w:val="center"/>
              <w:rPr>
                <w:rFonts w:hint="eastAsia"/>
                <w:lang w:val="en-US" w:eastAsia="zh-CN"/>
              </w:rPr>
            </w:pPr>
            <w:r>
              <w:rPr>
                <w:rFonts w:hint="eastAsia"/>
                <w:lang w:val="en-US" w:eastAsia="zh-CN"/>
              </w:rPr>
              <w:t>附件2：富顺县中医医院2025年第三批医疗耗材采购明细</w:t>
            </w:r>
          </w:p>
          <w:tbl>
            <w:tblPr>
              <w:tblStyle w:val="22"/>
              <w:tblW w:w="1264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
              <w:gridCol w:w="643"/>
              <w:gridCol w:w="1947"/>
              <w:gridCol w:w="719"/>
              <w:gridCol w:w="828"/>
              <w:gridCol w:w="1098"/>
              <w:gridCol w:w="1298"/>
              <w:gridCol w:w="648"/>
              <w:gridCol w:w="575"/>
              <w:gridCol w:w="865"/>
              <w:gridCol w:w="4014"/>
            </w:tblGrid>
            <w:tr w14:paraId="5C2F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6EB2">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骨科耗材类(第一包）</w:t>
                  </w:r>
                </w:p>
              </w:tc>
            </w:tr>
            <w:tr w14:paraId="2B6B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CC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500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1F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B8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2F3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C85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F9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17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6F4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D165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43E7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7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31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脊柱内固定器（连接块）</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48A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C6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44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9420.00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A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131880.00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F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148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B43F">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21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1、微创脊柱内固定器长度22mm-26mm，宽度8.5mm-9.5mm，可通过的通道宽度为10mm，镜下高度可调范围8-13mm。2、骨科发展脊柱微创手术需要耗材，提供跟台服务人员及配套手术器械</w:t>
                  </w:r>
                </w:p>
              </w:tc>
            </w:tr>
            <w:tr w14:paraId="6A9B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AF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11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一次性无菌微创脊柱钻头</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27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32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E7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1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9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E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1F12">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241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1、钻头长度280mm，直径3.5mm，转速为20000-6000r/min 2、开展微创脊柱外科手术，提供跟台服务人员及配套手术器械</w:t>
                  </w:r>
                </w:p>
              </w:tc>
            </w:tr>
            <w:tr w14:paraId="37E6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64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C98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一次性射频等离子体手术电极</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A8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9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BAB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3143.00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AA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6286.00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05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60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33F2">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99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1、角度为30°，长度88mm、刀头可伸缩8mm，外径1.6mm,输出频率100K-500KHZ    2、开展UBE单侧双通道技术使用  3、接口适配医院射频等离子体手术系统，品牌美创</w:t>
                  </w:r>
                </w:p>
              </w:tc>
            </w:tr>
            <w:tr w14:paraId="76AE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0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01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一次性射频等离子体手术电极</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10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6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B1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3980.00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44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7960.00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61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4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5EA1">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C9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1、角度为50°，长度135mm、外径4.0mm，输出频率100K-500KHZ   2、开展UBE单侧双通道技术使用 3、 3、接口适配医院射频等离子体手术系统，品牌美创</w:t>
                  </w:r>
                </w:p>
              </w:tc>
            </w:tr>
            <w:tr w14:paraId="19D8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6B1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4E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一次性无菌磨钻头</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68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1B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39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DC1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647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CB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9CAD">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1D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1、钻头长度110mm，磨钻头直径4.0mm，刀杆直径4.5，钻头形式用球形金刚砂，输出转数为120000r/min   2、开展UBE单侧双通道技术使用，提供跟台服务人员及配套手术器械</w:t>
                  </w:r>
                </w:p>
              </w:tc>
            </w:tr>
            <w:tr w14:paraId="4236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D4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95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驱血止血弹性束紧套环</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98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79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F5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3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41400.00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A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A1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D931D">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BC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1、适合肢体维度14cm-85cm 2、用于手术时止血</w:t>
                  </w:r>
                </w:p>
              </w:tc>
            </w:tr>
            <w:tr w14:paraId="0361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0E5C">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623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A645">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0D3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01D6">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E3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200526.00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F98E">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5E61E">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7035">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FF10C">
                  <w:pPr>
                    <w:jc w:val="left"/>
                    <w:rPr>
                      <w:rFonts w:hint="eastAsia" w:ascii="宋体" w:hAnsi="宋体" w:eastAsia="宋体" w:cs="宋体"/>
                      <w:i w:val="0"/>
                      <w:color w:val="000000"/>
                      <w:sz w:val="18"/>
                      <w:szCs w:val="18"/>
                      <w:u w:val="none"/>
                    </w:rPr>
                  </w:pPr>
                </w:p>
              </w:tc>
            </w:tr>
            <w:tr w14:paraId="03D2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3DD6">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心电电极类(第二包）</w:t>
                  </w:r>
                </w:p>
              </w:tc>
            </w:tr>
            <w:tr w14:paraId="73FF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4DF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E2CA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EC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B0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D0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91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CF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26E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28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18B7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5676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29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17B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一次性使用心电电极</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C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87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AC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8C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2D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99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7D0BC">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59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适配医院无创血流动力学检测仪使用，型号：Bioz-satandard品牌麦德安。由海绵基衬、电极扣、电极蓬和导电胶组成</w:t>
                  </w:r>
                </w:p>
              </w:tc>
            </w:tr>
            <w:tr w14:paraId="7B61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9966">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BB1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BCCB">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7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48DB4">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6B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55AA">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DD99">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CFB7">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121D">
                  <w:pPr>
                    <w:jc w:val="left"/>
                    <w:rPr>
                      <w:rFonts w:hint="eastAsia" w:ascii="宋体" w:hAnsi="宋体" w:eastAsia="宋体" w:cs="宋体"/>
                      <w:i w:val="0"/>
                      <w:color w:val="000000"/>
                      <w:sz w:val="18"/>
                      <w:szCs w:val="18"/>
                      <w:u w:val="none"/>
                    </w:rPr>
                  </w:pPr>
                </w:p>
              </w:tc>
            </w:tr>
            <w:tr w14:paraId="6E91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A49FF">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置管类耗材(第三包）</w:t>
                  </w:r>
                </w:p>
              </w:tc>
            </w:tr>
            <w:tr w14:paraId="0750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EC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55E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B8F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01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AF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027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4D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F0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FC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758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2642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2F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4C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一次性使用密闭式吸痰管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C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3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00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74.87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63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14974.00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06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B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0993A">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5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使用过程中吸氧不中断，6Fr-16Fr/密闭式，由病人端单元(包括接口套、四通、阀体座、清洗单元、滑板、旋转接头、旋转接头套、密封垫、前嘴锁母、前嘴、密封套、卡箍)、吸痰管单元(包括吸痰管、薄膜)、机器端单元(包括后嘴、新弹簧、底座帽芯、座体帽、新管座体、底盖、黑色密封套)组成</w:t>
                  </w:r>
                </w:p>
              </w:tc>
            </w:tr>
            <w:tr w14:paraId="0B3A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22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2C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一次性使用麻醉呼吸机管路</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C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9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9C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24.98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31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999.20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1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0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8F9C">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0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用于吸痰不用断开呼吸机，保证通气支持的连续性，伸缩型，产品由螺纹管、集水杯、气囊、病人接口及机器接口、气体采样口、气体监测口组成。</w:t>
                  </w:r>
                </w:p>
              </w:tc>
            </w:tr>
            <w:tr w14:paraId="419D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0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A4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一次性使用植入式给药装置专用针</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D3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EC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D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0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A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CF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02D6A">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92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用于成立输液港病人进行每月一次的静脉导管维护和治疗使用，大小（0.7-0.9）*（16-25），产品是由针管、保护套、针柄、软管、Y注射件、止流夹、连接座(针座)、保护帽选配组成。分专用注射针和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专用输液针</w:t>
                  </w:r>
                </w:p>
              </w:tc>
            </w:tr>
            <w:tr w14:paraId="165B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F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9C1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一次性使用无菌护理包</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E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2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C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CA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124.80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9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1F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CB74">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CA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1、开展PICC和输液港专科护士换药 2、要求配置有敷贴（创面型）、治疗巾、手套、碘伏棉签、酒精棉签、纱布、酒精消毒棉片</w:t>
                  </w:r>
                </w:p>
              </w:tc>
            </w:tr>
            <w:tr w14:paraId="148C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A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F5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经外周插管的中心静脉导管套件及附件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92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C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17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26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B1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66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0394">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22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腔PICC/4Fr，本产品包括单腔导管、帶穿刺针的导引套管、连接件、固定翼、护帽和Statlock导管固定器（VPPDFP）部分型号包括微插管器(含导丝、穿刺针、PTFE微导入器和刀片)。导管材质为硅胶，穿刺针和导丝的材质为304不锈钢，微导入器的材质为聚四氟乙烯，固定翼的材质为硅胶，导引套管的材质为低密度聚乙烯和聚碳酸酯。</w:t>
                  </w:r>
                </w:p>
              </w:tc>
            </w:tr>
            <w:tr w14:paraId="2302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4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60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中心静脉导管 单腔</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1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A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8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177.96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D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D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F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BCFC">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FC0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单腔16G</w:t>
                  </w:r>
                </w:p>
              </w:tc>
            </w:tr>
            <w:tr w14:paraId="0ACE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2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BF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一次性使用经外周置入中心静脉导管套装</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8D0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CA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D4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2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BA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8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52AB">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22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3Fr/30cm</w:t>
                  </w:r>
                </w:p>
              </w:tc>
            </w:tr>
            <w:tr w14:paraId="2C1C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6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C6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医用胶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D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8A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1A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333.00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8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13320.00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82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B0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2640A">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60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1、用于神经外科止血，脑膜粘合 ，</w:t>
                  </w:r>
                  <w:r>
                    <w:rPr>
                      <w:rFonts w:ascii="微软雅黑" w:hAnsi="微软雅黑" w:eastAsia="微软雅黑" w:cs="微软雅黑"/>
                      <w:i w:val="0"/>
                      <w:color w:val="000000"/>
                      <w:kern w:val="0"/>
                      <w:sz w:val="18"/>
                      <w:szCs w:val="18"/>
                      <w:u w:val="none"/>
                      <w:lang w:val="en-US" w:eastAsia="zh-CN" w:bidi="ar"/>
                    </w:rPr>
                    <w:t>1ml/支</w:t>
                  </w:r>
                </w:p>
              </w:tc>
            </w:tr>
            <w:tr w14:paraId="7DDE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5E992">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0F1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275F">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07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354</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A0CE">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A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105168.00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75A9">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015B">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C808">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2F4F">
                  <w:pPr>
                    <w:jc w:val="left"/>
                    <w:rPr>
                      <w:rFonts w:hint="eastAsia" w:ascii="宋体" w:hAnsi="宋体" w:eastAsia="宋体" w:cs="宋体"/>
                      <w:i w:val="0"/>
                      <w:color w:val="000000"/>
                      <w:sz w:val="18"/>
                      <w:szCs w:val="18"/>
                      <w:u w:val="none"/>
                    </w:rPr>
                  </w:pPr>
                </w:p>
              </w:tc>
            </w:tr>
            <w:tr w14:paraId="5E20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4FC2">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外科耗材类(第四包）</w:t>
                  </w:r>
                </w:p>
              </w:tc>
            </w:tr>
            <w:tr w14:paraId="1852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15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D468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969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042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C1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65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C9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DAA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F9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B4B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7A01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FE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AD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聚丙烯修补网（塞）</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1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19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0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89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E6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C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0910">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BF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该产品由聚丙烯单丝编织而成，未经染色，为网塞型式.</w:t>
                  </w:r>
                </w:p>
              </w:tc>
            </w:tr>
            <w:tr w14:paraId="3A4D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59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68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可吸收止血结扎夹</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68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1A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8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196.00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73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70560.00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7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0C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E0D74">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933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可吸收止血结扎夹由内卡、外卡、外套、活塞四个部分组成，其中内卡和外卡为植入部分，外套和活塞辅助内卡和外卡植入体内。内卡由聚对二氧环己酮制成，外卡由聚乙醇酸制成，外套和活塞由聚碳酸酯制成。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产品初包装为纸塑袋，其材质为PET/SPE复合膜和透析纸，产品经环氧乙烷灭菌,有效期24个月.</w:t>
                  </w:r>
                </w:p>
              </w:tc>
            </w:tr>
            <w:tr w14:paraId="5664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3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D7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带线荷包缝合针</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8C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46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2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59.64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6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119.28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2C6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E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85A01">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E09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带线荷包缝合针由两根缝针（圆直针）、一根缝线组成，缝线采用聚酰胺6或聚酰胺6/6材料制成，缝针的长度为66mm，缝线为0号.</w:t>
                  </w:r>
                </w:p>
              </w:tc>
            </w:tr>
            <w:tr w14:paraId="0366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A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71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透析导管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AD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3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FD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4F8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87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40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4967A">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D8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适用于血液透析、血液灌流或血浆分离透析治疗时，建立血管通路。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14.5F，导管长度19cm、23cm、27cm、31cm、35cm可选；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导管的材料为聚氨酯，具备长期使用的强度；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流量最高可达500ml/min;</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带有阀血管鞘，可有效防止空气栓塞及出血过多；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在隧道部位提供非常好的柔韧性，便于植入.</w:t>
                  </w:r>
                </w:p>
              </w:tc>
            </w:tr>
            <w:tr w14:paraId="7189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2D5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1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一次性活检针</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FB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C2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2A4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539.75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5E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10795.00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2B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38B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DC4E">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93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1.穿刺针针管外径×穿刺针针管有效长度： 16g(1.6mm)×16cm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2.1材料：穿刺针：304不锈钢/针芯：304不锈钢/针头接口：聚碳酸酯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衬垫：聚丙烯均聚物/针套：低密度聚乙烯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2.2一次性活检针由手柄和活检针组成，手柄由树脂和热塑性弹性体构成，活检针由304不锈钢穿刺针和同心套筒组成。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2.3套筒上有厘米刻度标识。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2.4手柄旁侧和后部的传动按钮按照不同的规格大小用不同颜色标出。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3.用于获得肝、肾、前列腺、脾、淋巴结和各软组织瘤的活检组织.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大小14G-20G</w:t>
                  </w:r>
                </w:p>
              </w:tc>
            </w:tr>
            <w:tr w14:paraId="24CD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8E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6E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一次性使用腹腔穿刺器</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43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1D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9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F4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23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7B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F208">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1A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由穿刺套管和穿刺芯组成，1支/盒，5cm：穿刺芯外径(D)：5.8±0.8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穿刺套管长度(L)：102±2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穿刺套管内径(d)：6.4±0.2   10cm：穿刺芯外径(D)：10.8±0.8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穿刺套管长度(L)：102±2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穿刺套管内径(d)：11.4±0.2  12cm：穿刺芯外径(D)：12.8±0.8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穿刺套管长度(L)：102±2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穿刺套管内径(d)：13.4±0.2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长度5cm/10cm/12cm</w:t>
                  </w:r>
                </w:p>
              </w:tc>
            </w:tr>
            <w:tr w14:paraId="51EB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BD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1F3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一次性组织闭合夹</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0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枚</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CAC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9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11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2A6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6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7E43">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8C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由一次性使用组织闭合夹由结扎锁、固定盖和底座组成，结扎锁的材料为 POM，固定盖和底座的材料为 ABS。/L号/M号/S号，2枚装</w:t>
                  </w:r>
                </w:p>
              </w:tc>
            </w:tr>
            <w:tr w14:paraId="753C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DCAC">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BF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9ED7">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4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448</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38191">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9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139294.28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EA04">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1290E">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B958C">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AB4F0">
                  <w:pPr>
                    <w:jc w:val="left"/>
                    <w:rPr>
                      <w:rFonts w:hint="eastAsia" w:ascii="宋体" w:hAnsi="宋体" w:eastAsia="宋体" w:cs="宋体"/>
                      <w:i w:val="0"/>
                      <w:color w:val="000000"/>
                      <w:sz w:val="18"/>
                      <w:szCs w:val="18"/>
                      <w:u w:val="none"/>
                    </w:rPr>
                  </w:pPr>
                </w:p>
              </w:tc>
            </w:tr>
            <w:tr w14:paraId="3522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FE77">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糖尿病耗材类(第五包）</w:t>
                  </w:r>
                </w:p>
              </w:tc>
            </w:tr>
            <w:tr w14:paraId="2533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98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090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A7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F6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D53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99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E8D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486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9D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0748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10C9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0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B9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一次性使用注射笔用用针头（BD胰岛素注射笔针头）</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E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A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6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F0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110880.00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FD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07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8744">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4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产品由针座盖贴(初包装)、针座、外针帽(初包装)、内针帽和针管组成。/0.25mm(31G)*5mm* 注射笔用针头与注射笔配套用于药物皮下注射</w:t>
                  </w:r>
                </w:p>
              </w:tc>
            </w:tr>
            <w:tr w14:paraId="7B70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37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76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一次性使用注射笔用针头（BD胰岛素注射笔针头）</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8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D9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7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E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45360.00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6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7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0176">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DB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产品由针座盖贴(初包装)、针座、外针帽(初包装)、内针帽和针管组成。/0.25mm(32G)*5mm 注射笔用针头与注射笔配套用于药物皮下注射。</w:t>
                  </w:r>
                </w:p>
              </w:tc>
            </w:tr>
            <w:tr w14:paraId="62BF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770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10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胰岛素笔式注射器</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21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0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B3C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163.00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4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7E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D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55B0">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62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由笔身、笔帽及笔芯架组成。本品不含笔芯及注射针。适配于我院珠海联邦品牌的胰岛素注射液</w:t>
                  </w:r>
                </w:p>
              </w:tc>
            </w:tr>
            <w:tr w14:paraId="4C81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5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F1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胰岛素笔式数显注射器</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7A0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7C0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6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197.69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2E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D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E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2320">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B8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胰岛素笔式数显注射器由笔帽、笔芯架和带有记忆功能的笔体组成，不含针头和笔芯，非无菌提供，适配于我院诺和诺德品牌的胰岛素注射液</w:t>
                  </w:r>
                </w:p>
              </w:tc>
            </w:tr>
            <w:tr w14:paraId="1268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1F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B2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一次性使用冲洗袋</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F91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025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7B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19.90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5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4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C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7E42">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BA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由加药塞、吊板、贮液袋、截流夹、导管、滴斗、流量调节器组成。3000ml</w:t>
                  </w:r>
                </w:p>
              </w:tc>
            </w:tr>
            <w:tr w14:paraId="7FCD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4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16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半自动型活检针(附引导针)</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65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0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B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4D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6C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F86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7C9D">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904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内针、外针、针基、主体、外壳以及针保护套管组成，18G-130mm/导引针17G-115mm</w:t>
                  </w:r>
                </w:p>
              </w:tc>
            </w:tr>
            <w:tr w14:paraId="71C7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C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7F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壳聚糖凝胶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5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7E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DD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15.31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B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18372.00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4B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7A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DE63">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57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该产品由壳聚糖、卡波姆和水制成的水溶性凝胶及药用铝(塑)管或包装瓶(盒)组成。3g/支装</w:t>
                  </w:r>
                </w:p>
              </w:tc>
            </w:tr>
            <w:tr w14:paraId="516C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388D">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0B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A752">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B6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7BEA">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4E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188212.00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E288">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24F5A">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7D9E">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5A91">
                  <w:pPr>
                    <w:jc w:val="left"/>
                    <w:rPr>
                      <w:rFonts w:hint="eastAsia" w:ascii="宋体" w:hAnsi="宋体" w:eastAsia="宋体" w:cs="宋体"/>
                      <w:i w:val="0"/>
                      <w:color w:val="000000"/>
                      <w:sz w:val="18"/>
                      <w:szCs w:val="18"/>
                      <w:u w:val="none"/>
                    </w:rPr>
                  </w:pPr>
                </w:p>
              </w:tc>
            </w:tr>
            <w:tr w14:paraId="7DE7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79C5">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普通耗材类(第六包）</w:t>
                  </w:r>
                </w:p>
              </w:tc>
            </w:tr>
            <w:tr w14:paraId="3D0B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51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D674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A8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502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5E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F5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D8A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BFF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15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003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2C21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382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4B6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浅表创面贴敷敷料</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4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贴</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0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D4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1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ED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C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DA9B">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0F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产品由甘油、卡波姆、聚丙烯酸钠、羟苯甲酯、山梨酸钾、氢氧化钠、纯化水、非织造布、聚丙烯保护层（临用前去除）及铝箔袋组成。6片/盒</w:t>
                  </w:r>
                </w:p>
              </w:tc>
            </w:tr>
            <w:tr w14:paraId="74A1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41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62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类人胶原蛋白敷料</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0A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贴</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6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CC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25.18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C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120864.00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07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E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238B">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220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重组I型人源化胶原蛋白原液（含有少量医用防腐剂和少量医用矫味剂）和无纺布组成./圆型、椭圆型、方型</w:t>
                  </w:r>
                </w:p>
              </w:tc>
            </w:tr>
            <w:tr w14:paraId="3D99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B865">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A03A">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DB2F">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8FE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5025">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5A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120864.00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66D6D">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F272">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B17A8">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3C84">
                  <w:pPr>
                    <w:jc w:val="left"/>
                    <w:rPr>
                      <w:rFonts w:hint="eastAsia" w:ascii="宋体" w:hAnsi="宋体" w:eastAsia="宋体" w:cs="宋体"/>
                      <w:i w:val="0"/>
                      <w:color w:val="000000"/>
                      <w:sz w:val="18"/>
                      <w:szCs w:val="18"/>
                      <w:u w:val="none"/>
                    </w:rPr>
                  </w:pPr>
                </w:p>
              </w:tc>
            </w:tr>
            <w:tr w14:paraId="2BC3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D8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FF0000"/>
                      <w:kern w:val="0"/>
                      <w:sz w:val="18"/>
                      <w:szCs w:val="18"/>
                      <w:u w:val="none"/>
                      <w:lang w:val="en-US" w:eastAsia="zh-CN" w:bidi="ar"/>
                    </w:rPr>
                    <w:t>泌尿外科类耗材(第七包）</w:t>
                  </w:r>
                </w:p>
              </w:tc>
            </w:tr>
            <w:tr w14:paraId="0991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DA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7C3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28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21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49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88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w:t>
                  </w:r>
                  <w:bookmarkStart w:id="177" w:name="_GoBack"/>
                  <w:bookmarkEnd w:id="177"/>
                  <w:r>
                    <w:rPr>
                      <w:rFonts w:hint="eastAsia" w:ascii="宋体" w:hAnsi="宋体" w:eastAsia="宋体" w:cs="宋体"/>
                      <w:b/>
                      <w:i w:val="0"/>
                      <w:color w:val="000000"/>
                      <w:kern w:val="0"/>
                      <w:sz w:val="18"/>
                      <w:szCs w:val="18"/>
                      <w:u w:val="none"/>
                      <w:lang w:val="en-US" w:eastAsia="zh-CN" w:bidi="ar"/>
                    </w:rPr>
                    <w:t>（元）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70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6B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228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460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19EB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0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7F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一次性使用输尿管引流管(注册证名：输尿管导管）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8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C9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5A3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ED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FB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66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52D51">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F85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1、适用于输尿管引流，逆行造影用。2、导管采用聚氯乙烯原材料。3、输尿管导管由导管、鲁尔接头、不锈钢丝组成。</w:t>
                  </w:r>
                </w:p>
              </w:tc>
            </w:tr>
            <w:tr w14:paraId="4039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17B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75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微创扩张引流套件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4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3E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01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AA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2F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2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2D25">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BE1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1、微创扩张引流套件由扩张鞘、拨出鞘、引流管、导引针、导引钢丝组成。2、适用于肾石或肾积水病人经皮肾穿刺中使用。3、配置1扩1鞘。</w:t>
                  </w:r>
                </w:p>
              </w:tc>
            </w:tr>
            <w:tr w14:paraId="25BF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71C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D6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微创扩张引流套件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39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2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2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1544.00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3D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77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09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9CD3">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D4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1、微创扩张引流套件由扩张鞘、拨出鞘、引流管、导引针、导引钢丝组成。2、适用于肾石或肾积水病人经皮肾穿刺中使用。3、配置6扩1鞘。</w:t>
                  </w:r>
                </w:p>
              </w:tc>
            </w:tr>
            <w:tr w14:paraId="6B62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6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481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一次性使用泌尿道用导丝（注册证名：一次性使用非血管腔道导丝）</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24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E5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CF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E04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79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8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E357E">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F6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1、产品适用于内窥镜下与J型导管和微创扩张引流套件配套使用，起支撑、引导作用。2、产品由导丝芯、包塑层（涂层）和软头组成，斑马型。</w:t>
                  </w:r>
                </w:p>
              </w:tc>
            </w:tr>
            <w:tr w14:paraId="12B8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5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98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导引针</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50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AD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73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CD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0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52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5022">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B8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1、用于泌尿肛肠科手术中的探查、引流。2、c型导引针由针管、针芯、针座、护套管组成。</w:t>
                  </w:r>
                </w:p>
              </w:tc>
            </w:tr>
            <w:tr w14:paraId="252C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6A7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14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取石网篮</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7D1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A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22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6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108080.00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B7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1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866F9">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5B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1、产品用于内窥镜下捕获和取出输尿管结石。2、产品由网篮（镍钛合金丝）、鞘管（304不锈钢丝网、聚酰亚胺）和控制手柄（缩醛树脂）组成。</w:t>
                  </w:r>
                </w:p>
              </w:tc>
            </w:tr>
            <w:tr w14:paraId="1050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06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AC4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一次性使用输尿管支架（配助推管）（注册证名：J型导管）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948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868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8C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5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51840.00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12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A4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9354">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E4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1、产品适用于尿管支撑、引流用。2、J型导管管体采用聚氨酯材料制成，推管采用医用聚氯乙烯材料制成，导管钢丝采用不锈钢材质。</w:t>
                  </w:r>
                </w:p>
              </w:tc>
            </w:tr>
            <w:tr w14:paraId="2BAE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7F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FF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一次性使用无菌硅胶导尿管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CB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02A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D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32.40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73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31752.00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92C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9E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36B9">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36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1、产品适用于对患者作导尿时一次性使用。2、产品由引流接口、单向阀、管身、引流腔、球囊和引流侧孔组成。3、双腔各型号。</w:t>
                  </w:r>
                </w:p>
              </w:tc>
            </w:tr>
            <w:tr w14:paraId="647A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4D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B9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一次性使用无菌硅胶导尿管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D42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B4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69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2EB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6080.00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3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B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686F">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74E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1、产品适用于对患者作导尿时一次性使用。2、产品由引流接口、单向阀、管身、引流腔、球囊和引流侧孔组成。3、三腔各型号。</w:t>
                  </w:r>
                </w:p>
              </w:tc>
            </w:tr>
            <w:tr w14:paraId="18A0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CA6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73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一次性包皮环切吻合器（注册证名：一次性使用包皮环切吻合器）</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5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把</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A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B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619.82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E67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112807.24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C2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1B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795D">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79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品由内环座组件、器身和附件组成。2、其中内环座组件包括内环座、钉砧、刀砧、中心丝杆，器身包括吻合钉、钉仓、钉筒、环形切刀、推钉片、辅片、壳体、把手、调节旋钮、保险装置，附件包括剥离棒，勾线针、保护罩。3、有多种型号。</w:t>
                  </w:r>
                </w:p>
              </w:tc>
            </w:tr>
            <w:tr w14:paraId="47E1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ECC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BC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医用激光光纤</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A4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ED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A0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D2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578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C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2F5D">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0C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1.光纤适用的波长：375nm～2100nm。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2.光纤最大传输功率：125W;光纤最小弯曲工作半径:80mm；光纤芯径:550μm、272μm、200μm等。                                                3.光纤抗拉强度：≥4.9N。</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4.光纤的接口类型：适配于我院Ho：YAG激光治疗机，型号SRM-H3B，品牌：上海瑞柯恩激光有限公司。</w:t>
                  </w:r>
                </w:p>
              </w:tc>
            </w:tr>
            <w:tr w14:paraId="2EB2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55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24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一次性使用电子输尿管肾盂内窥镜导管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7E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1D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D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08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2E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104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409D">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7C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1、产品由插入部、操作部（止液阀、吸引按钮、上下角度控制旋钮）和插头部组成。2、产品与本公司内窥镜图像处理装置配套使用。</w:t>
                  </w:r>
                </w:p>
              </w:tc>
            </w:tr>
            <w:tr w14:paraId="343E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9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66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一次性活检针</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74A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F8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80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C6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6F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0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BF20">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75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检针适用于获得肝、肾、前列腺、脾、淋巴结和软组织瘤的活检组织，不适用于骨骼。2、一次性活检针由手柄和活检针组成。3、手柄由树脂和热塑性弹性体构成，活检针由304不锈钢穿刺针和同心套管组成。4、套管上有厘米刻度标识。</w:t>
                  </w:r>
                </w:p>
              </w:tc>
            </w:tr>
            <w:tr w14:paraId="53CB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9F6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687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超声血管导引穿刺套件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3E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C1D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C3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98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B5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53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8318">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13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超声血管导引穿刺套件包括导针器、弹性圈、医用超声耦合剂和探头护罩4个组件。2、超声血管导引穿刺套件与带探头的site-rite超声系统一起使用对人体血管结构、各种器官和结构中定位超声导引，也可在手术中或经皮进行超声导引。</w:t>
                  </w:r>
                </w:p>
              </w:tc>
            </w:tr>
            <w:tr w14:paraId="1A88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9FE9">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45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8C4C">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AF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1844</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592A">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6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521879.24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7ECFE">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A73A0">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48811">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BB98">
                  <w:pPr>
                    <w:rPr>
                      <w:rFonts w:hint="eastAsia" w:ascii="宋体" w:hAnsi="宋体" w:eastAsia="宋体" w:cs="宋体"/>
                      <w:i w:val="0"/>
                      <w:color w:val="000000"/>
                      <w:sz w:val="22"/>
                      <w:szCs w:val="22"/>
                      <w:u w:val="none"/>
                    </w:rPr>
                  </w:pPr>
                </w:p>
              </w:tc>
            </w:tr>
            <w:tr w14:paraId="0A17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DE4B">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6D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94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品种数</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1453">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F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总金额：</w:t>
                  </w:r>
                </w:p>
              </w:tc>
              <w:tc>
                <w:tcPr>
                  <w:tcW w:w="144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637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138.394352万元</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5BE09">
                  <w:pPr>
                    <w:jc w:val="center"/>
                    <w:rPr>
                      <w:rFonts w:hint="eastAsia" w:ascii="宋体" w:hAnsi="宋体" w:eastAsia="宋体" w:cs="宋体"/>
                      <w:i w:val="0"/>
                      <w:color w:val="000000"/>
                      <w:sz w:val="18"/>
                      <w:szCs w:val="18"/>
                      <w:u w:val="none"/>
                    </w:rPr>
                  </w:pPr>
                </w:p>
              </w:tc>
            </w:tr>
            <w:tr w14:paraId="205C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90" w:hRule="atLeast"/>
              </w:trPr>
              <w:tc>
                <w:tcPr>
                  <w:tcW w:w="12635" w:type="dxa"/>
                  <w:gridSpan w:val="10"/>
                  <w:tcBorders>
                    <w:top w:val="nil"/>
                    <w:left w:val="nil"/>
                    <w:bottom w:val="nil"/>
                    <w:right w:val="nil"/>
                  </w:tcBorders>
                  <w:shd w:val="clear" w:color="auto" w:fill="auto"/>
                  <w:tcMar>
                    <w:top w:w="15" w:type="dxa"/>
                    <w:left w:w="15" w:type="dxa"/>
                    <w:right w:w="15" w:type="dxa"/>
                  </w:tcMar>
                  <w:vAlign w:val="center"/>
                </w:tcPr>
                <w:p w14:paraId="238F3FC2">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14:paraId="46EC9676">
            <w:pPr>
              <w:pStyle w:val="2"/>
              <w:rPr>
                <w:rFonts w:hint="eastAsia"/>
              </w:rPr>
            </w:pPr>
          </w:p>
        </w:tc>
      </w:tr>
    </w:tbl>
    <w:p w14:paraId="2D2EAADA">
      <w:pPr>
        <w:pStyle w:val="2"/>
        <w:rPr>
          <w:rFonts w:hint="default" w:eastAsia="宋体"/>
          <w:lang w:val="en-US" w:eastAsia="zh-CN"/>
        </w:rPr>
        <w:sectPr>
          <w:pgSz w:w="16783" w:h="11850" w:orient="landscape"/>
          <w:pgMar w:top="1134" w:right="1417" w:bottom="1134" w:left="1417" w:header="851" w:footer="992" w:gutter="0"/>
          <w:cols w:space="0" w:num="1"/>
          <w:docGrid w:type="lines" w:linePitch="312" w:charSpace="0"/>
        </w:sectPr>
      </w:pPr>
    </w:p>
    <w:p w14:paraId="014A13D3">
      <w:pPr>
        <w:rPr>
          <w:rFonts w:hint="eastAsia"/>
        </w:rPr>
      </w:pPr>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C456">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97202">
    <w:pPr>
      <w:pStyle w:val="14"/>
      <w:framePr w:wrap="around" w:vAnchor="text" w:hAnchor="margin" w:xAlign="outside" w:y="1"/>
      <w:rPr>
        <w:rStyle w:val="25"/>
      </w:rPr>
    </w:pPr>
    <w:r>
      <w:fldChar w:fldCharType="begin"/>
    </w:r>
    <w:r>
      <w:rPr>
        <w:rStyle w:val="25"/>
      </w:rPr>
      <w:instrText xml:space="preserve">PAGE  </w:instrText>
    </w:r>
    <w:r>
      <w:fldChar w:fldCharType="end"/>
    </w:r>
  </w:p>
  <w:p w14:paraId="04D18682">
    <w:pPr>
      <w:pStyle w:val="14"/>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3EE1">
    <w:pPr>
      <w:pStyle w:val="14"/>
      <w:jc w:val="center"/>
      <w:rPr>
        <w:rFonts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564F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F4564F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585EF">
    <w:pPr>
      <w:pStyle w:val="14"/>
    </w:pPr>
  </w:p>
  <w:p w14:paraId="09E9397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6A1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ED08">
    <w:pPr>
      <w:pStyle w:val="14"/>
      <w:rPr>
        <w:rFonts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1559">
    <w:pPr>
      <w:pStyle w:val="14"/>
      <w:rPr>
        <w:rFonts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DDCD">
    <w:pPr>
      <w:pStyle w:val="14"/>
      <w:jc w:val="center"/>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0D1C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D0D1C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4FB7">
    <w:pPr>
      <w:pStyle w:val="14"/>
      <w:jc w:val="center"/>
      <w:rPr>
        <w:rFonts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BD596D2">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WmwELLAQAAmAMAAA4AAAAAAAAAAQAgAAAAHgEAAGRycy9lMm9E&#10;b2MueG1sUEsFBgAAAAAGAAYAWQEAAFsFAAAAAA==&#10;">
              <v:fill on="f" focussize="0,0"/>
              <v:stroke on="f"/>
              <v:imagedata o:title=""/>
              <o:lock v:ext="edit" aspectratio="f"/>
              <v:textbox inset="0mm,0mm,0mm,0mm" style="mso-fit-shape-to-text:t;">
                <w:txbxContent>
                  <w:p w14:paraId="0BD596D2">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9944B">
    <w:pPr>
      <w:pStyle w:val="14"/>
      <w:jc w:val="center"/>
      <w:rPr>
        <w:rFonts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EC388">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7EC388">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E29B">
    <w:pPr>
      <w:pStyle w:val="14"/>
      <w:jc w:val="center"/>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9547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FD9547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7B54">
    <w:pPr>
      <w:pStyle w:val="15"/>
      <w:autoSpaceDE w:val="0"/>
      <w:autoSpaceDN w:val="0"/>
      <w:adjustRightInd w:val="0"/>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CD50">
    <w:pPr>
      <w:pStyle w:val="15"/>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2EE9">
    <w:pPr>
      <w:pStyle w:val="15"/>
      <w:pBdr>
        <w:bottom w:val="none" w:color="auto" w:sz="0" w:space="1"/>
      </w:pBdr>
      <w:jc w:val="both"/>
    </w:pPr>
    <w:r>
      <w:rPr>
        <w:rFonts w:hint="eastAsia" w:hAnsi="宋体"/>
      </w:rPr>
      <w:t xml:space="preserve">                             </w:t>
    </w:r>
  </w:p>
  <w:p w14:paraId="73382F54">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976A">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32D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60F4E"/>
    <w:multiLevelType w:val="singleLevel"/>
    <w:tmpl w:val="F4A60F4E"/>
    <w:lvl w:ilvl="0" w:tentative="0">
      <w:start w:val="2"/>
      <w:numFmt w:val="chineseCounting"/>
      <w:suff w:val="nothing"/>
      <w:lvlText w:val="%1、"/>
      <w:lvlJc w:val="left"/>
      <w:rPr>
        <w:rFonts w:hint="eastAsia"/>
      </w:rPr>
    </w:lvl>
  </w:abstractNum>
  <w:abstractNum w:abstractNumId="1">
    <w:nsid w:val="44758E5C"/>
    <w:multiLevelType w:val="singleLevel"/>
    <w:tmpl w:val="44758E5C"/>
    <w:lvl w:ilvl="0" w:tentative="0">
      <w:start w:val="5"/>
      <w:numFmt w:val="chineseCounting"/>
      <w:suff w:val="space"/>
      <w:lvlText w:val="第%1章"/>
      <w:lvlJc w:val="left"/>
      <w:rPr>
        <w:rFonts w:hint="eastAsia"/>
      </w:rPr>
    </w:lvl>
  </w:abstractNum>
  <w:abstractNum w:abstractNumId="2">
    <w:nsid w:val="505256D5"/>
    <w:multiLevelType w:val="singleLevel"/>
    <w:tmpl w:val="505256D5"/>
    <w:lvl w:ilvl="0" w:tentative="0">
      <w:start w:val="8"/>
      <w:numFmt w:val="chineseCounting"/>
      <w:suff w:val="space"/>
      <w:lvlText w:val="第%1章"/>
      <w:lvlJc w:val="left"/>
      <w:rPr>
        <w:rFonts w:hint="eastAsia"/>
      </w:rPr>
    </w:lvl>
  </w:abstractNum>
  <w:abstractNum w:abstractNumId="3">
    <w:nsid w:val="587F0AF4"/>
    <w:multiLevelType w:val="singleLevel"/>
    <w:tmpl w:val="587F0AF4"/>
    <w:lvl w:ilvl="0" w:tentative="0">
      <w:start w:val="8"/>
      <w:numFmt w:val="chineseCounting"/>
      <w:suff w:val="nothing"/>
      <w:lvlText w:val="%1、"/>
      <w:lvlJc w:val="left"/>
    </w:lvl>
  </w:abstractNum>
  <w:abstractNum w:abstractNumId="4">
    <w:nsid w:val="6329159B"/>
    <w:multiLevelType w:val="singleLevel"/>
    <w:tmpl w:val="6329159B"/>
    <w:lvl w:ilvl="0" w:tentative="0">
      <w:start w:val="2"/>
      <w:numFmt w:val="decimal"/>
      <w:suff w:val="space"/>
      <w:lvlText w:val="%1."/>
      <w:lvlJc w:val="left"/>
    </w:lvl>
  </w:abstractNum>
  <w:abstractNum w:abstractNumId="5">
    <w:nsid w:val="72AD47F6"/>
    <w:multiLevelType w:val="singleLevel"/>
    <w:tmpl w:val="72AD47F6"/>
    <w:lvl w:ilvl="0" w:tentative="0">
      <w:start w:val="2"/>
      <w:numFmt w:val="chineseCounting"/>
      <w:suff w:val="nothing"/>
      <w:lvlText w:val="%1、"/>
      <w:lvlJc w:val="left"/>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zlmMjQ1YmUwYWM0NTE3ODlhNjE3YTlkMzAwOWQifQ=="/>
  </w:docVars>
  <w:rsids>
    <w:rsidRoot w:val="00172A27"/>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49E3"/>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2A27"/>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6B7B"/>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091"/>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1CEF"/>
    <w:rsid w:val="005234C2"/>
    <w:rsid w:val="00523933"/>
    <w:rsid w:val="00524715"/>
    <w:rsid w:val="005275DB"/>
    <w:rsid w:val="00534655"/>
    <w:rsid w:val="0053654A"/>
    <w:rsid w:val="005379D8"/>
    <w:rsid w:val="00537DFF"/>
    <w:rsid w:val="00541511"/>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5F70B8"/>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C636D"/>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63C2"/>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727"/>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96E"/>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4FC8"/>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70C"/>
    <w:rsid w:val="00FE5D7D"/>
    <w:rsid w:val="00FF1AE9"/>
    <w:rsid w:val="00FF1DE6"/>
    <w:rsid w:val="00FF44B7"/>
    <w:rsid w:val="00FF4EFD"/>
    <w:rsid w:val="00FF5CD6"/>
    <w:rsid w:val="00FF5E86"/>
    <w:rsid w:val="01040163"/>
    <w:rsid w:val="011A1AF1"/>
    <w:rsid w:val="01582E7D"/>
    <w:rsid w:val="016654B5"/>
    <w:rsid w:val="017B127B"/>
    <w:rsid w:val="01927DCE"/>
    <w:rsid w:val="019E64CE"/>
    <w:rsid w:val="020B3D8C"/>
    <w:rsid w:val="02365949"/>
    <w:rsid w:val="02674C34"/>
    <w:rsid w:val="028828FA"/>
    <w:rsid w:val="02911C34"/>
    <w:rsid w:val="02AF7535"/>
    <w:rsid w:val="02F83230"/>
    <w:rsid w:val="03060F81"/>
    <w:rsid w:val="0324263A"/>
    <w:rsid w:val="034D0993"/>
    <w:rsid w:val="034F6508"/>
    <w:rsid w:val="036A62A3"/>
    <w:rsid w:val="03AA6616"/>
    <w:rsid w:val="03B473C5"/>
    <w:rsid w:val="03C2760C"/>
    <w:rsid w:val="03DA6A40"/>
    <w:rsid w:val="03F47BCE"/>
    <w:rsid w:val="03F67A98"/>
    <w:rsid w:val="04032B23"/>
    <w:rsid w:val="042477AC"/>
    <w:rsid w:val="04284333"/>
    <w:rsid w:val="044622D2"/>
    <w:rsid w:val="047E2476"/>
    <w:rsid w:val="04861BE2"/>
    <w:rsid w:val="04902E6B"/>
    <w:rsid w:val="04AB197F"/>
    <w:rsid w:val="04CD5E27"/>
    <w:rsid w:val="04D94B9F"/>
    <w:rsid w:val="04F217BD"/>
    <w:rsid w:val="05217674"/>
    <w:rsid w:val="052A41BE"/>
    <w:rsid w:val="05324321"/>
    <w:rsid w:val="054114D1"/>
    <w:rsid w:val="05566241"/>
    <w:rsid w:val="055C6DD2"/>
    <w:rsid w:val="05654253"/>
    <w:rsid w:val="0578205D"/>
    <w:rsid w:val="059A745F"/>
    <w:rsid w:val="05DC476E"/>
    <w:rsid w:val="05E04B5C"/>
    <w:rsid w:val="05ED5411"/>
    <w:rsid w:val="061224C0"/>
    <w:rsid w:val="061E55D9"/>
    <w:rsid w:val="06297F98"/>
    <w:rsid w:val="06510766"/>
    <w:rsid w:val="06652887"/>
    <w:rsid w:val="06777943"/>
    <w:rsid w:val="067E2F3A"/>
    <w:rsid w:val="067F145B"/>
    <w:rsid w:val="06986829"/>
    <w:rsid w:val="06C64C99"/>
    <w:rsid w:val="06C80F0D"/>
    <w:rsid w:val="06D712BC"/>
    <w:rsid w:val="06E001E3"/>
    <w:rsid w:val="06EA321B"/>
    <w:rsid w:val="06FF01C2"/>
    <w:rsid w:val="070D78EE"/>
    <w:rsid w:val="070E5065"/>
    <w:rsid w:val="073F4D58"/>
    <w:rsid w:val="07527336"/>
    <w:rsid w:val="075E6CBB"/>
    <w:rsid w:val="07703D3B"/>
    <w:rsid w:val="077E1A2E"/>
    <w:rsid w:val="079C14D6"/>
    <w:rsid w:val="07B84231"/>
    <w:rsid w:val="07CB11D2"/>
    <w:rsid w:val="07CB3872"/>
    <w:rsid w:val="07CF4414"/>
    <w:rsid w:val="07D866D6"/>
    <w:rsid w:val="07E31B92"/>
    <w:rsid w:val="0812234E"/>
    <w:rsid w:val="081A7A8D"/>
    <w:rsid w:val="08251EAA"/>
    <w:rsid w:val="082C269F"/>
    <w:rsid w:val="08331FE7"/>
    <w:rsid w:val="083A404B"/>
    <w:rsid w:val="085D7BF2"/>
    <w:rsid w:val="08670714"/>
    <w:rsid w:val="088F4A14"/>
    <w:rsid w:val="089A2DDA"/>
    <w:rsid w:val="08B31906"/>
    <w:rsid w:val="08C63F1F"/>
    <w:rsid w:val="093108E2"/>
    <w:rsid w:val="093D3223"/>
    <w:rsid w:val="09632F96"/>
    <w:rsid w:val="09827E65"/>
    <w:rsid w:val="09850479"/>
    <w:rsid w:val="0988232B"/>
    <w:rsid w:val="09BD3FDF"/>
    <w:rsid w:val="09C37090"/>
    <w:rsid w:val="09C40C74"/>
    <w:rsid w:val="09C810AB"/>
    <w:rsid w:val="09D940AE"/>
    <w:rsid w:val="0A046EED"/>
    <w:rsid w:val="0A1E227E"/>
    <w:rsid w:val="0A20411F"/>
    <w:rsid w:val="0A212F61"/>
    <w:rsid w:val="0A2600FD"/>
    <w:rsid w:val="0A5636F6"/>
    <w:rsid w:val="0A615BFD"/>
    <w:rsid w:val="0A886720"/>
    <w:rsid w:val="0AA55524"/>
    <w:rsid w:val="0AE068BC"/>
    <w:rsid w:val="0AEC16D2"/>
    <w:rsid w:val="0B12749D"/>
    <w:rsid w:val="0B14213D"/>
    <w:rsid w:val="0B2B77D7"/>
    <w:rsid w:val="0B4120B4"/>
    <w:rsid w:val="0B5E52FB"/>
    <w:rsid w:val="0B626029"/>
    <w:rsid w:val="0B8031F9"/>
    <w:rsid w:val="0BC154F9"/>
    <w:rsid w:val="0BF544FB"/>
    <w:rsid w:val="0C110653"/>
    <w:rsid w:val="0C255B60"/>
    <w:rsid w:val="0C3703FE"/>
    <w:rsid w:val="0C9F4668"/>
    <w:rsid w:val="0CB238DD"/>
    <w:rsid w:val="0CC435E9"/>
    <w:rsid w:val="0CD53F5E"/>
    <w:rsid w:val="0CD639AC"/>
    <w:rsid w:val="0CDD6CA7"/>
    <w:rsid w:val="0D0450C6"/>
    <w:rsid w:val="0D0F029F"/>
    <w:rsid w:val="0D1C0FF4"/>
    <w:rsid w:val="0D214163"/>
    <w:rsid w:val="0D270D1A"/>
    <w:rsid w:val="0D3B782C"/>
    <w:rsid w:val="0D3C5DF1"/>
    <w:rsid w:val="0D68689C"/>
    <w:rsid w:val="0D8644FE"/>
    <w:rsid w:val="0D9231F2"/>
    <w:rsid w:val="0D9870B2"/>
    <w:rsid w:val="0DB90BFE"/>
    <w:rsid w:val="0DCB4633"/>
    <w:rsid w:val="0DD215EC"/>
    <w:rsid w:val="0DDC53E5"/>
    <w:rsid w:val="0DDE389B"/>
    <w:rsid w:val="0E267409"/>
    <w:rsid w:val="0E693BA6"/>
    <w:rsid w:val="0E744560"/>
    <w:rsid w:val="0E7C2AD5"/>
    <w:rsid w:val="0E9B2EC6"/>
    <w:rsid w:val="0EBC032B"/>
    <w:rsid w:val="0EDB6E2A"/>
    <w:rsid w:val="0F021B90"/>
    <w:rsid w:val="0F040DF2"/>
    <w:rsid w:val="0F2C341A"/>
    <w:rsid w:val="0F2E6256"/>
    <w:rsid w:val="0F590713"/>
    <w:rsid w:val="0F606BED"/>
    <w:rsid w:val="0F6C5CAE"/>
    <w:rsid w:val="0F8F1445"/>
    <w:rsid w:val="0FA206BF"/>
    <w:rsid w:val="0FAC7CAB"/>
    <w:rsid w:val="0FB83BD8"/>
    <w:rsid w:val="0FC86066"/>
    <w:rsid w:val="0FE81576"/>
    <w:rsid w:val="0FEC67B7"/>
    <w:rsid w:val="0FF27D57"/>
    <w:rsid w:val="0FFC6117"/>
    <w:rsid w:val="102408FF"/>
    <w:rsid w:val="105A630D"/>
    <w:rsid w:val="10654068"/>
    <w:rsid w:val="10901266"/>
    <w:rsid w:val="109B53FF"/>
    <w:rsid w:val="10A36578"/>
    <w:rsid w:val="10A36F5B"/>
    <w:rsid w:val="10A926CB"/>
    <w:rsid w:val="10B335AB"/>
    <w:rsid w:val="10BC08DF"/>
    <w:rsid w:val="10DA44B0"/>
    <w:rsid w:val="11100D71"/>
    <w:rsid w:val="11155186"/>
    <w:rsid w:val="11623721"/>
    <w:rsid w:val="11982F14"/>
    <w:rsid w:val="11DD30AA"/>
    <w:rsid w:val="11DE1F8F"/>
    <w:rsid w:val="11E35296"/>
    <w:rsid w:val="11F65C49"/>
    <w:rsid w:val="120C1B55"/>
    <w:rsid w:val="121111BD"/>
    <w:rsid w:val="127B2ED6"/>
    <w:rsid w:val="12AC6E81"/>
    <w:rsid w:val="12B47B20"/>
    <w:rsid w:val="12C9273E"/>
    <w:rsid w:val="12DE15D3"/>
    <w:rsid w:val="12F36293"/>
    <w:rsid w:val="12F5116A"/>
    <w:rsid w:val="130465B1"/>
    <w:rsid w:val="130E2B01"/>
    <w:rsid w:val="133D6B21"/>
    <w:rsid w:val="133E774F"/>
    <w:rsid w:val="13571A9F"/>
    <w:rsid w:val="13742176"/>
    <w:rsid w:val="13802B86"/>
    <w:rsid w:val="13877E44"/>
    <w:rsid w:val="139126AB"/>
    <w:rsid w:val="139D53D0"/>
    <w:rsid w:val="13A13A11"/>
    <w:rsid w:val="13A95A68"/>
    <w:rsid w:val="13B42918"/>
    <w:rsid w:val="13BA0E20"/>
    <w:rsid w:val="13BB5B15"/>
    <w:rsid w:val="14147B0F"/>
    <w:rsid w:val="146476C5"/>
    <w:rsid w:val="147871AD"/>
    <w:rsid w:val="1478756C"/>
    <w:rsid w:val="14943255"/>
    <w:rsid w:val="14CD02EA"/>
    <w:rsid w:val="14D23EB2"/>
    <w:rsid w:val="150C26CF"/>
    <w:rsid w:val="151B685C"/>
    <w:rsid w:val="154A7A43"/>
    <w:rsid w:val="15522D76"/>
    <w:rsid w:val="15A46ACF"/>
    <w:rsid w:val="15AE7F14"/>
    <w:rsid w:val="15B97FD3"/>
    <w:rsid w:val="15BF56EC"/>
    <w:rsid w:val="15D31D52"/>
    <w:rsid w:val="15D32E19"/>
    <w:rsid w:val="15F420F5"/>
    <w:rsid w:val="15F66C34"/>
    <w:rsid w:val="15F7670D"/>
    <w:rsid w:val="1630150A"/>
    <w:rsid w:val="163333C9"/>
    <w:rsid w:val="16335E07"/>
    <w:rsid w:val="16522B0E"/>
    <w:rsid w:val="16727C48"/>
    <w:rsid w:val="167E17CA"/>
    <w:rsid w:val="16893F4C"/>
    <w:rsid w:val="169E6E26"/>
    <w:rsid w:val="16B103A7"/>
    <w:rsid w:val="16EB398C"/>
    <w:rsid w:val="1716368C"/>
    <w:rsid w:val="1726179A"/>
    <w:rsid w:val="173A2E01"/>
    <w:rsid w:val="17497F7D"/>
    <w:rsid w:val="178665E1"/>
    <w:rsid w:val="17BD5E6F"/>
    <w:rsid w:val="18003510"/>
    <w:rsid w:val="182362E4"/>
    <w:rsid w:val="185B6551"/>
    <w:rsid w:val="186E4682"/>
    <w:rsid w:val="187118C1"/>
    <w:rsid w:val="18982224"/>
    <w:rsid w:val="18A13715"/>
    <w:rsid w:val="18B247A2"/>
    <w:rsid w:val="18CA5FAB"/>
    <w:rsid w:val="1918163D"/>
    <w:rsid w:val="1931392E"/>
    <w:rsid w:val="19512EE3"/>
    <w:rsid w:val="196F6618"/>
    <w:rsid w:val="197B7862"/>
    <w:rsid w:val="19C4166E"/>
    <w:rsid w:val="19DC65A4"/>
    <w:rsid w:val="19EC770B"/>
    <w:rsid w:val="19F3005A"/>
    <w:rsid w:val="1A242F39"/>
    <w:rsid w:val="1A3F4B89"/>
    <w:rsid w:val="1A44663E"/>
    <w:rsid w:val="1A655485"/>
    <w:rsid w:val="1A6C6F35"/>
    <w:rsid w:val="1A840F7B"/>
    <w:rsid w:val="1AB009EE"/>
    <w:rsid w:val="1AF35A76"/>
    <w:rsid w:val="1AF7383F"/>
    <w:rsid w:val="1B0B795D"/>
    <w:rsid w:val="1B0E23B7"/>
    <w:rsid w:val="1B1B2A76"/>
    <w:rsid w:val="1B755B19"/>
    <w:rsid w:val="1B990131"/>
    <w:rsid w:val="1B9A760A"/>
    <w:rsid w:val="1BAD7EA3"/>
    <w:rsid w:val="1BE678CF"/>
    <w:rsid w:val="1BEB731A"/>
    <w:rsid w:val="1C1918CE"/>
    <w:rsid w:val="1C384BFA"/>
    <w:rsid w:val="1C594FB9"/>
    <w:rsid w:val="1CB33FF4"/>
    <w:rsid w:val="1CBF5484"/>
    <w:rsid w:val="1CE4784B"/>
    <w:rsid w:val="1CE852ED"/>
    <w:rsid w:val="1CFA3D2E"/>
    <w:rsid w:val="1D084161"/>
    <w:rsid w:val="1D2B32BB"/>
    <w:rsid w:val="1D396476"/>
    <w:rsid w:val="1D5F4A6C"/>
    <w:rsid w:val="1D6A3B6D"/>
    <w:rsid w:val="1D8A2A83"/>
    <w:rsid w:val="1DA30650"/>
    <w:rsid w:val="1DAD7BD7"/>
    <w:rsid w:val="1DD306E4"/>
    <w:rsid w:val="1DE560CC"/>
    <w:rsid w:val="1DEC6FBF"/>
    <w:rsid w:val="1DF6491A"/>
    <w:rsid w:val="1DFC71C2"/>
    <w:rsid w:val="1E150618"/>
    <w:rsid w:val="1E195BB5"/>
    <w:rsid w:val="1E204615"/>
    <w:rsid w:val="1E380CBE"/>
    <w:rsid w:val="1E751415"/>
    <w:rsid w:val="1EA174FD"/>
    <w:rsid w:val="1EBC3110"/>
    <w:rsid w:val="1EBD5FA4"/>
    <w:rsid w:val="1EE24276"/>
    <w:rsid w:val="1F036751"/>
    <w:rsid w:val="1F182311"/>
    <w:rsid w:val="1F223DB8"/>
    <w:rsid w:val="1F240CB5"/>
    <w:rsid w:val="1F4B4494"/>
    <w:rsid w:val="1F9C1A98"/>
    <w:rsid w:val="1FA24DBE"/>
    <w:rsid w:val="1FA51DDD"/>
    <w:rsid w:val="1FCB2EDF"/>
    <w:rsid w:val="1FEA15B7"/>
    <w:rsid w:val="1FEE5872"/>
    <w:rsid w:val="200472E3"/>
    <w:rsid w:val="202C29B2"/>
    <w:rsid w:val="20373013"/>
    <w:rsid w:val="205667D2"/>
    <w:rsid w:val="2070626F"/>
    <w:rsid w:val="207C630C"/>
    <w:rsid w:val="209361F3"/>
    <w:rsid w:val="209C291D"/>
    <w:rsid w:val="20B57B08"/>
    <w:rsid w:val="20C579CD"/>
    <w:rsid w:val="20D07079"/>
    <w:rsid w:val="20F55672"/>
    <w:rsid w:val="20F756C9"/>
    <w:rsid w:val="210F4761"/>
    <w:rsid w:val="21686AE6"/>
    <w:rsid w:val="21957AC2"/>
    <w:rsid w:val="21D15BDE"/>
    <w:rsid w:val="21D834E6"/>
    <w:rsid w:val="21E147B8"/>
    <w:rsid w:val="21E70B77"/>
    <w:rsid w:val="22087416"/>
    <w:rsid w:val="223A6918"/>
    <w:rsid w:val="22406153"/>
    <w:rsid w:val="22675748"/>
    <w:rsid w:val="227E3B37"/>
    <w:rsid w:val="229E61FE"/>
    <w:rsid w:val="22B820F0"/>
    <w:rsid w:val="22BB4FAD"/>
    <w:rsid w:val="22C00E62"/>
    <w:rsid w:val="22E440F1"/>
    <w:rsid w:val="22E73C46"/>
    <w:rsid w:val="22EC5646"/>
    <w:rsid w:val="22F447D7"/>
    <w:rsid w:val="23287B54"/>
    <w:rsid w:val="236C584B"/>
    <w:rsid w:val="23806187"/>
    <w:rsid w:val="23807620"/>
    <w:rsid w:val="23C11A88"/>
    <w:rsid w:val="23D639D8"/>
    <w:rsid w:val="23E51EB2"/>
    <w:rsid w:val="23F52C20"/>
    <w:rsid w:val="2406098A"/>
    <w:rsid w:val="24082954"/>
    <w:rsid w:val="247B33E9"/>
    <w:rsid w:val="247D4E92"/>
    <w:rsid w:val="24950967"/>
    <w:rsid w:val="24C12596"/>
    <w:rsid w:val="24D05044"/>
    <w:rsid w:val="25306D27"/>
    <w:rsid w:val="25323CE3"/>
    <w:rsid w:val="254528D3"/>
    <w:rsid w:val="258E0A41"/>
    <w:rsid w:val="25A44FDE"/>
    <w:rsid w:val="25AC47DD"/>
    <w:rsid w:val="25BF3437"/>
    <w:rsid w:val="25CD3E2F"/>
    <w:rsid w:val="25CE154E"/>
    <w:rsid w:val="25CE605F"/>
    <w:rsid w:val="25CF2EE1"/>
    <w:rsid w:val="25D63CC2"/>
    <w:rsid w:val="25D70D7B"/>
    <w:rsid w:val="25DA7FD5"/>
    <w:rsid w:val="25E24B1F"/>
    <w:rsid w:val="261269E3"/>
    <w:rsid w:val="261A79A9"/>
    <w:rsid w:val="26600E23"/>
    <w:rsid w:val="267233A5"/>
    <w:rsid w:val="267920AB"/>
    <w:rsid w:val="26A12F6D"/>
    <w:rsid w:val="26AB4F40"/>
    <w:rsid w:val="26AB5818"/>
    <w:rsid w:val="26CA45F5"/>
    <w:rsid w:val="26D80329"/>
    <w:rsid w:val="26DA294D"/>
    <w:rsid w:val="26ED24D5"/>
    <w:rsid w:val="26FD2518"/>
    <w:rsid w:val="27221828"/>
    <w:rsid w:val="27365AC8"/>
    <w:rsid w:val="27636F05"/>
    <w:rsid w:val="27663AD0"/>
    <w:rsid w:val="27A05292"/>
    <w:rsid w:val="27BA5987"/>
    <w:rsid w:val="27DF3F77"/>
    <w:rsid w:val="27FE2F69"/>
    <w:rsid w:val="282F3CB6"/>
    <w:rsid w:val="287700A8"/>
    <w:rsid w:val="28850779"/>
    <w:rsid w:val="288D33CE"/>
    <w:rsid w:val="28AF0613"/>
    <w:rsid w:val="28B5453D"/>
    <w:rsid w:val="28B65CDE"/>
    <w:rsid w:val="28B9421C"/>
    <w:rsid w:val="28D41056"/>
    <w:rsid w:val="29170DA6"/>
    <w:rsid w:val="292F76D2"/>
    <w:rsid w:val="295919B0"/>
    <w:rsid w:val="295D2210"/>
    <w:rsid w:val="29644F53"/>
    <w:rsid w:val="29692D75"/>
    <w:rsid w:val="29702C91"/>
    <w:rsid w:val="299C4AE6"/>
    <w:rsid w:val="29DE545C"/>
    <w:rsid w:val="29E50799"/>
    <w:rsid w:val="29E9516D"/>
    <w:rsid w:val="29F574D6"/>
    <w:rsid w:val="29F9204E"/>
    <w:rsid w:val="2A150EB7"/>
    <w:rsid w:val="2A21175D"/>
    <w:rsid w:val="2A211790"/>
    <w:rsid w:val="2A3C3B91"/>
    <w:rsid w:val="2A5B3FA5"/>
    <w:rsid w:val="2A640912"/>
    <w:rsid w:val="2A862824"/>
    <w:rsid w:val="2A8C44E4"/>
    <w:rsid w:val="2A9721C8"/>
    <w:rsid w:val="2A9776D0"/>
    <w:rsid w:val="2ACA3059"/>
    <w:rsid w:val="2AE117CA"/>
    <w:rsid w:val="2AE16980"/>
    <w:rsid w:val="2AE412F9"/>
    <w:rsid w:val="2AF07C9E"/>
    <w:rsid w:val="2AF56288"/>
    <w:rsid w:val="2AFE62CA"/>
    <w:rsid w:val="2B213A80"/>
    <w:rsid w:val="2B2E3220"/>
    <w:rsid w:val="2B3207F8"/>
    <w:rsid w:val="2B4006B2"/>
    <w:rsid w:val="2B6743B8"/>
    <w:rsid w:val="2B695B95"/>
    <w:rsid w:val="2BA842E3"/>
    <w:rsid w:val="2BCB0E9C"/>
    <w:rsid w:val="2BCD0144"/>
    <w:rsid w:val="2BE14E17"/>
    <w:rsid w:val="2BEE242F"/>
    <w:rsid w:val="2C093826"/>
    <w:rsid w:val="2C0A2007"/>
    <w:rsid w:val="2C8E1E21"/>
    <w:rsid w:val="2CB82A3D"/>
    <w:rsid w:val="2CB959B8"/>
    <w:rsid w:val="2CBE068F"/>
    <w:rsid w:val="2CD51841"/>
    <w:rsid w:val="2CE33F5E"/>
    <w:rsid w:val="2D091AF9"/>
    <w:rsid w:val="2D3252A7"/>
    <w:rsid w:val="2D3B5B48"/>
    <w:rsid w:val="2D5D7582"/>
    <w:rsid w:val="2D857B89"/>
    <w:rsid w:val="2DE773EA"/>
    <w:rsid w:val="2DF86893"/>
    <w:rsid w:val="2DFE75F8"/>
    <w:rsid w:val="2E12029D"/>
    <w:rsid w:val="2E3963CF"/>
    <w:rsid w:val="2E4B02EB"/>
    <w:rsid w:val="2E7330BF"/>
    <w:rsid w:val="2EAE20E8"/>
    <w:rsid w:val="2EC1207D"/>
    <w:rsid w:val="2EDA7E2D"/>
    <w:rsid w:val="2EF40EB2"/>
    <w:rsid w:val="2F296911"/>
    <w:rsid w:val="2F331057"/>
    <w:rsid w:val="2F566082"/>
    <w:rsid w:val="2F594738"/>
    <w:rsid w:val="2F7278D7"/>
    <w:rsid w:val="2F8F7986"/>
    <w:rsid w:val="2F916272"/>
    <w:rsid w:val="2FB6444E"/>
    <w:rsid w:val="30292755"/>
    <w:rsid w:val="303845C1"/>
    <w:rsid w:val="3051141F"/>
    <w:rsid w:val="30703D5A"/>
    <w:rsid w:val="30795484"/>
    <w:rsid w:val="307A456B"/>
    <w:rsid w:val="30C508DF"/>
    <w:rsid w:val="30E175C9"/>
    <w:rsid w:val="30ED47F3"/>
    <w:rsid w:val="30FF7C48"/>
    <w:rsid w:val="312111BB"/>
    <w:rsid w:val="31280191"/>
    <w:rsid w:val="313C06C8"/>
    <w:rsid w:val="3159659F"/>
    <w:rsid w:val="31614825"/>
    <w:rsid w:val="31682E89"/>
    <w:rsid w:val="316C3FFC"/>
    <w:rsid w:val="31E57813"/>
    <w:rsid w:val="31F2254D"/>
    <w:rsid w:val="31FC6503"/>
    <w:rsid w:val="3202512F"/>
    <w:rsid w:val="32235104"/>
    <w:rsid w:val="322F5355"/>
    <w:rsid w:val="323209B1"/>
    <w:rsid w:val="325925CC"/>
    <w:rsid w:val="32592711"/>
    <w:rsid w:val="326805FC"/>
    <w:rsid w:val="326911DF"/>
    <w:rsid w:val="327B7592"/>
    <w:rsid w:val="32807B1F"/>
    <w:rsid w:val="32880B4E"/>
    <w:rsid w:val="32885959"/>
    <w:rsid w:val="32985D27"/>
    <w:rsid w:val="32990C1B"/>
    <w:rsid w:val="329A57F3"/>
    <w:rsid w:val="32A008DE"/>
    <w:rsid w:val="32A45F7B"/>
    <w:rsid w:val="32AB3A32"/>
    <w:rsid w:val="32BA306B"/>
    <w:rsid w:val="32CE3036"/>
    <w:rsid w:val="32DD6809"/>
    <w:rsid w:val="330A1BE7"/>
    <w:rsid w:val="3327665F"/>
    <w:rsid w:val="33427590"/>
    <w:rsid w:val="3356000C"/>
    <w:rsid w:val="336E2E5B"/>
    <w:rsid w:val="336F464A"/>
    <w:rsid w:val="33795E56"/>
    <w:rsid w:val="338B5271"/>
    <w:rsid w:val="339A2E9C"/>
    <w:rsid w:val="33CA6F88"/>
    <w:rsid w:val="33ED44F7"/>
    <w:rsid w:val="33F46A50"/>
    <w:rsid w:val="340776EB"/>
    <w:rsid w:val="341E3ACD"/>
    <w:rsid w:val="3437354F"/>
    <w:rsid w:val="343D5A71"/>
    <w:rsid w:val="344165C4"/>
    <w:rsid w:val="344A3197"/>
    <w:rsid w:val="346B0F5D"/>
    <w:rsid w:val="348E47AF"/>
    <w:rsid w:val="34B90F13"/>
    <w:rsid w:val="34BD5A53"/>
    <w:rsid w:val="34C81663"/>
    <w:rsid w:val="34E2392C"/>
    <w:rsid w:val="34F922E1"/>
    <w:rsid w:val="3502519D"/>
    <w:rsid w:val="35127E1B"/>
    <w:rsid w:val="35262C3A"/>
    <w:rsid w:val="35321D3C"/>
    <w:rsid w:val="353F5AA9"/>
    <w:rsid w:val="35656D09"/>
    <w:rsid w:val="357019F2"/>
    <w:rsid w:val="35900303"/>
    <w:rsid w:val="35906305"/>
    <w:rsid w:val="359D4BD7"/>
    <w:rsid w:val="35CA237F"/>
    <w:rsid w:val="35DC0CA5"/>
    <w:rsid w:val="35DF02A4"/>
    <w:rsid w:val="36105698"/>
    <w:rsid w:val="36186CE2"/>
    <w:rsid w:val="36220482"/>
    <w:rsid w:val="36347A42"/>
    <w:rsid w:val="3641176B"/>
    <w:rsid w:val="36757602"/>
    <w:rsid w:val="36C86448"/>
    <w:rsid w:val="36D20F4A"/>
    <w:rsid w:val="36D954F7"/>
    <w:rsid w:val="36E3574A"/>
    <w:rsid w:val="36F628E4"/>
    <w:rsid w:val="36F63A8F"/>
    <w:rsid w:val="3709265E"/>
    <w:rsid w:val="37377D62"/>
    <w:rsid w:val="37533253"/>
    <w:rsid w:val="37590C5A"/>
    <w:rsid w:val="37613DD8"/>
    <w:rsid w:val="37621F23"/>
    <w:rsid w:val="378325C5"/>
    <w:rsid w:val="378960C9"/>
    <w:rsid w:val="37A30775"/>
    <w:rsid w:val="37E20A77"/>
    <w:rsid w:val="37E45103"/>
    <w:rsid w:val="380C41F1"/>
    <w:rsid w:val="381C1040"/>
    <w:rsid w:val="38204EC4"/>
    <w:rsid w:val="38493AFD"/>
    <w:rsid w:val="385976B4"/>
    <w:rsid w:val="38751C49"/>
    <w:rsid w:val="387B4B56"/>
    <w:rsid w:val="38A45DC1"/>
    <w:rsid w:val="38F64E8A"/>
    <w:rsid w:val="390D0E71"/>
    <w:rsid w:val="391165E9"/>
    <w:rsid w:val="394B61E7"/>
    <w:rsid w:val="39867B07"/>
    <w:rsid w:val="39A13C4E"/>
    <w:rsid w:val="39AC16CA"/>
    <w:rsid w:val="39BF6E78"/>
    <w:rsid w:val="39D35FA4"/>
    <w:rsid w:val="39D54B2A"/>
    <w:rsid w:val="39FE38C4"/>
    <w:rsid w:val="3A091D0F"/>
    <w:rsid w:val="3A0D3BDC"/>
    <w:rsid w:val="3A121583"/>
    <w:rsid w:val="3A18736B"/>
    <w:rsid w:val="3A1A6BDA"/>
    <w:rsid w:val="3A226568"/>
    <w:rsid w:val="3A26548A"/>
    <w:rsid w:val="3A2E25FD"/>
    <w:rsid w:val="3A7C6D13"/>
    <w:rsid w:val="3A8C59E9"/>
    <w:rsid w:val="3AC0182B"/>
    <w:rsid w:val="3AD51FB5"/>
    <w:rsid w:val="3AE43C16"/>
    <w:rsid w:val="3AF75524"/>
    <w:rsid w:val="3B014253"/>
    <w:rsid w:val="3B577004"/>
    <w:rsid w:val="3B5B235C"/>
    <w:rsid w:val="3B9B4A38"/>
    <w:rsid w:val="3BA95475"/>
    <w:rsid w:val="3BB62253"/>
    <w:rsid w:val="3BED7F57"/>
    <w:rsid w:val="3C0733D7"/>
    <w:rsid w:val="3C194013"/>
    <w:rsid w:val="3C3E3974"/>
    <w:rsid w:val="3C6605B0"/>
    <w:rsid w:val="3C6D5B52"/>
    <w:rsid w:val="3C7439CD"/>
    <w:rsid w:val="3C8454DA"/>
    <w:rsid w:val="3C900312"/>
    <w:rsid w:val="3C942C43"/>
    <w:rsid w:val="3CCA24BF"/>
    <w:rsid w:val="3CE60F00"/>
    <w:rsid w:val="3CED3826"/>
    <w:rsid w:val="3CED77C9"/>
    <w:rsid w:val="3D2F4EA9"/>
    <w:rsid w:val="3D566EF1"/>
    <w:rsid w:val="3D5E07E6"/>
    <w:rsid w:val="3D662524"/>
    <w:rsid w:val="3D6E33D0"/>
    <w:rsid w:val="3D7F1F24"/>
    <w:rsid w:val="3D915310"/>
    <w:rsid w:val="3D941A13"/>
    <w:rsid w:val="3DB159B2"/>
    <w:rsid w:val="3DBF2F24"/>
    <w:rsid w:val="3DCD1D3F"/>
    <w:rsid w:val="3DDA2813"/>
    <w:rsid w:val="3DE10C01"/>
    <w:rsid w:val="3DE30EEF"/>
    <w:rsid w:val="3DE92F94"/>
    <w:rsid w:val="3DED4BD4"/>
    <w:rsid w:val="3DFA5509"/>
    <w:rsid w:val="3E303B2A"/>
    <w:rsid w:val="3E46520D"/>
    <w:rsid w:val="3E4C3454"/>
    <w:rsid w:val="3E5527E2"/>
    <w:rsid w:val="3E5F540E"/>
    <w:rsid w:val="3E801F8A"/>
    <w:rsid w:val="3E8941D0"/>
    <w:rsid w:val="3E895FE7"/>
    <w:rsid w:val="3E930B23"/>
    <w:rsid w:val="3EB43064"/>
    <w:rsid w:val="3EB9263F"/>
    <w:rsid w:val="3EC940B0"/>
    <w:rsid w:val="3EFC1DEF"/>
    <w:rsid w:val="3F113992"/>
    <w:rsid w:val="3F1735F3"/>
    <w:rsid w:val="3F232B89"/>
    <w:rsid w:val="3F285CC6"/>
    <w:rsid w:val="3F325F1A"/>
    <w:rsid w:val="3F3F252B"/>
    <w:rsid w:val="3F3F477A"/>
    <w:rsid w:val="3F7B76A8"/>
    <w:rsid w:val="3F8847BB"/>
    <w:rsid w:val="3FA74DE6"/>
    <w:rsid w:val="3FBB7DC2"/>
    <w:rsid w:val="3FCD5662"/>
    <w:rsid w:val="3FD31F17"/>
    <w:rsid w:val="3FF11902"/>
    <w:rsid w:val="3FF676AC"/>
    <w:rsid w:val="3FFB66EF"/>
    <w:rsid w:val="40155D85"/>
    <w:rsid w:val="401E17E1"/>
    <w:rsid w:val="402B4FBF"/>
    <w:rsid w:val="40441DBC"/>
    <w:rsid w:val="40526781"/>
    <w:rsid w:val="40706263"/>
    <w:rsid w:val="40834447"/>
    <w:rsid w:val="409F26AA"/>
    <w:rsid w:val="40A96E72"/>
    <w:rsid w:val="40B14878"/>
    <w:rsid w:val="40BC2E9A"/>
    <w:rsid w:val="40BE01CA"/>
    <w:rsid w:val="40C31C84"/>
    <w:rsid w:val="40C94DC1"/>
    <w:rsid w:val="40D65E03"/>
    <w:rsid w:val="40E20991"/>
    <w:rsid w:val="40EB7350"/>
    <w:rsid w:val="415B010F"/>
    <w:rsid w:val="416B198D"/>
    <w:rsid w:val="4184094C"/>
    <w:rsid w:val="41EE3CB4"/>
    <w:rsid w:val="420E10EA"/>
    <w:rsid w:val="42212403"/>
    <w:rsid w:val="423A7EDD"/>
    <w:rsid w:val="4241501E"/>
    <w:rsid w:val="424159A7"/>
    <w:rsid w:val="42D20E80"/>
    <w:rsid w:val="42EA1F28"/>
    <w:rsid w:val="42FE3746"/>
    <w:rsid w:val="430B3AD5"/>
    <w:rsid w:val="4333459F"/>
    <w:rsid w:val="43452E25"/>
    <w:rsid w:val="43511085"/>
    <w:rsid w:val="43853221"/>
    <w:rsid w:val="43923BC9"/>
    <w:rsid w:val="43AD4526"/>
    <w:rsid w:val="43D0401E"/>
    <w:rsid w:val="43D26872"/>
    <w:rsid w:val="43DA7EC0"/>
    <w:rsid w:val="444415CE"/>
    <w:rsid w:val="444C5967"/>
    <w:rsid w:val="4456581B"/>
    <w:rsid w:val="44720B5F"/>
    <w:rsid w:val="448214F5"/>
    <w:rsid w:val="44907BD9"/>
    <w:rsid w:val="44A913D8"/>
    <w:rsid w:val="44B53849"/>
    <w:rsid w:val="44DF1057"/>
    <w:rsid w:val="44E51300"/>
    <w:rsid w:val="45070D49"/>
    <w:rsid w:val="45071FD1"/>
    <w:rsid w:val="45341D02"/>
    <w:rsid w:val="45497F4B"/>
    <w:rsid w:val="456C79D7"/>
    <w:rsid w:val="45961901"/>
    <w:rsid w:val="45FA362B"/>
    <w:rsid w:val="46271F0E"/>
    <w:rsid w:val="463663F0"/>
    <w:rsid w:val="466F014B"/>
    <w:rsid w:val="469613F1"/>
    <w:rsid w:val="46E81B5C"/>
    <w:rsid w:val="46EC470E"/>
    <w:rsid w:val="46F54178"/>
    <w:rsid w:val="46F574F5"/>
    <w:rsid w:val="47092D9D"/>
    <w:rsid w:val="470F64A2"/>
    <w:rsid w:val="472435F0"/>
    <w:rsid w:val="475B2B47"/>
    <w:rsid w:val="47646808"/>
    <w:rsid w:val="476B4E24"/>
    <w:rsid w:val="4785255A"/>
    <w:rsid w:val="47990C86"/>
    <w:rsid w:val="47A95C60"/>
    <w:rsid w:val="47B42E99"/>
    <w:rsid w:val="47CC2E96"/>
    <w:rsid w:val="47CE2617"/>
    <w:rsid w:val="47D72BA2"/>
    <w:rsid w:val="47D82B1B"/>
    <w:rsid w:val="47E83E6C"/>
    <w:rsid w:val="47F95232"/>
    <w:rsid w:val="481C5BE4"/>
    <w:rsid w:val="481E240D"/>
    <w:rsid w:val="48477BA9"/>
    <w:rsid w:val="484E7296"/>
    <w:rsid w:val="4886400E"/>
    <w:rsid w:val="488B7A3F"/>
    <w:rsid w:val="488E7488"/>
    <w:rsid w:val="48A728ED"/>
    <w:rsid w:val="48C31B36"/>
    <w:rsid w:val="48E87AD7"/>
    <w:rsid w:val="48ED691E"/>
    <w:rsid w:val="48F55228"/>
    <w:rsid w:val="49366843"/>
    <w:rsid w:val="4937672B"/>
    <w:rsid w:val="495621A3"/>
    <w:rsid w:val="497460C2"/>
    <w:rsid w:val="49A966C4"/>
    <w:rsid w:val="49C1752E"/>
    <w:rsid w:val="49E020AD"/>
    <w:rsid w:val="49EA46ED"/>
    <w:rsid w:val="49FC225B"/>
    <w:rsid w:val="4A174F08"/>
    <w:rsid w:val="4A2C3F4F"/>
    <w:rsid w:val="4A3D38EF"/>
    <w:rsid w:val="4A5C0020"/>
    <w:rsid w:val="4A664DEE"/>
    <w:rsid w:val="4AC0121C"/>
    <w:rsid w:val="4ACE53E1"/>
    <w:rsid w:val="4ACF30EC"/>
    <w:rsid w:val="4AEB4C59"/>
    <w:rsid w:val="4AFE27DA"/>
    <w:rsid w:val="4B1508A7"/>
    <w:rsid w:val="4B4A6BB3"/>
    <w:rsid w:val="4B782A14"/>
    <w:rsid w:val="4B7B5575"/>
    <w:rsid w:val="4BC677FC"/>
    <w:rsid w:val="4BD209DD"/>
    <w:rsid w:val="4BD87DD8"/>
    <w:rsid w:val="4BE86A43"/>
    <w:rsid w:val="4BE97CC8"/>
    <w:rsid w:val="4BED5E07"/>
    <w:rsid w:val="4BFF796A"/>
    <w:rsid w:val="4C0E33CD"/>
    <w:rsid w:val="4C164719"/>
    <w:rsid w:val="4C2947B9"/>
    <w:rsid w:val="4C316325"/>
    <w:rsid w:val="4C356461"/>
    <w:rsid w:val="4C44714A"/>
    <w:rsid w:val="4C7D1539"/>
    <w:rsid w:val="4C9223A0"/>
    <w:rsid w:val="4CAA5DF2"/>
    <w:rsid w:val="4CC169B7"/>
    <w:rsid w:val="4CEA2347"/>
    <w:rsid w:val="4CFD207A"/>
    <w:rsid w:val="4D136705"/>
    <w:rsid w:val="4D2A5EAC"/>
    <w:rsid w:val="4D2B69E7"/>
    <w:rsid w:val="4D3E2A91"/>
    <w:rsid w:val="4D5F04FB"/>
    <w:rsid w:val="4D5F55A0"/>
    <w:rsid w:val="4D6B3F09"/>
    <w:rsid w:val="4D742968"/>
    <w:rsid w:val="4DC07D85"/>
    <w:rsid w:val="4DC958EE"/>
    <w:rsid w:val="4DD0784F"/>
    <w:rsid w:val="4DD15013"/>
    <w:rsid w:val="4DD62E68"/>
    <w:rsid w:val="4DDD7434"/>
    <w:rsid w:val="4DE176DE"/>
    <w:rsid w:val="4DE86676"/>
    <w:rsid w:val="4DEA5D34"/>
    <w:rsid w:val="4E073446"/>
    <w:rsid w:val="4E0E0303"/>
    <w:rsid w:val="4E0F7EB4"/>
    <w:rsid w:val="4E134C47"/>
    <w:rsid w:val="4E1E6414"/>
    <w:rsid w:val="4E254905"/>
    <w:rsid w:val="4E266AAF"/>
    <w:rsid w:val="4E295054"/>
    <w:rsid w:val="4E385160"/>
    <w:rsid w:val="4E984750"/>
    <w:rsid w:val="4E9C3B15"/>
    <w:rsid w:val="4ECD2C97"/>
    <w:rsid w:val="4F182706"/>
    <w:rsid w:val="4F254C0E"/>
    <w:rsid w:val="4F376E96"/>
    <w:rsid w:val="4F442AA6"/>
    <w:rsid w:val="4F743ADA"/>
    <w:rsid w:val="4F8A138B"/>
    <w:rsid w:val="4F9075C4"/>
    <w:rsid w:val="4F9C5C65"/>
    <w:rsid w:val="4FB235F0"/>
    <w:rsid w:val="4FD92F25"/>
    <w:rsid w:val="4FE319FB"/>
    <w:rsid w:val="50055E16"/>
    <w:rsid w:val="500C40FB"/>
    <w:rsid w:val="506D5769"/>
    <w:rsid w:val="50992DF3"/>
    <w:rsid w:val="50D2707A"/>
    <w:rsid w:val="510328B5"/>
    <w:rsid w:val="5117211F"/>
    <w:rsid w:val="512F5B9A"/>
    <w:rsid w:val="51453FF0"/>
    <w:rsid w:val="51580440"/>
    <w:rsid w:val="5164032A"/>
    <w:rsid w:val="51694981"/>
    <w:rsid w:val="5182109D"/>
    <w:rsid w:val="51AB5729"/>
    <w:rsid w:val="51B72017"/>
    <w:rsid w:val="51C52E38"/>
    <w:rsid w:val="51CD28E1"/>
    <w:rsid w:val="51D15FA2"/>
    <w:rsid w:val="51E365F1"/>
    <w:rsid w:val="52214A11"/>
    <w:rsid w:val="522A4F80"/>
    <w:rsid w:val="52452828"/>
    <w:rsid w:val="52574E91"/>
    <w:rsid w:val="525D6892"/>
    <w:rsid w:val="526A4A7A"/>
    <w:rsid w:val="526C5384"/>
    <w:rsid w:val="52740C89"/>
    <w:rsid w:val="528862D1"/>
    <w:rsid w:val="52901276"/>
    <w:rsid w:val="52953269"/>
    <w:rsid w:val="52A170B7"/>
    <w:rsid w:val="52A77DA1"/>
    <w:rsid w:val="53395334"/>
    <w:rsid w:val="534231A6"/>
    <w:rsid w:val="53490E74"/>
    <w:rsid w:val="53881311"/>
    <w:rsid w:val="538A03E0"/>
    <w:rsid w:val="539C4E4C"/>
    <w:rsid w:val="53BD49F5"/>
    <w:rsid w:val="53C07CF7"/>
    <w:rsid w:val="53C57444"/>
    <w:rsid w:val="53D247C4"/>
    <w:rsid w:val="54004A43"/>
    <w:rsid w:val="546B7846"/>
    <w:rsid w:val="54832F6F"/>
    <w:rsid w:val="54BE47A2"/>
    <w:rsid w:val="54C33844"/>
    <w:rsid w:val="550A5A2C"/>
    <w:rsid w:val="553D0C14"/>
    <w:rsid w:val="55506CDC"/>
    <w:rsid w:val="55582170"/>
    <w:rsid w:val="55B275D8"/>
    <w:rsid w:val="55BC2498"/>
    <w:rsid w:val="55C132BA"/>
    <w:rsid w:val="55C151DC"/>
    <w:rsid w:val="55C60543"/>
    <w:rsid w:val="55D83373"/>
    <w:rsid w:val="55FA5752"/>
    <w:rsid w:val="5613436F"/>
    <w:rsid w:val="5623059E"/>
    <w:rsid w:val="562D3306"/>
    <w:rsid w:val="564A3CA1"/>
    <w:rsid w:val="56512F4F"/>
    <w:rsid w:val="56696C87"/>
    <w:rsid w:val="56823D31"/>
    <w:rsid w:val="56972C5B"/>
    <w:rsid w:val="569928D5"/>
    <w:rsid w:val="56CB5785"/>
    <w:rsid w:val="56E62C59"/>
    <w:rsid w:val="56FA716F"/>
    <w:rsid w:val="57007337"/>
    <w:rsid w:val="57392849"/>
    <w:rsid w:val="57A5754C"/>
    <w:rsid w:val="57EE6263"/>
    <w:rsid w:val="58037447"/>
    <w:rsid w:val="580F601F"/>
    <w:rsid w:val="581562F3"/>
    <w:rsid w:val="583E0119"/>
    <w:rsid w:val="584A3B76"/>
    <w:rsid w:val="585E232B"/>
    <w:rsid w:val="58726012"/>
    <w:rsid w:val="58750C94"/>
    <w:rsid w:val="588C6486"/>
    <w:rsid w:val="58917198"/>
    <w:rsid w:val="58952F0A"/>
    <w:rsid w:val="58A35E18"/>
    <w:rsid w:val="58A9385C"/>
    <w:rsid w:val="58B927B6"/>
    <w:rsid w:val="58BA76C0"/>
    <w:rsid w:val="58C16D0D"/>
    <w:rsid w:val="58C3675C"/>
    <w:rsid w:val="58FA7F49"/>
    <w:rsid w:val="590B66AD"/>
    <w:rsid w:val="59253085"/>
    <w:rsid w:val="59483E0B"/>
    <w:rsid w:val="595B0854"/>
    <w:rsid w:val="59814033"/>
    <w:rsid w:val="598708D6"/>
    <w:rsid w:val="59992E81"/>
    <w:rsid w:val="59AE6F18"/>
    <w:rsid w:val="59B825A1"/>
    <w:rsid w:val="59BC2F41"/>
    <w:rsid w:val="59F0318B"/>
    <w:rsid w:val="5A0C4909"/>
    <w:rsid w:val="5A19373C"/>
    <w:rsid w:val="5A1B0463"/>
    <w:rsid w:val="5A3014AB"/>
    <w:rsid w:val="5A317807"/>
    <w:rsid w:val="5A9009D2"/>
    <w:rsid w:val="5A924FBC"/>
    <w:rsid w:val="5AAD186E"/>
    <w:rsid w:val="5AC249B7"/>
    <w:rsid w:val="5AC65DB5"/>
    <w:rsid w:val="5ADB64F9"/>
    <w:rsid w:val="5B07023D"/>
    <w:rsid w:val="5B12571D"/>
    <w:rsid w:val="5B243315"/>
    <w:rsid w:val="5B3E2D68"/>
    <w:rsid w:val="5B4903C3"/>
    <w:rsid w:val="5B4B62A5"/>
    <w:rsid w:val="5B521467"/>
    <w:rsid w:val="5BA16930"/>
    <w:rsid w:val="5BA72948"/>
    <w:rsid w:val="5BA8229B"/>
    <w:rsid w:val="5BEE6D28"/>
    <w:rsid w:val="5BF324C0"/>
    <w:rsid w:val="5BF93E7B"/>
    <w:rsid w:val="5C073F71"/>
    <w:rsid w:val="5C0D17F2"/>
    <w:rsid w:val="5C4440C3"/>
    <w:rsid w:val="5C6E4B82"/>
    <w:rsid w:val="5C8E652F"/>
    <w:rsid w:val="5C982684"/>
    <w:rsid w:val="5C9B401D"/>
    <w:rsid w:val="5CB532E3"/>
    <w:rsid w:val="5CB6626D"/>
    <w:rsid w:val="5CC16A59"/>
    <w:rsid w:val="5CC9520F"/>
    <w:rsid w:val="5CD77519"/>
    <w:rsid w:val="5CDC7C14"/>
    <w:rsid w:val="5CE73B56"/>
    <w:rsid w:val="5CEF1559"/>
    <w:rsid w:val="5CF40796"/>
    <w:rsid w:val="5D015424"/>
    <w:rsid w:val="5D0B5EC1"/>
    <w:rsid w:val="5D1B487F"/>
    <w:rsid w:val="5D1C3B99"/>
    <w:rsid w:val="5D27257C"/>
    <w:rsid w:val="5D5D3471"/>
    <w:rsid w:val="5DCD5A99"/>
    <w:rsid w:val="5DD5324F"/>
    <w:rsid w:val="5DD73114"/>
    <w:rsid w:val="5DEB57AC"/>
    <w:rsid w:val="5DEE5913"/>
    <w:rsid w:val="5DFA2945"/>
    <w:rsid w:val="5E0B3B80"/>
    <w:rsid w:val="5E281CFC"/>
    <w:rsid w:val="5E3864FB"/>
    <w:rsid w:val="5E5E2B95"/>
    <w:rsid w:val="5E601FEA"/>
    <w:rsid w:val="5E644072"/>
    <w:rsid w:val="5E6957C1"/>
    <w:rsid w:val="5EB84E29"/>
    <w:rsid w:val="5EE13589"/>
    <w:rsid w:val="5EF274CA"/>
    <w:rsid w:val="5F081069"/>
    <w:rsid w:val="5F1B320A"/>
    <w:rsid w:val="5F2B0BA3"/>
    <w:rsid w:val="5F570034"/>
    <w:rsid w:val="5F754D80"/>
    <w:rsid w:val="5F767A35"/>
    <w:rsid w:val="5F790E25"/>
    <w:rsid w:val="5F7E1336"/>
    <w:rsid w:val="5F917AF1"/>
    <w:rsid w:val="5F9672CD"/>
    <w:rsid w:val="5FA261C4"/>
    <w:rsid w:val="5FA32044"/>
    <w:rsid w:val="5FDB126D"/>
    <w:rsid w:val="5FDE5256"/>
    <w:rsid w:val="600C3CC6"/>
    <w:rsid w:val="601024A8"/>
    <w:rsid w:val="60156A9C"/>
    <w:rsid w:val="603E0144"/>
    <w:rsid w:val="60553866"/>
    <w:rsid w:val="605F3B3C"/>
    <w:rsid w:val="606D52CC"/>
    <w:rsid w:val="60ED3710"/>
    <w:rsid w:val="60F53018"/>
    <w:rsid w:val="61107FCA"/>
    <w:rsid w:val="61235F4C"/>
    <w:rsid w:val="61365F6C"/>
    <w:rsid w:val="61571BE8"/>
    <w:rsid w:val="617A0B0D"/>
    <w:rsid w:val="61C94688"/>
    <w:rsid w:val="61D670CB"/>
    <w:rsid w:val="61F71E67"/>
    <w:rsid w:val="62186D32"/>
    <w:rsid w:val="622D6064"/>
    <w:rsid w:val="62325A9F"/>
    <w:rsid w:val="62486EAF"/>
    <w:rsid w:val="62605801"/>
    <w:rsid w:val="627775AB"/>
    <w:rsid w:val="6283091C"/>
    <w:rsid w:val="62910B40"/>
    <w:rsid w:val="62C27C70"/>
    <w:rsid w:val="63672634"/>
    <w:rsid w:val="63A75D22"/>
    <w:rsid w:val="63AC385E"/>
    <w:rsid w:val="63E46EE4"/>
    <w:rsid w:val="63F64504"/>
    <w:rsid w:val="63F8415A"/>
    <w:rsid w:val="642871A8"/>
    <w:rsid w:val="64361B28"/>
    <w:rsid w:val="643F0D73"/>
    <w:rsid w:val="64475E7D"/>
    <w:rsid w:val="64847DB9"/>
    <w:rsid w:val="648D5402"/>
    <w:rsid w:val="64946436"/>
    <w:rsid w:val="64BB2AEF"/>
    <w:rsid w:val="64C262DC"/>
    <w:rsid w:val="64E12C52"/>
    <w:rsid w:val="64E738E4"/>
    <w:rsid w:val="64F651D6"/>
    <w:rsid w:val="64FB161F"/>
    <w:rsid w:val="65387DEE"/>
    <w:rsid w:val="655E15E5"/>
    <w:rsid w:val="657A0699"/>
    <w:rsid w:val="657E0B4A"/>
    <w:rsid w:val="65987D38"/>
    <w:rsid w:val="65A519B5"/>
    <w:rsid w:val="65AC6D08"/>
    <w:rsid w:val="65C11259"/>
    <w:rsid w:val="65F4539C"/>
    <w:rsid w:val="65F96134"/>
    <w:rsid w:val="660B7970"/>
    <w:rsid w:val="6662245D"/>
    <w:rsid w:val="668C1F8D"/>
    <w:rsid w:val="668D21DB"/>
    <w:rsid w:val="66AF42C1"/>
    <w:rsid w:val="66C0263F"/>
    <w:rsid w:val="66F023F0"/>
    <w:rsid w:val="66F6404F"/>
    <w:rsid w:val="66F82E1E"/>
    <w:rsid w:val="6715798C"/>
    <w:rsid w:val="672711DA"/>
    <w:rsid w:val="672A066D"/>
    <w:rsid w:val="67327AAC"/>
    <w:rsid w:val="675B1678"/>
    <w:rsid w:val="676A2050"/>
    <w:rsid w:val="676E335E"/>
    <w:rsid w:val="67792FA3"/>
    <w:rsid w:val="67823747"/>
    <w:rsid w:val="6784683D"/>
    <w:rsid w:val="67B44B48"/>
    <w:rsid w:val="68071BA7"/>
    <w:rsid w:val="68404616"/>
    <w:rsid w:val="68466770"/>
    <w:rsid w:val="6874548F"/>
    <w:rsid w:val="687A2C84"/>
    <w:rsid w:val="687E455F"/>
    <w:rsid w:val="68816747"/>
    <w:rsid w:val="68B272C0"/>
    <w:rsid w:val="68C76C7C"/>
    <w:rsid w:val="68CC2497"/>
    <w:rsid w:val="68EA7C59"/>
    <w:rsid w:val="68F625BB"/>
    <w:rsid w:val="69073057"/>
    <w:rsid w:val="690A713B"/>
    <w:rsid w:val="6935606D"/>
    <w:rsid w:val="69447CCB"/>
    <w:rsid w:val="696804A5"/>
    <w:rsid w:val="6981643B"/>
    <w:rsid w:val="69C73183"/>
    <w:rsid w:val="69D5188A"/>
    <w:rsid w:val="69E30063"/>
    <w:rsid w:val="69E77FC7"/>
    <w:rsid w:val="69F20C9E"/>
    <w:rsid w:val="69F66377"/>
    <w:rsid w:val="6A2354B9"/>
    <w:rsid w:val="6A2839E6"/>
    <w:rsid w:val="6A4550D9"/>
    <w:rsid w:val="6A5643A5"/>
    <w:rsid w:val="6A6C0BA4"/>
    <w:rsid w:val="6AA17D6E"/>
    <w:rsid w:val="6AA61450"/>
    <w:rsid w:val="6AC1107E"/>
    <w:rsid w:val="6B145D83"/>
    <w:rsid w:val="6B19361A"/>
    <w:rsid w:val="6B1A3942"/>
    <w:rsid w:val="6B210F40"/>
    <w:rsid w:val="6B2133C1"/>
    <w:rsid w:val="6B387832"/>
    <w:rsid w:val="6B6A2B79"/>
    <w:rsid w:val="6B7312D6"/>
    <w:rsid w:val="6B985827"/>
    <w:rsid w:val="6BF13E15"/>
    <w:rsid w:val="6C1D408F"/>
    <w:rsid w:val="6C2E1DC5"/>
    <w:rsid w:val="6C2E4E0C"/>
    <w:rsid w:val="6C70524D"/>
    <w:rsid w:val="6CB11363"/>
    <w:rsid w:val="6CD40446"/>
    <w:rsid w:val="6D1D5D43"/>
    <w:rsid w:val="6D2D0302"/>
    <w:rsid w:val="6D574988"/>
    <w:rsid w:val="6D6E7964"/>
    <w:rsid w:val="6D8E4630"/>
    <w:rsid w:val="6D971028"/>
    <w:rsid w:val="6DA2729F"/>
    <w:rsid w:val="6DB46CFE"/>
    <w:rsid w:val="6E0F6F6B"/>
    <w:rsid w:val="6E2864D0"/>
    <w:rsid w:val="6E2F5CE1"/>
    <w:rsid w:val="6E300441"/>
    <w:rsid w:val="6E3770B3"/>
    <w:rsid w:val="6E4E22DE"/>
    <w:rsid w:val="6E515BEA"/>
    <w:rsid w:val="6E6048D2"/>
    <w:rsid w:val="6E6D6F3E"/>
    <w:rsid w:val="6E7F06E9"/>
    <w:rsid w:val="6E8403F6"/>
    <w:rsid w:val="6EB256E7"/>
    <w:rsid w:val="6ECD75D0"/>
    <w:rsid w:val="6EE66BCF"/>
    <w:rsid w:val="6EFC65EE"/>
    <w:rsid w:val="6F045092"/>
    <w:rsid w:val="6F045AB9"/>
    <w:rsid w:val="6F4F5B05"/>
    <w:rsid w:val="6FD66808"/>
    <w:rsid w:val="70044927"/>
    <w:rsid w:val="702D2976"/>
    <w:rsid w:val="702D34A3"/>
    <w:rsid w:val="705D13A8"/>
    <w:rsid w:val="707468E8"/>
    <w:rsid w:val="70AC4303"/>
    <w:rsid w:val="70B15E6F"/>
    <w:rsid w:val="70BB1278"/>
    <w:rsid w:val="70C21E04"/>
    <w:rsid w:val="70C93174"/>
    <w:rsid w:val="70D14EF5"/>
    <w:rsid w:val="70EF09C4"/>
    <w:rsid w:val="70FD5E4A"/>
    <w:rsid w:val="71125B06"/>
    <w:rsid w:val="712E40EA"/>
    <w:rsid w:val="716454FC"/>
    <w:rsid w:val="716F2C97"/>
    <w:rsid w:val="716F6082"/>
    <w:rsid w:val="719065C2"/>
    <w:rsid w:val="71946BA2"/>
    <w:rsid w:val="71B926D3"/>
    <w:rsid w:val="71C55FCD"/>
    <w:rsid w:val="71F470D6"/>
    <w:rsid w:val="723138C5"/>
    <w:rsid w:val="726875D4"/>
    <w:rsid w:val="72733EBF"/>
    <w:rsid w:val="72985D7A"/>
    <w:rsid w:val="729D7D4E"/>
    <w:rsid w:val="72A61336"/>
    <w:rsid w:val="72D244FC"/>
    <w:rsid w:val="731652C9"/>
    <w:rsid w:val="731A4311"/>
    <w:rsid w:val="734566CE"/>
    <w:rsid w:val="73477D16"/>
    <w:rsid w:val="73575CAD"/>
    <w:rsid w:val="73585AB7"/>
    <w:rsid w:val="73893DB8"/>
    <w:rsid w:val="73A22F43"/>
    <w:rsid w:val="73BC1D01"/>
    <w:rsid w:val="73CF5A43"/>
    <w:rsid w:val="73DA64F7"/>
    <w:rsid w:val="73DE6448"/>
    <w:rsid w:val="73E53046"/>
    <w:rsid w:val="73E831D5"/>
    <w:rsid w:val="741E5B9F"/>
    <w:rsid w:val="7426152C"/>
    <w:rsid w:val="74670AAE"/>
    <w:rsid w:val="746D3546"/>
    <w:rsid w:val="74770299"/>
    <w:rsid w:val="747856D4"/>
    <w:rsid w:val="74A7176B"/>
    <w:rsid w:val="74DE5E7E"/>
    <w:rsid w:val="750F12F1"/>
    <w:rsid w:val="75212CF4"/>
    <w:rsid w:val="752B3379"/>
    <w:rsid w:val="754C650A"/>
    <w:rsid w:val="755A1EB0"/>
    <w:rsid w:val="756C662F"/>
    <w:rsid w:val="756D1BE3"/>
    <w:rsid w:val="758E41D2"/>
    <w:rsid w:val="75F81E78"/>
    <w:rsid w:val="75FE0A8D"/>
    <w:rsid w:val="762A6019"/>
    <w:rsid w:val="762E6D85"/>
    <w:rsid w:val="76345870"/>
    <w:rsid w:val="76360FF8"/>
    <w:rsid w:val="76684159"/>
    <w:rsid w:val="766F6734"/>
    <w:rsid w:val="767D7C04"/>
    <w:rsid w:val="768066A7"/>
    <w:rsid w:val="768123BF"/>
    <w:rsid w:val="76822B3B"/>
    <w:rsid w:val="76932E96"/>
    <w:rsid w:val="76B942D3"/>
    <w:rsid w:val="76DE1FB1"/>
    <w:rsid w:val="770450F5"/>
    <w:rsid w:val="7730491C"/>
    <w:rsid w:val="77305B95"/>
    <w:rsid w:val="77526E13"/>
    <w:rsid w:val="775B2EA6"/>
    <w:rsid w:val="775B7625"/>
    <w:rsid w:val="777837EE"/>
    <w:rsid w:val="777B02CB"/>
    <w:rsid w:val="7789082B"/>
    <w:rsid w:val="779A048B"/>
    <w:rsid w:val="77A85155"/>
    <w:rsid w:val="77BF72E3"/>
    <w:rsid w:val="77D13ABC"/>
    <w:rsid w:val="77E37F3B"/>
    <w:rsid w:val="77F64188"/>
    <w:rsid w:val="78095C96"/>
    <w:rsid w:val="780B56E4"/>
    <w:rsid w:val="781241DA"/>
    <w:rsid w:val="786901C3"/>
    <w:rsid w:val="786D6915"/>
    <w:rsid w:val="78A0407E"/>
    <w:rsid w:val="78C041B4"/>
    <w:rsid w:val="78C878B6"/>
    <w:rsid w:val="78CD7EA6"/>
    <w:rsid w:val="79290824"/>
    <w:rsid w:val="793A4752"/>
    <w:rsid w:val="7943170E"/>
    <w:rsid w:val="79502D1E"/>
    <w:rsid w:val="7962524C"/>
    <w:rsid w:val="79786A15"/>
    <w:rsid w:val="79A96556"/>
    <w:rsid w:val="79B052C8"/>
    <w:rsid w:val="79D12015"/>
    <w:rsid w:val="7A240AD6"/>
    <w:rsid w:val="7A396538"/>
    <w:rsid w:val="7A641717"/>
    <w:rsid w:val="7A6912E8"/>
    <w:rsid w:val="7AAA4D40"/>
    <w:rsid w:val="7B072641"/>
    <w:rsid w:val="7B0F5C3A"/>
    <w:rsid w:val="7B566C76"/>
    <w:rsid w:val="7B5D3EAF"/>
    <w:rsid w:val="7B6378D4"/>
    <w:rsid w:val="7B711D02"/>
    <w:rsid w:val="7B7B6DB3"/>
    <w:rsid w:val="7B952CE9"/>
    <w:rsid w:val="7B9B28DB"/>
    <w:rsid w:val="7B9D482E"/>
    <w:rsid w:val="7BA276C3"/>
    <w:rsid w:val="7BAB24CF"/>
    <w:rsid w:val="7BC6204D"/>
    <w:rsid w:val="7BCE24B5"/>
    <w:rsid w:val="7C09018C"/>
    <w:rsid w:val="7C1E443B"/>
    <w:rsid w:val="7C2E27AE"/>
    <w:rsid w:val="7C34657C"/>
    <w:rsid w:val="7C456155"/>
    <w:rsid w:val="7C69156E"/>
    <w:rsid w:val="7CBF7583"/>
    <w:rsid w:val="7CC707EA"/>
    <w:rsid w:val="7CD31240"/>
    <w:rsid w:val="7CFA4031"/>
    <w:rsid w:val="7D00480E"/>
    <w:rsid w:val="7D006083"/>
    <w:rsid w:val="7D0272D3"/>
    <w:rsid w:val="7D1D6E76"/>
    <w:rsid w:val="7D3D7FAB"/>
    <w:rsid w:val="7D446E5F"/>
    <w:rsid w:val="7D545437"/>
    <w:rsid w:val="7D6033A4"/>
    <w:rsid w:val="7D84123B"/>
    <w:rsid w:val="7DAA5057"/>
    <w:rsid w:val="7DC23E3E"/>
    <w:rsid w:val="7DEE13E8"/>
    <w:rsid w:val="7DF045F8"/>
    <w:rsid w:val="7E1F4C43"/>
    <w:rsid w:val="7E394C16"/>
    <w:rsid w:val="7E4B2F47"/>
    <w:rsid w:val="7E766902"/>
    <w:rsid w:val="7E776777"/>
    <w:rsid w:val="7E9273DB"/>
    <w:rsid w:val="7EED6A0C"/>
    <w:rsid w:val="7EF240C0"/>
    <w:rsid w:val="7F211349"/>
    <w:rsid w:val="7F2A2A9C"/>
    <w:rsid w:val="7F464719"/>
    <w:rsid w:val="7F915F53"/>
    <w:rsid w:val="7F917FD8"/>
    <w:rsid w:val="7FBD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szCs w:val="24"/>
    </w:rPr>
  </w:style>
  <w:style w:type="paragraph" w:styleId="3">
    <w:name w:val="Body Text First Indent"/>
    <w:basedOn w:val="2"/>
    <w:unhideWhenUsed/>
    <w:qFormat/>
    <w:uiPriority w:val="99"/>
    <w:pPr>
      <w:ind w:firstLine="420" w:firstLineChars="100"/>
    </w:pPr>
    <w:rPr>
      <w:rFonts w:hint="eastAsia"/>
    </w:rPr>
  </w:style>
  <w:style w:type="paragraph" w:styleId="7">
    <w:name w:val="Normal Indent"/>
    <w:basedOn w:val="1"/>
    <w:link w:val="49"/>
    <w:qFormat/>
    <w:uiPriority w:val="0"/>
    <w:pPr>
      <w:ind w:firstLine="420" w:firstLineChars="200"/>
    </w:pPr>
  </w:style>
  <w:style w:type="paragraph" w:styleId="8">
    <w:name w:val="annotation text"/>
    <w:basedOn w:val="1"/>
    <w:link w:val="48"/>
    <w:qFormat/>
    <w:uiPriority w:val="0"/>
    <w:pPr>
      <w:jc w:val="left"/>
    </w:pPr>
    <w:rPr>
      <w:sz w:val="18"/>
    </w:rPr>
  </w:style>
  <w:style w:type="paragraph" w:styleId="9">
    <w:name w:val="Body Text Indent"/>
    <w:basedOn w:val="1"/>
    <w:link w:val="43"/>
    <w:qFormat/>
    <w:uiPriority w:val="0"/>
    <w:pPr>
      <w:ind w:firstLine="630"/>
    </w:pPr>
    <w:rPr>
      <w:sz w:val="32"/>
    </w:rPr>
  </w:style>
  <w:style w:type="paragraph" w:styleId="10">
    <w:name w:val="toc 3"/>
    <w:basedOn w:val="1"/>
    <w:next w:val="1"/>
    <w:qFormat/>
    <w:uiPriority w:val="0"/>
    <w:pPr>
      <w:ind w:left="840" w:leftChars="400"/>
    </w:pPr>
  </w:style>
  <w:style w:type="paragraph" w:styleId="11">
    <w:name w:val="Plain Text"/>
    <w:basedOn w:val="1"/>
    <w:link w:val="45"/>
    <w:qFormat/>
    <w:uiPriority w:val="0"/>
    <w:pPr>
      <w:autoSpaceDE w:val="0"/>
      <w:autoSpaceDN w:val="0"/>
      <w:adjustRightInd w:val="0"/>
    </w:pPr>
    <w:rPr>
      <w:rFonts w:hAnsi="Tms Rmn"/>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51"/>
    <w:qFormat/>
    <w:uiPriority w:val="99"/>
    <w:pPr>
      <w:tabs>
        <w:tab w:val="center" w:pos="4153"/>
        <w:tab w:val="right" w:pos="8306"/>
      </w:tabs>
      <w:snapToGrid w:val="0"/>
      <w:jc w:val="left"/>
    </w:pPr>
    <w:rPr>
      <w:sz w:val="18"/>
    </w:rPr>
  </w:style>
  <w:style w:type="paragraph" w:styleId="15">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link w:val="44"/>
    <w:qFormat/>
    <w:uiPriority w:val="0"/>
    <w:pPr>
      <w:spacing w:after="120"/>
      <w:ind w:left="420" w:leftChars="200"/>
    </w:pPr>
    <w:rPr>
      <w:sz w:val="16"/>
      <w:szCs w:val="16"/>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paragraph" w:styleId="20">
    <w:name w:val="annotation subject"/>
    <w:basedOn w:val="8"/>
    <w:next w:val="8"/>
    <w:link w:val="47"/>
    <w:qFormat/>
    <w:uiPriority w:val="0"/>
    <w:rPr>
      <w:b/>
      <w:bCs/>
      <w:sz w:val="21"/>
      <w:szCs w:val="24"/>
    </w:rPr>
  </w:style>
  <w:style w:type="paragraph" w:styleId="21">
    <w:name w:val="Body Text First Indent 2"/>
    <w:basedOn w:val="9"/>
    <w:unhideWhenUsed/>
    <w:qFormat/>
    <w:uiPriority w:val="99"/>
    <w:pPr>
      <w:spacing w:before="100" w:beforeAutospacing="1" w:line="480" w:lineRule="exact"/>
      <w:ind w:left="0" w:leftChars="0" w:firstLine="420"/>
    </w:pPr>
    <w:rPr>
      <w:sz w:val="28"/>
      <w:szCs w:val="2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9">
    <w:name w:val="Body Text 21"/>
    <w:basedOn w:val="1"/>
    <w:qFormat/>
    <w:uiPriority w:val="0"/>
    <w:pPr>
      <w:adjustRightInd w:val="0"/>
      <w:spacing w:line="300" w:lineRule="auto"/>
      <w:jc w:val="center"/>
      <w:textAlignment w:val="baseline"/>
    </w:pPr>
    <w:rPr>
      <w:rFonts w:hAnsi="宋体"/>
      <w:sz w:val="24"/>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_Style 3"/>
    <w:basedOn w:val="1"/>
    <w:qFormat/>
    <w:uiPriority w:val="34"/>
    <w:pPr>
      <w:ind w:firstLine="420" w:firstLineChars="200"/>
    </w:pPr>
  </w:style>
  <w:style w:type="paragraph" w:customStyle="1" w:styleId="33">
    <w:name w:val="Char Char Char Char Char Char Char Char Char Char Char Char Char Char1 Char Char Char Char"/>
    <w:basedOn w:val="1"/>
    <w:qFormat/>
    <w:uiPriority w:val="0"/>
    <w:rPr>
      <w:szCs w:val="21"/>
    </w:rPr>
  </w:style>
  <w:style w:type="paragraph" w:customStyle="1" w:styleId="34">
    <w:name w:val="_正文段落"/>
    <w:basedOn w:val="1"/>
    <w:qFormat/>
    <w:uiPriority w:val="0"/>
    <w:pPr>
      <w:spacing w:beforeLines="15" w:afterLines="15" w:line="360" w:lineRule="auto"/>
      <w:ind w:firstLine="200" w:firstLineChars="200"/>
    </w:pPr>
    <w:rPr>
      <w:rFonts w:eastAsia="仿宋_GB2312"/>
      <w:sz w:val="28"/>
    </w:rPr>
  </w:style>
  <w:style w:type="paragraph" w:customStyle="1" w:styleId="35">
    <w:name w:val="WPSOffice手动目录 2"/>
    <w:qFormat/>
    <w:uiPriority w:val="0"/>
    <w:pPr>
      <w:ind w:left="200" w:leftChars="200"/>
    </w:pPr>
    <w:rPr>
      <w:rFonts w:ascii="Calibri" w:hAnsi="Calibri" w:eastAsia="宋体" w:cs="Times New Roman"/>
      <w:lang w:val="en-US" w:eastAsia="zh-CN" w:bidi="ar-SA"/>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paragraph" w:customStyle="1" w:styleId="37">
    <w:name w:val="GW-正文"/>
    <w:basedOn w:val="1"/>
    <w:link w:val="41"/>
    <w:qFormat/>
    <w:uiPriority w:val="0"/>
    <w:pPr>
      <w:spacing w:line="360" w:lineRule="auto"/>
      <w:ind w:firstLine="200" w:firstLineChars="200"/>
    </w:pPr>
    <w:rPr>
      <w:rFonts w:eastAsia="仿宋_GB2312"/>
      <w:sz w:val="24"/>
    </w:rPr>
  </w:style>
  <w:style w:type="paragraph" w:customStyle="1" w:styleId="38">
    <w:name w:val="列出段落"/>
    <w:basedOn w:val="1"/>
    <w:link w:val="52"/>
    <w:qFormat/>
    <w:uiPriority w:val="0"/>
    <w:pPr>
      <w:ind w:firstLine="420" w:firstLineChars="200"/>
    </w:pPr>
  </w:style>
  <w:style w:type="paragraph" w:customStyle="1" w:styleId="39">
    <w:name w:val="表格"/>
    <w:basedOn w:val="1"/>
    <w:qFormat/>
    <w:uiPriority w:val="0"/>
    <w:pPr>
      <w:spacing w:line="400" w:lineRule="exact"/>
    </w:pPr>
    <w:rPr>
      <w:sz w:val="24"/>
    </w:rPr>
  </w:style>
  <w:style w:type="paragraph" w:customStyle="1" w:styleId="40">
    <w:name w:val="WPSOffice手动目录 1"/>
    <w:qFormat/>
    <w:uiPriority w:val="0"/>
    <w:rPr>
      <w:rFonts w:ascii="Calibri" w:hAnsi="Calibri" w:eastAsia="宋体" w:cs="Times New Roman"/>
      <w:lang w:val="en-US" w:eastAsia="zh-CN" w:bidi="ar-SA"/>
    </w:rPr>
  </w:style>
  <w:style w:type="character" w:customStyle="1" w:styleId="41">
    <w:name w:val="GW-正文 Char"/>
    <w:link w:val="37"/>
    <w:qFormat/>
    <w:uiPriority w:val="0"/>
    <w:rPr>
      <w:rFonts w:eastAsia="仿宋_GB2312"/>
      <w:kern w:val="2"/>
      <w:sz w:val="24"/>
      <w:szCs w:val="24"/>
      <w:lang w:val="en-US" w:eastAsia="zh-CN" w:bidi="ar-SA"/>
    </w:rPr>
  </w:style>
  <w:style w:type="character" w:customStyle="1" w:styleId="42">
    <w:name w:val="Char Char9"/>
    <w:qFormat/>
    <w:uiPriority w:val="0"/>
    <w:rPr>
      <w:kern w:val="2"/>
      <w:sz w:val="21"/>
    </w:rPr>
  </w:style>
  <w:style w:type="character" w:customStyle="1" w:styleId="43">
    <w:name w:val="正文文本缩进 字符"/>
    <w:link w:val="9"/>
    <w:qFormat/>
    <w:uiPriority w:val="0"/>
    <w:rPr>
      <w:rFonts w:eastAsia="宋体"/>
      <w:kern w:val="2"/>
      <w:sz w:val="32"/>
      <w:lang w:val="en-US" w:eastAsia="zh-CN" w:bidi="ar-SA"/>
    </w:rPr>
  </w:style>
  <w:style w:type="character" w:customStyle="1" w:styleId="44">
    <w:name w:val="正文文本缩进 3 字符"/>
    <w:basedOn w:val="24"/>
    <w:link w:val="17"/>
    <w:qFormat/>
    <w:uiPriority w:val="0"/>
    <w:rPr>
      <w:kern w:val="2"/>
      <w:sz w:val="16"/>
      <w:szCs w:val="16"/>
    </w:rPr>
  </w:style>
  <w:style w:type="character" w:customStyle="1" w:styleId="45">
    <w:name w:val="纯文本 字符"/>
    <w:link w:val="11"/>
    <w:unhideWhenUsed/>
    <w:qFormat/>
    <w:uiPriority w:val="0"/>
    <w:rPr>
      <w:rFonts w:ascii="宋体" w:hAnsi="Tms Rmn" w:eastAsia="宋体"/>
      <w:sz w:val="21"/>
      <w:lang w:val="en-US" w:eastAsia="zh-CN" w:bidi="ar-SA"/>
    </w:rPr>
  </w:style>
  <w:style w:type="character" w:customStyle="1" w:styleId="46">
    <w:name w:val="批注文字 Char1"/>
    <w:qFormat/>
    <w:uiPriority w:val="0"/>
    <w:rPr>
      <w:kern w:val="2"/>
      <w:sz w:val="18"/>
      <w:lang w:bidi="ar-SA"/>
    </w:rPr>
  </w:style>
  <w:style w:type="character" w:customStyle="1" w:styleId="47">
    <w:name w:val="批注主题 字符"/>
    <w:basedOn w:val="48"/>
    <w:link w:val="20"/>
    <w:qFormat/>
    <w:uiPriority w:val="0"/>
    <w:rPr>
      <w:b/>
      <w:bCs/>
      <w:kern w:val="2"/>
      <w:sz w:val="21"/>
      <w:szCs w:val="24"/>
      <w:lang w:bidi="ar-SA"/>
    </w:rPr>
  </w:style>
  <w:style w:type="character" w:customStyle="1" w:styleId="48">
    <w:name w:val="批注文字 字符"/>
    <w:link w:val="8"/>
    <w:qFormat/>
    <w:uiPriority w:val="0"/>
    <w:rPr>
      <w:kern w:val="2"/>
      <w:sz w:val="18"/>
      <w:lang w:bidi="ar-SA"/>
    </w:rPr>
  </w:style>
  <w:style w:type="character" w:customStyle="1" w:styleId="49">
    <w:name w:val="正文缩进 字符"/>
    <w:link w:val="7"/>
    <w:qFormat/>
    <w:uiPriority w:val="0"/>
    <w:rPr>
      <w:rFonts w:eastAsia="宋体"/>
      <w:kern w:val="2"/>
      <w:sz w:val="21"/>
      <w:szCs w:val="24"/>
      <w:lang w:val="en-US" w:eastAsia="zh-CN" w:bidi="ar-SA"/>
    </w:rPr>
  </w:style>
  <w:style w:type="character" w:customStyle="1" w:styleId="50">
    <w:name w:val="（符号）邀请函中一、"/>
    <w:basedOn w:val="24"/>
    <w:qFormat/>
    <w:uiPriority w:val="0"/>
    <w:rPr>
      <w:rFonts w:ascii="黑体" w:hAnsi="黑体" w:eastAsia="黑体"/>
      <w:b/>
      <w:bCs/>
      <w:sz w:val="24"/>
    </w:rPr>
  </w:style>
  <w:style w:type="character" w:customStyle="1" w:styleId="51">
    <w:name w:val="页脚 字符"/>
    <w:link w:val="14"/>
    <w:qFormat/>
    <w:uiPriority w:val="99"/>
    <w:rPr>
      <w:rFonts w:eastAsia="宋体"/>
      <w:kern w:val="2"/>
      <w:sz w:val="18"/>
      <w:lang w:val="en-US" w:eastAsia="zh-CN" w:bidi="ar-SA"/>
    </w:rPr>
  </w:style>
  <w:style w:type="character" w:customStyle="1" w:styleId="52">
    <w:name w:val="列出段落 Char"/>
    <w:link w:val="38"/>
    <w:qFormat/>
    <w:uiPriority w:val="0"/>
    <w:rPr>
      <w:rFonts w:eastAsia="宋体"/>
      <w:kern w:val="2"/>
      <w:sz w:val="21"/>
      <w:szCs w:val="24"/>
      <w:lang w:val="en-US" w:eastAsia="zh-CN" w:bidi="ar-SA"/>
    </w:rPr>
  </w:style>
  <w:style w:type="character" w:customStyle="1" w:styleId="53">
    <w:name w:val="页眉 字符"/>
    <w:link w:val="15"/>
    <w:qFormat/>
    <w:uiPriority w:val="0"/>
    <w:rPr>
      <w:rFonts w:eastAsia="宋体"/>
      <w:kern w:val="2"/>
      <w:sz w:val="18"/>
      <w:lang w:val="en-US" w:eastAsia="zh-CN" w:bidi="ar-SA"/>
    </w:rPr>
  </w:style>
  <w:style w:type="character" w:customStyle="1" w:styleId="54">
    <w:name w:val="font21"/>
    <w:basedOn w:val="24"/>
    <w:qFormat/>
    <w:uiPriority w:val="0"/>
    <w:rPr>
      <w:rFonts w:hint="eastAsia" w:ascii="宋体" w:hAnsi="宋体" w:eastAsia="宋体" w:cs="宋体"/>
      <w:b/>
      <w:color w:val="000000"/>
      <w:sz w:val="22"/>
      <w:szCs w:val="22"/>
      <w:u w:val="none"/>
    </w:rPr>
  </w:style>
  <w:style w:type="character" w:customStyle="1" w:styleId="55">
    <w:name w:val="font01"/>
    <w:basedOn w:val="24"/>
    <w:qFormat/>
    <w:uiPriority w:val="0"/>
    <w:rPr>
      <w:rFonts w:hint="eastAsia" w:ascii="宋体" w:hAnsi="宋体" w:eastAsia="宋体" w:cs="宋体"/>
      <w:color w:val="000000"/>
      <w:sz w:val="22"/>
      <w:szCs w:val="22"/>
      <w:u w:val="none"/>
    </w:rPr>
  </w:style>
  <w:style w:type="paragraph" w:styleId="56">
    <w:name w:val="List Paragraph"/>
    <w:basedOn w:val="1"/>
    <w:qFormat/>
    <w:uiPriority w:val="0"/>
    <w:pPr>
      <w:ind w:firstLine="420" w:firstLineChars="200"/>
    </w:pPr>
    <w:rPr>
      <w:rFonts w:ascii="Calibri"/>
      <w:kern w:val="2"/>
      <w:sz w:val="21"/>
      <w:szCs w:val="22"/>
    </w:rPr>
  </w:style>
  <w:style w:type="character" w:customStyle="1" w:styleId="57">
    <w:name w:val="font11"/>
    <w:basedOn w:val="24"/>
    <w:qFormat/>
    <w:uiPriority w:val="0"/>
    <w:rPr>
      <w:rFonts w:hint="eastAsia" w:ascii="黑体" w:hAnsi="宋体" w:eastAsia="黑体" w:cs="黑体"/>
      <w:color w:val="000000"/>
      <w:sz w:val="24"/>
      <w:szCs w:val="24"/>
      <w:u w:val="none"/>
    </w:rPr>
  </w:style>
  <w:style w:type="character" w:customStyle="1" w:styleId="58">
    <w:name w:val="font71"/>
    <w:basedOn w:val="24"/>
    <w:qFormat/>
    <w:uiPriority w:val="0"/>
    <w:rPr>
      <w:rFonts w:hint="eastAsia" w:ascii="宋体" w:hAnsi="宋体" w:eastAsia="宋体" w:cs="宋体"/>
      <w:b/>
      <w:color w:val="FF0000"/>
      <w:sz w:val="20"/>
      <w:szCs w:val="20"/>
      <w:u w:val="none"/>
    </w:rPr>
  </w:style>
  <w:style w:type="paragraph" w:customStyle="1" w:styleId="59">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60">
    <w:name w:val="Default"/>
    <w:basedOn w:val="1"/>
    <w:unhideWhenUsed/>
    <w:qFormat/>
    <w:uiPriority w:val="0"/>
    <w:pPr>
      <w:autoSpaceDE w:val="0"/>
      <w:autoSpaceDN w:val="0"/>
      <w:adjustRightInd w:val="0"/>
      <w:jc w:val="left"/>
    </w:pPr>
    <w:rPr>
      <w:rFonts w:ascii="Arial" w:hAnsi="Arial"/>
      <w:color w:val="000000"/>
      <w:sz w:val="24"/>
    </w:rPr>
  </w:style>
  <w:style w:type="paragraph" w:customStyle="1" w:styleId="61">
    <w:name w:val="正文11"/>
    <w:unhideWhenUsed/>
    <w:qFormat/>
    <w:uiPriority w:val="0"/>
    <w:pPr>
      <w:widowControl w:val="0"/>
      <w:adjustRightInd w:val="0"/>
      <w:spacing w:after="160" w:line="312" w:lineRule="atLeast"/>
      <w:jc w:val="both"/>
      <w:textAlignment w:val="baseline"/>
    </w:pPr>
    <w:rPr>
      <w:rFonts w:hint="eastAsia" w:ascii="宋体" w:hAnsi="Calibri" w:eastAsia="宋体" w:cstheme="minorBidi"/>
      <w:sz w:val="34"/>
      <w:lang w:val="en-US" w:eastAsia="zh-CN" w:bidi="ar-SA"/>
    </w:rPr>
  </w:style>
  <w:style w:type="character" w:customStyle="1" w:styleId="62">
    <w:name w:val="font112"/>
    <w:basedOn w:val="24"/>
    <w:qFormat/>
    <w:uiPriority w:val="0"/>
    <w:rPr>
      <w:rFonts w:hint="default" w:ascii="Tahoma" w:hAnsi="Tahoma" w:eastAsia="Tahoma" w:cs="Tahoma"/>
      <w:color w:val="000000"/>
      <w:sz w:val="22"/>
      <w:szCs w:val="22"/>
      <w:u w:val="none"/>
    </w:rPr>
  </w:style>
  <w:style w:type="character" w:customStyle="1" w:styleId="63">
    <w:name w:val="font51"/>
    <w:basedOn w:val="24"/>
    <w:qFormat/>
    <w:uiPriority w:val="0"/>
    <w:rPr>
      <w:rFonts w:hint="eastAsia" w:ascii="宋体" w:hAnsi="宋体" w:eastAsia="宋体" w:cs="宋体"/>
      <w:color w:val="000000"/>
      <w:sz w:val="22"/>
      <w:szCs w:val="22"/>
      <w:u w:val="none"/>
    </w:rPr>
  </w:style>
  <w:style w:type="character" w:customStyle="1" w:styleId="64">
    <w:name w:val="font161"/>
    <w:basedOn w:val="24"/>
    <w:qFormat/>
    <w:uiPriority w:val="0"/>
    <w:rPr>
      <w:rFonts w:ascii="等线" w:hAnsi="等线" w:eastAsia="等线" w:cs="等线"/>
      <w:color w:val="000000"/>
      <w:sz w:val="18"/>
      <w:szCs w:val="18"/>
      <w:u w:val="none"/>
    </w:rPr>
  </w:style>
  <w:style w:type="character" w:customStyle="1" w:styleId="65">
    <w:name w:val="font211"/>
    <w:basedOn w:val="24"/>
    <w:qFormat/>
    <w:uiPriority w:val="0"/>
    <w:rPr>
      <w:rFonts w:hint="default" w:ascii="等线" w:hAnsi="等线" w:eastAsia="等线" w:cs="等线"/>
      <w:color w:val="000000"/>
      <w:sz w:val="18"/>
      <w:szCs w:val="18"/>
      <w:u w:val="none"/>
      <w:vertAlign w:val="subscript"/>
    </w:rPr>
  </w:style>
  <w:style w:type="paragraph" w:customStyle="1" w:styleId="66">
    <w:name w:val="null3"/>
    <w:hidden/>
    <w:qFormat/>
    <w:uiPriority w:val="0"/>
    <w:rPr>
      <w:rFonts w:hint="eastAsia" w:asciiTheme="minorHAnsi" w:hAnsiTheme="minorHAnsi" w:eastAsiaTheme="minorEastAsia" w:cstheme="minorBidi"/>
      <w:lang w:val="en-US" w:eastAsia="zh-Hans"/>
    </w:rPr>
  </w:style>
  <w:style w:type="character" w:customStyle="1" w:styleId="67">
    <w:name w:val="font151"/>
    <w:basedOn w:val="24"/>
    <w:qFormat/>
    <w:uiPriority w:val="0"/>
    <w:rPr>
      <w:rFonts w:hint="eastAsia" w:ascii="微软雅黑" w:hAnsi="微软雅黑" w:eastAsia="微软雅黑" w:cs="微软雅黑"/>
      <w:color w:val="000000"/>
      <w:sz w:val="18"/>
      <w:szCs w:val="18"/>
      <w:u w:val="none"/>
    </w:rPr>
  </w:style>
  <w:style w:type="character" w:customStyle="1" w:styleId="68">
    <w:name w:val="font8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64</Pages>
  <Words>24977</Words>
  <Characters>26044</Characters>
  <Lines>238</Lines>
  <Paragraphs>67</Paragraphs>
  <TotalTime>1</TotalTime>
  <ScaleCrop>false</ScaleCrop>
  <LinksUpToDate>false</LinksUpToDate>
  <CharactersWithSpaces>26850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N三</cp:lastModifiedBy>
  <cp:lastPrinted>2019-09-04T01:10:00Z</cp:lastPrinted>
  <dcterms:modified xsi:type="dcterms:W3CDTF">2025-03-11T03:21:28Z</dcterms:modified>
  <dc:title>招标编号：xx政采招[xxxx] xxx号</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54DB632D25C9460FA37B26E7624B3614_13</vt:lpwstr>
  </property>
  <property fmtid="{D5CDD505-2E9C-101B-9397-08002B2CF9AE}" pid="4" name="KSOTemplateDocerSaveRecord">
    <vt:lpwstr>eyJoZGlkIjoiOWE2YjI0YWNiYzVhYTM0YjE4YzE3OGI1ODEzNmUyMDMiLCJ1c2VySWQiOiI1NzgxODY4NjIifQ==</vt:lpwstr>
  </property>
</Properties>
</file>