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2DD05">
      <w:pPr>
        <w:pStyle w:val="61"/>
        <w:pageBreakBefore w:val="0"/>
        <w:widowControl w:val="0"/>
        <w:kinsoku/>
        <w:wordWrap/>
        <w:overflowPunct/>
        <w:topLinePunct w:val="0"/>
        <w:bidi w:val="0"/>
        <w:snapToGrid/>
        <w:spacing w:line="360" w:lineRule="auto"/>
        <w:ind w:left="0" w:leftChars="0" w:firstLine="0" w:firstLineChars="0"/>
        <w:jc w:val="center"/>
        <w:rPr>
          <w:rFonts w:hint="eastAsia" w:ascii="宋体" w:hAnsi="宋体" w:eastAsia="宋体" w:cs="宋体"/>
          <w:b/>
          <w:color w:val="auto"/>
          <w:sz w:val="36"/>
          <w:szCs w:val="36"/>
          <w:highlight w:val="none"/>
          <w:lang w:val="zh-CN"/>
        </w:rPr>
      </w:pPr>
    </w:p>
    <w:p w14:paraId="308E2367">
      <w:pPr>
        <w:pStyle w:val="61"/>
        <w:pageBreakBefore w:val="0"/>
        <w:widowControl w:val="0"/>
        <w:kinsoku/>
        <w:wordWrap/>
        <w:overflowPunct/>
        <w:topLinePunct w:val="0"/>
        <w:bidi w:val="0"/>
        <w:snapToGrid/>
        <w:spacing w:line="360" w:lineRule="auto"/>
        <w:ind w:left="0" w:leftChars="0" w:firstLine="0" w:firstLineChars="0"/>
        <w:jc w:val="center"/>
        <w:rPr>
          <w:rFonts w:hint="eastAsia" w:ascii="宋体" w:hAnsi="宋体" w:eastAsia="宋体" w:cs="宋体"/>
          <w:b/>
          <w:color w:val="auto"/>
          <w:sz w:val="36"/>
          <w:szCs w:val="36"/>
          <w:highlight w:val="none"/>
          <w:lang w:val="zh-CN"/>
        </w:rPr>
      </w:pPr>
    </w:p>
    <w:p w14:paraId="5B719C49">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zh-CN" w:eastAsia="zh-CN"/>
        </w:rPr>
        <w:t>招标编号：</w:t>
      </w:r>
      <w:r>
        <w:rPr>
          <w:rFonts w:hint="eastAsia" w:ascii="仿宋" w:hAnsi="仿宋" w:eastAsia="仿宋" w:cs="仿宋"/>
          <w:b/>
          <w:bCs/>
          <w:color w:val="auto"/>
          <w:sz w:val="44"/>
          <w:szCs w:val="44"/>
          <w:highlight w:val="none"/>
          <w:lang w:val="en-US" w:eastAsia="zh-CN"/>
        </w:rPr>
        <w:t xml:space="preserve">SCHC202504245 </w:t>
      </w:r>
    </w:p>
    <w:p w14:paraId="56D55A01">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b/>
          <w:bCs/>
          <w:color w:val="auto"/>
          <w:sz w:val="44"/>
          <w:szCs w:val="44"/>
          <w:highlight w:val="none"/>
          <w:lang w:val="en-US" w:eastAsia="zh-CN"/>
        </w:rPr>
      </w:pPr>
    </w:p>
    <w:p w14:paraId="44875594">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富顺县中医医院2025年第五批医疗耗材采购项目</w:t>
      </w:r>
    </w:p>
    <w:p w14:paraId="6AA5700C">
      <w:pPr>
        <w:pStyle w:val="61"/>
        <w:pageBreakBefore w:val="0"/>
        <w:widowControl w:val="0"/>
        <w:tabs>
          <w:tab w:val="center" w:pos="4819"/>
        </w:tabs>
        <w:kinsoku/>
        <w:wordWrap/>
        <w:overflowPunct/>
        <w:topLinePunct w:val="0"/>
        <w:bidi w:val="0"/>
        <w:snapToGrid/>
        <w:spacing w:line="360" w:lineRule="auto"/>
        <w:rPr>
          <w:rFonts w:hint="eastAsia" w:ascii="仿宋_GB2312" w:hAnsi="宋体" w:eastAsia="仿宋_GB2312"/>
          <w:b/>
          <w:bCs/>
          <w:color w:val="auto"/>
          <w:sz w:val="96"/>
          <w:szCs w:val="96"/>
          <w:highlight w:val="none"/>
          <w:lang w:eastAsia="zh-CN"/>
        </w:rPr>
      </w:pPr>
      <w:r>
        <w:rPr>
          <w:rFonts w:hint="eastAsia" w:ascii="仿宋_GB2312" w:hAnsi="华文中宋"/>
          <w:color w:val="auto"/>
          <w:sz w:val="24"/>
          <w:highlight w:val="none"/>
        </w:rPr>
        <w:t xml:space="preserve"> </w:t>
      </w:r>
      <w:r>
        <w:rPr>
          <w:rFonts w:hint="eastAsia" w:ascii="仿宋_GB2312" w:hAnsi="华文中宋"/>
          <w:color w:val="auto"/>
          <w:sz w:val="24"/>
          <w:highlight w:val="none"/>
          <w:lang w:eastAsia="zh-CN"/>
        </w:rPr>
        <w:tab/>
      </w:r>
    </w:p>
    <w:p w14:paraId="1667BAF2">
      <w:pPr>
        <w:pStyle w:val="61"/>
        <w:pageBreakBefore w:val="0"/>
        <w:widowControl w:val="0"/>
        <w:kinsoku/>
        <w:wordWrap/>
        <w:overflowPunct/>
        <w:topLinePunct w:val="0"/>
        <w:bidi w:val="0"/>
        <w:snapToGrid/>
        <w:spacing w:line="360" w:lineRule="auto"/>
        <w:ind w:left="0" w:leftChars="0" w:firstLine="0" w:firstLineChars="0"/>
        <w:jc w:val="center"/>
        <w:rPr>
          <w:rFonts w:hint="eastAsia" w:ascii="黑体" w:hAnsi="黑体" w:eastAsia="黑体" w:cs="黑体"/>
          <w:color w:val="auto"/>
          <w:sz w:val="112"/>
          <w:szCs w:val="112"/>
          <w:highlight w:val="none"/>
          <w:lang w:eastAsia="zh-CN"/>
        </w:rPr>
      </w:pPr>
      <w:r>
        <w:rPr>
          <w:rFonts w:hint="eastAsia" w:ascii="黑体" w:hAnsi="黑体" w:eastAsia="黑体" w:cs="黑体"/>
          <w:color w:val="auto"/>
          <w:sz w:val="112"/>
          <w:szCs w:val="112"/>
          <w:highlight w:val="none"/>
          <w:lang w:eastAsia="zh-CN"/>
        </w:rPr>
        <w:t>公开招标文件</w:t>
      </w:r>
    </w:p>
    <w:p w14:paraId="6F0563AC">
      <w:pPr>
        <w:pStyle w:val="61"/>
        <w:pageBreakBefore w:val="0"/>
        <w:widowControl w:val="0"/>
        <w:kinsoku/>
        <w:wordWrap/>
        <w:overflowPunct/>
        <w:topLinePunct w:val="0"/>
        <w:bidi w:val="0"/>
        <w:snapToGrid/>
        <w:spacing w:line="360" w:lineRule="auto"/>
        <w:ind w:left="0" w:leftChars="0" w:firstLine="1606" w:firstLineChars="500"/>
        <w:jc w:val="both"/>
        <w:rPr>
          <w:rFonts w:hint="eastAsia" w:ascii="仿宋" w:hAnsi="仿宋" w:eastAsia="仿宋" w:cs="仿宋"/>
          <w:b/>
          <w:color w:val="auto"/>
          <w:sz w:val="32"/>
          <w:szCs w:val="32"/>
          <w:highlight w:val="none"/>
          <w:lang w:val="zh-CN"/>
        </w:rPr>
      </w:pPr>
    </w:p>
    <w:p w14:paraId="2A8E7856">
      <w:pPr>
        <w:pStyle w:val="61"/>
        <w:pageBreakBefore w:val="0"/>
        <w:widowControl w:val="0"/>
        <w:kinsoku/>
        <w:wordWrap/>
        <w:overflowPunct/>
        <w:topLinePunct w:val="0"/>
        <w:bidi w:val="0"/>
        <w:snapToGrid/>
        <w:spacing w:line="360" w:lineRule="auto"/>
        <w:ind w:left="0" w:leftChars="0" w:firstLine="1606" w:firstLineChars="500"/>
        <w:jc w:val="both"/>
        <w:rPr>
          <w:rFonts w:hint="eastAsia" w:ascii="仿宋" w:hAnsi="仿宋" w:eastAsia="仿宋" w:cs="仿宋"/>
          <w:b/>
          <w:color w:val="auto"/>
          <w:sz w:val="32"/>
          <w:szCs w:val="32"/>
          <w:highlight w:val="none"/>
          <w:lang w:val="zh-CN"/>
        </w:rPr>
      </w:pPr>
    </w:p>
    <w:p w14:paraId="631E3867">
      <w:pPr>
        <w:pStyle w:val="61"/>
        <w:pageBreakBefore w:val="0"/>
        <w:widowControl w:val="0"/>
        <w:kinsoku/>
        <w:wordWrap/>
        <w:overflowPunct/>
        <w:topLinePunct w:val="0"/>
        <w:bidi w:val="0"/>
        <w:snapToGrid/>
        <w:spacing w:line="360" w:lineRule="auto"/>
        <w:ind w:firstLine="964" w:firstLineChars="300"/>
        <w:jc w:val="both"/>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zh-CN"/>
        </w:rPr>
        <w:t>招标人：</w:t>
      </w:r>
      <w:r>
        <w:rPr>
          <w:rFonts w:hint="eastAsia" w:ascii="仿宋" w:hAnsi="仿宋" w:eastAsia="仿宋" w:cs="仿宋"/>
          <w:b/>
          <w:color w:val="auto"/>
          <w:sz w:val="32"/>
          <w:szCs w:val="32"/>
          <w:highlight w:val="none"/>
          <w:lang w:val="zh-CN" w:eastAsia="zh-CN"/>
        </w:rPr>
        <w:t>富顺县中医医院</w:t>
      </w:r>
    </w:p>
    <w:p w14:paraId="27390BAD">
      <w:pPr>
        <w:pStyle w:val="61"/>
        <w:pageBreakBefore w:val="0"/>
        <w:widowControl w:val="0"/>
        <w:kinsoku/>
        <w:wordWrap/>
        <w:overflowPunct/>
        <w:topLinePunct w:val="0"/>
        <w:bidi w:val="0"/>
        <w:snapToGrid/>
        <w:spacing w:line="360" w:lineRule="auto"/>
        <w:ind w:firstLine="964" w:firstLineChars="300"/>
        <w:jc w:val="both"/>
        <w:rPr>
          <w:rFonts w:hint="eastAsia" w:ascii="仿宋" w:hAnsi="仿宋" w:eastAsia="仿宋" w:cs="仿宋"/>
          <w:b/>
          <w:color w:val="auto"/>
          <w:sz w:val="32"/>
          <w:szCs w:val="32"/>
          <w:highlight w:val="none"/>
          <w:lang w:val="zh-CN"/>
        </w:rPr>
      </w:pPr>
      <w:r>
        <w:rPr>
          <w:rFonts w:hint="eastAsia" w:ascii="仿宋" w:hAnsi="仿宋" w:eastAsia="仿宋" w:cs="仿宋"/>
          <w:b/>
          <w:color w:val="auto"/>
          <w:sz w:val="32"/>
          <w:szCs w:val="32"/>
          <w:highlight w:val="none"/>
          <w:lang w:val="zh-CN"/>
        </w:rPr>
        <w:t>招标代理机构：四川虹采招标代理有限责任公司</w:t>
      </w:r>
    </w:p>
    <w:p w14:paraId="36DE2012">
      <w:pPr>
        <w:pStyle w:val="61"/>
        <w:pageBreakBefore w:val="0"/>
        <w:widowControl w:val="0"/>
        <w:kinsoku/>
        <w:wordWrap/>
        <w:overflowPunct/>
        <w:topLinePunct w:val="0"/>
        <w:bidi w:val="0"/>
        <w:snapToGrid/>
        <w:spacing w:line="360" w:lineRule="auto"/>
        <w:ind w:firstLine="964" w:firstLineChars="300"/>
        <w:rPr>
          <w:rFonts w:hint="eastAsia" w:ascii="仿宋" w:hAnsi="仿宋" w:eastAsia="仿宋" w:cs="仿宋"/>
          <w:b/>
          <w:color w:val="auto"/>
          <w:sz w:val="32"/>
          <w:szCs w:val="32"/>
          <w:highlight w:val="none"/>
          <w:lang w:val="zh-CN" w:eastAsia="zh-CN"/>
        </w:rPr>
      </w:pPr>
      <w:r>
        <w:rPr>
          <w:rFonts w:hint="eastAsia" w:ascii="仿宋" w:hAnsi="仿宋" w:eastAsia="仿宋" w:cs="仿宋"/>
          <w:b/>
          <w:color w:val="auto"/>
          <w:sz w:val="32"/>
          <w:szCs w:val="32"/>
          <w:highlight w:val="none"/>
          <w:lang w:val="zh-CN" w:eastAsia="zh-CN"/>
        </w:rPr>
        <w:t>文件编制：招标人与招标代理机构共同编制</w:t>
      </w:r>
    </w:p>
    <w:p w14:paraId="1C128009">
      <w:pPr>
        <w:pStyle w:val="61"/>
        <w:pageBreakBefore w:val="0"/>
        <w:widowControl w:val="0"/>
        <w:kinsoku/>
        <w:wordWrap/>
        <w:overflowPunct/>
        <w:topLinePunct w:val="0"/>
        <w:bidi w:val="0"/>
        <w:snapToGrid/>
        <w:spacing w:line="360" w:lineRule="auto"/>
        <w:rPr>
          <w:rFonts w:hint="eastAsia" w:ascii="仿宋" w:hAnsi="仿宋" w:eastAsia="仿宋" w:cs="仿宋"/>
          <w:color w:val="auto"/>
          <w:sz w:val="32"/>
          <w:szCs w:val="32"/>
          <w:highlight w:val="none"/>
        </w:rPr>
      </w:pPr>
    </w:p>
    <w:p w14:paraId="7AB02624">
      <w:pPr>
        <w:pStyle w:val="61"/>
        <w:pageBreakBefore w:val="0"/>
        <w:widowControl w:val="0"/>
        <w:kinsoku/>
        <w:wordWrap/>
        <w:overflowPunct/>
        <w:topLinePunct w:val="0"/>
        <w:bidi w:val="0"/>
        <w:snapToGrid/>
        <w:spacing w:line="360" w:lineRule="auto"/>
        <w:rPr>
          <w:rFonts w:hint="eastAsia" w:ascii="仿宋" w:hAnsi="仿宋" w:eastAsia="仿宋" w:cs="仿宋"/>
          <w:color w:val="auto"/>
          <w:sz w:val="32"/>
          <w:szCs w:val="32"/>
          <w:highlight w:val="none"/>
        </w:rPr>
      </w:pPr>
    </w:p>
    <w:p w14:paraId="123EBF45">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eastAsia="宋体"/>
          <w:b w:val="0"/>
          <w:bCs w:val="0"/>
          <w:color w:val="auto"/>
          <w:sz w:val="36"/>
          <w:highlight w:val="none"/>
        </w:rPr>
      </w:pPr>
      <w:r>
        <w:rPr>
          <w:rFonts w:hint="eastAsia" w:ascii="仿宋" w:hAnsi="仿宋" w:eastAsia="仿宋" w:cs="仿宋"/>
          <w:b/>
          <w:color w:val="auto"/>
          <w:sz w:val="32"/>
          <w:szCs w:val="32"/>
          <w:highlight w:val="none"/>
        </w:rPr>
        <w:t>二〇二</w:t>
      </w:r>
      <w:r>
        <w:rPr>
          <w:rFonts w:hint="eastAsia" w:ascii="仿宋" w:hAnsi="仿宋" w:eastAsia="仿宋" w:cs="仿宋"/>
          <w:b/>
          <w:color w:val="auto"/>
          <w:sz w:val="32"/>
          <w:szCs w:val="32"/>
          <w:highlight w:val="none"/>
          <w:lang w:val="en-US" w:eastAsia="zh-CN"/>
        </w:rPr>
        <w:t>五</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四</w:t>
      </w:r>
      <w:r>
        <w:rPr>
          <w:rFonts w:hint="eastAsia" w:ascii="仿宋" w:hAnsi="仿宋" w:eastAsia="仿宋" w:cs="仿宋"/>
          <w:b/>
          <w:color w:val="auto"/>
          <w:sz w:val="32"/>
          <w:szCs w:val="32"/>
          <w:highlight w:val="none"/>
        </w:rPr>
        <w:t>月</w:t>
      </w:r>
    </w:p>
    <w:p w14:paraId="717F2F40">
      <w:pPr>
        <w:pageBreakBefore w:val="0"/>
        <w:widowControl w:val="0"/>
        <w:tabs>
          <w:tab w:val="left" w:pos="2450"/>
        </w:tabs>
        <w:kinsoku/>
        <w:wordWrap/>
        <w:overflowPunct/>
        <w:topLinePunct w:val="0"/>
        <w:bidi w:val="0"/>
        <w:snapToGrid/>
        <w:outlineLvl w:val="9"/>
        <w:rPr>
          <w:rFonts w:ascii="仿宋" w:hAnsi="仿宋" w:eastAsia="仿宋"/>
          <w:color w:val="auto"/>
          <w:sz w:val="24"/>
        </w:rPr>
        <w:sectPr>
          <w:headerReference r:id="rId5" w:type="default"/>
          <w:pgSz w:w="11907" w:h="16840"/>
          <w:pgMar w:top="1418" w:right="1134" w:bottom="1418" w:left="1134" w:header="851" w:footer="992" w:gutter="0"/>
          <w:pgNumType w:start="1"/>
          <w:cols w:space="720" w:num="1"/>
          <w:titlePg/>
          <w:docGrid w:linePitch="312" w:charSpace="0"/>
        </w:sectPr>
      </w:pPr>
    </w:p>
    <w:sdt>
      <w:sdtPr>
        <w:rPr>
          <w:rFonts w:hint="eastAsia" w:ascii="仿宋" w:hAnsi="仿宋" w:eastAsia="仿宋" w:cs="仿宋"/>
          <w:b/>
          <w:bCs/>
          <w:color w:val="auto"/>
          <w:sz w:val="36"/>
          <w:szCs w:val="36"/>
          <w:highlight w:val="none"/>
          <w:lang w:val="en-US" w:eastAsia="zh-CN"/>
        </w:rPr>
        <w:id w:val="147469162"/>
        <w15:color w:val="DBDBDB"/>
        <w:docPartObj>
          <w:docPartGallery w:val="Table of Contents"/>
          <w:docPartUnique/>
        </w:docPartObj>
      </w:sdtPr>
      <w:sdtEndPr>
        <w:rPr>
          <w:rFonts w:hint="eastAsia" w:ascii="仿宋" w:hAnsi="仿宋" w:eastAsia="仿宋" w:cs="Times New Roman"/>
          <w:b/>
          <w:bCs/>
          <w:color w:val="auto"/>
          <w:kern w:val="2"/>
          <w:sz w:val="18"/>
          <w:szCs w:val="18"/>
          <w:highlight w:val="none"/>
          <w:lang w:val="en-US" w:eastAsia="zh-CN" w:bidi="ar-SA"/>
        </w:rPr>
      </w:sdtEndPr>
      <w:sdtContent>
        <w:p w14:paraId="42AAA077">
          <w:pPr>
            <w:pageBreakBefore w:val="0"/>
            <w:widowControl w:val="0"/>
            <w:kinsoku/>
            <w:wordWrap/>
            <w:overflowPunct/>
            <w:topLinePunct w:val="0"/>
            <w:bidi w:val="0"/>
            <w:snapToGrid/>
            <w:spacing w:before="0" w:beforeLines="0" w:after="0" w:afterLines="0" w:line="360" w:lineRule="auto"/>
            <w:ind w:left="0" w:leftChars="0" w:right="0" w:rightChars="0" w:firstLine="0" w:firstLineChars="0"/>
            <w:jc w:val="center"/>
            <w:rPr>
              <w:rFonts w:hint="eastAsia" w:ascii="仿宋" w:hAnsi="仿宋" w:eastAsia="仿宋" w:cs="仿宋"/>
              <w:b/>
              <w:bCs/>
              <w:color w:val="auto"/>
              <w:sz w:val="36"/>
              <w:szCs w:val="36"/>
              <w:highlight w:val="none"/>
            </w:rPr>
          </w:pPr>
          <w:bookmarkStart w:id="0" w:name="_Toc24584"/>
          <w:bookmarkStart w:id="1" w:name="_Toc6066"/>
          <w:r>
            <w:rPr>
              <w:rFonts w:hint="eastAsia" w:ascii="仿宋" w:hAnsi="仿宋" w:eastAsia="仿宋" w:cs="仿宋"/>
              <w:b/>
              <w:bCs/>
              <w:color w:val="auto"/>
              <w:sz w:val="36"/>
              <w:szCs w:val="36"/>
              <w:highlight w:val="none"/>
            </w:rPr>
            <w:t>目</w:t>
          </w:r>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b/>
              <w:bCs/>
              <w:color w:val="auto"/>
              <w:sz w:val="36"/>
              <w:szCs w:val="36"/>
              <w:highlight w:val="none"/>
            </w:rPr>
            <w:t>录</w:t>
          </w:r>
        </w:p>
        <w:p w14:paraId="4B1B2081">
          <w:pPr>
            <w:pStyle w:val="24"/>
            <w:tabs>
              <w:tab w:val="right" w:leader="dot" w:pos="9639"/>
            </w:tabs>
            <w:rPr>
              <w:color w:val="auto"/>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TOC \o "1-2" \h \u </w:instrText>
          </w:r>
          <w:r>
            <w:rPr>
              <w:rFonts w:hint="eastAsia" w:ascii="仿宋" w:hAnsi="仿宋" w:eastAsia="仿宋" w:cs="仿宋"/>
              <w:color w:val="auto"/>
              <w:sz w:val="24"/>
              <w:szCs w:val="24"/>
            </w:rPr>
            <w:fldChar w:fldCharType="separate"/>
          </w: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_Toc25569 </w:instrText>
          </w:r>
          <w:r>
            <w:rPr>
              <w:rFonts w:hint="eastAsia" w:ascii="仿宋" w:hAnsi="仿宋" w:eastAsia="仿宋" w:cs="仿宋"/>
              <w:color w:val="auto"/>
              <w:szCs w:val="24"/>
            </w:rPr>
            <w:fldChar w:fldCharType="separate"/>
          </w:r>
          <w:r>
            <w:rPr>
              <w:rFonts w:hint="eastAsia" w:ascii="仿宋" w:hAnsi="仿宋" w:eastAsia="仿宋"/>
              <w:bCs/>
              <w:color w:val="auto"/>
              <w:szCs w:val="36"/>
            </w:rPr>
            <w:t>第一章  投标邀请</w:t>
          </w:r>
          <w:r>
            <w:rPr>
              <w:color w:val="auto"/>
            </w:rPr>
            <w:tab/>
          </w:r>
          <w:r>
            <w:rPr>
              <w:color w:val="auto"/>
            </w:rPr>
            <w:fldChar w:fldCharType="begin"/>
          </w:r>
          <w:r>
            <w:rPr>
              <w:color w:val="auto"/>
            </w:rPr>
            <w:instrText xml:space="preserve"> PAGEREF _Toc25569 \h </w:instrText>
          </w:r>
          <w:r>
            <w:rPr>
              <w:color w:val="auto"/>
            </w:rPr>
            <w:fldChar w:fldCharType="separate"/>
          </w:r>
          <w:r>
            <w:rPr>
              <w:color w:val="auto"/>
            </w:rPr>
            <w:t>1</w:t>
          </w:r>
          <w:r>
            <w:rPr>
              <w:color w:val="auto"/>
            </w:rPr>
            <w:fldChar w:fldCharType="end"/>
          </w:r>
          <w:r>
            <w:rPr>
              <w:rFonts w:hint="eastAsia" w:ascii="仿宋" w:hAnsi="仿宋" w:eastAsia="仿宋" w:cs="仿宋"/>
              <w:color w:val="auto"/>
              <w:szCs w:val="24"/>
            </w:rPr>
            <w:fldChar w:fldCharType="end"/>
          </w:r>
        </w:p>
        <w:p w14:paraId="77EFF310">
          <w:pPr>
            <w:pStyle w:val="24"/>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_Toc6025 </w:instrText>
          </w:r>
          <w:r>
            <w:rPr>
              <w:rFonts w:hint="eastAsia" w:ascii="仿宋" w:hAnsi="仿宋" w:eastAsia="仿宋" w:cs="仿宋"/>
              <w:color w:val="auto"/>
              <w:szCs w:val="24"/>
            </w:rPr>
            <w:fldChar w:fldCharType="separate"/>
          </w:r>
          <w:r>
            <w:rPr>
              <w:rFonts w:hint="eastAsia" w:ascii="仿宋" w:hAnsi="仿宋" w:eastAsia="仿宋" w:cs="Times New Roman"/>
              <w:bCs/>
              <w:color w:val="auto"/>
              <w:szCs w:val="36"/>
            </w:rPr>
            <w:t>第二章  投标人须知</w:t>
          </w:r>
          <w:r>
            <w:rPr>
              <w:color w:val="auto"/>
            </w:rPr>
            <w:tab/>
          </w:r>
          <w:r>
            <w:rPr>
              <w:color w:val="auto"/>
            </w:rPr>
            <w:fldChar w:fldCharType="begin"/>
          </w:r>
          <w:r>
            <w:rPr>
              <w:color w:val="auto"/>
            </w:rPr>
            <w:instrText xml:space="preserve"> PAGEREF _Toc6025 \h </w:instrText>
          </w:r>
          <w:r>
            <w:rPr>
              <w:color w:val="auto"/>
            </w:rPr>
            <w:fldChar w:fldCharType="separate"/>
          </w:r>
          <w:r>
            <w:rPr>
              <w:color w:val="auto"/>
            </w:rPr>
            <w:t>3</w:t>
          </w:r>
          <w:r>
            <w:rPr>
              <w:color w:val="auto"/>
            </w:rPr>
            <w:fldChar w:fldCharType="end"/>
          </w:r>
          <w:r>
            <w:rPr>
              <w:rFonts w:hint="eastAsia" w:ascii="仿宋" w:hAnsi="仿宋" w:eastAsia="仿宋" w:cs="仿宋"/>
              <w:color w:val="auto"/>
              <w:szCs w:val="24"/>
            </w:rPr>
            <w:fldChar w:fldCharType="end"/>
          </w:r>
        </w:p>
        <w:p w14:paraId="61093B42">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_Toc24685 </w:instrText>
          </w:r>
          <w:r>
            <w:rPr>
              <w:rFonts w:hint="eastAsia" w:ascii="仿宋" w:hAnsi="仿宋" w:eastAsia="仿宋" w:cs="仿宋"/>
              <w:color w:val="auto"/>
              <w:szCs w:val="24"/>
            </w:rPr>
            <w:fldChar w:fldCharType="separate"/>
          </w:r>
          <w:r>
            <w:rPr>
              <w:rFonts w:hint="eastAsia" w:ascii="仿宋" w:hAnsi="仿宋" w:eastAsia="仿宋" w:cs="仿宋"/>
              <w:bCs/>
              <w:color w:val="auto"/>
              <w:highlight w:val="none"/>
            </w:rPr>
            <w:t>一、投标人须知附表</w:t>
          </w:r>
          <w:r>
            <w:rPr>
              <w:color w:val="auto"/>
            </w:rPr>
            <w:tab/>
          </w:r>
          <w:r>
            <w:rPr>
              <w:color w:val="auto"/>
            </w:rPr>
            <w:fldChar w:fldCharType="begin"/>
          </w:r>
          <w:r>
            <w:rPr>
              <w:color w:val="auto"/>
            </w:rPr>
            <w:instrText xml:space="preserve"> PAGEREF _Toc24685 \h </w:instrText>
          </w:r>
          <w:r>
            <w:rPr>
              <w:color w:val="auto"/>
            </w:rPr>
            <w:fldChar w:fldCharType="separate"/>
          </w:r>
          <w:r>
            <w:rPr>
              <w:color w:val="auto"/>
            </w:rPr>
            <w:t>3</w:t>
          </w:r>
          <w:r>
            <w:rPr>
              <w:color w:val="auto"/>
            </w:rPr>
            <w:fldChar w:fldCharType="end"/>
          </w:r>
          <w:r>
            <w:rPr>
              <w:rFonts w:hint="eastAsia" w:ascii="仿宋" w:hAnsi="仿宋" w:eastAsia="仿宋" w:cs="仿宋"/>
              <w:color w:val="auto"/>
              <w:szCs w:val="24"/>
            </w:rPr>
            <w:fldChar w:fldCharType="end"/>
          </w:r>
        </w:p>
        <w:p w14:paraId="297A89FE">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_Toc32351 </w:instrText>
          </w:r>
          <w:r>
            <w:rPr>
              <w:rFonts w:hint="eastAsia" w:ascii="仿宋" w:hAnsi="仿宋" w:eastAsia="仿宋" w:cs="仿宋"/>
              <w:color w:val="auto"/>
              <w:szCs w:val="24"/>
            </w:rPr>
            <w:fldChar w:fldCharType="separate"/>
          </w:r>
          <w:r>
            <w:rPr>
              <w:rFonts w:hint="eastAsia" w:ascii="仿宋" w:hAnsi="仿宋" w:eastAsia="仿宋" w:cs="仿宋"/>
              <w:bCs/>
              <w:color w:val="auto"/>
              <w:highlight w:val="none"/>
            </w:rPr>
            <w:t>二、总  则</w:t>
          </w:r>
          <w:r>
            <w:rPr>
              <w:color w:val="auto"/>
            </w:rPr>
            <w:tab/>
          </w:r>
          <w:r>
            <w:rPr>
              <w:color w:val="auto"/>
            </w:rPr>
            <w:fldChar w:fldCharType="begin"/>
          </w:r>
          <w:r>
            <w:rPr>
              <w:color w:val="auto"/>
            </w:rPr>
            <w:instrText xml:space="preserve"> PAGEREF _Toc32351 \h </w:instrText>
          </w:r>
          <w:r>
            <w:rPr>
              <w:color w:val="auto"/>
            </w:rPr>
            <w:fldChar w:fldCharType="separate"/>
          </w:r>
          <w:r>
            <w:rPr>
              <w:color w:val="auto"/>
            </w:rPr>
            <w:t>6</w:t>
          </w:r>
          <w:r>
            <w:rPr>
              <w:color w:val="auto"/>
            </w:rPr>
            <w:fldChar w:fldCharType="end"/>
          </w:r>
          <w:r>
            <w:rPr>
              <w:rFonts w:hint="eastAsia" w:ascii="仿宋" w:hAnsi="仿宋" w:eastAsia="仿宋" w:cs="仿宋"/>
              <w:color w:val="auto"/>
              <w:szCs w:val="24"/>
            </w:rPr>
            <w:fldChar w:fldCharType="end"/>
          </w:r>
        </w:p>
        <w:p w14:paraId="44D60FDB">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_Toc3614 </w:instrText>
          </w:r>
          <w:r>
            <w:rPr>
              <w:rFonts w:hint="eastAsia" w:ascii="仿宋" w:hAnsi="仿宋" w:eastAsia="仿宋" w:cs="仿宋"/>
              <w:color w:val="auto"/>
              <w:szCs w:val="24"/>
            </w:rPr>
            <w:fldChar w:fldCharType="separate"/>
          </w:r>
          <w:r>
            <w:rPr>
              <w:rFonts w:hint="eastAsia" w:ascii="仿宋" w:hAnsi="仿宋" w:eastAsia="仿宋" w:cs="仿宋"/>
              <w:bCs/>
              <w:color w:val="auto"/>
              <w:highlight w:val="none"/>
            </w:rPr>
            <w:t>三、招标文件</w:t>
          </w:r>
          <w:r>
            <w:rPr>
              <w:color w:val="auto"/>
            </w:rPr>
            <w:tab/>
          </w:r>
          <w:r>
            <w:rPr>
              <w:color w:val="auto"/>
            </w:rPr>
            <w:fldChar w:fldCharType="begin"/>
          </w:r>
          <w:r>
            <w:rPr>
              <w:color w:val="auto"/>
            </w:rPr>
            <w:instrText xml:space="preserve"> PAGEREF _Toc3614 \h </w:instrText>
          </w:r>
          <w:r>
            <w:rPr>
              <w:color w:val="auto"/>
            </w:rPr>
            <w:fldChar w:fldCharType="separate"/>
          </w:r>
          <w:r>
            <w:rPr>
              <w:color w:val="auto"/>
            </w:rPr>
            <w:t>6</w:t>
          </w:r>
          <w:r>
            <w:rPr>
              <w:color w:val="auto"/>
            </w:rPr>
            <w:fldChar w:fldCharType="end"/>
          </w:r>
          <w:r>
            <w:rPr>
              <w:rFonts w:hint="eastAsia" w:ascii="仿宋" w:hAnsi="仿宋" w:eastAsia="仿宋" w:cs="仿宋"/>
              <w:color w:val="auto"/>
              <w:szCs w:val="24"/>
            </w:rPr>
            <w:fldChar w:fldCharType="end"/>
          </w:r>
        </w:p>
        <w:p w14:paraId="2B199629">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_Toc26576 </w:instrText>
          </w:r>
          <w:r>
            <w:rPr>
              <w:rFonts w:hint="eastAsia" w:ascii="仿宋" w:hAnsi="仿宋" w:eastAsia="仿宋" w:cs="仿宋"/>
              <w:color w:val="auto"/>
              <w:szCs w:val="24"/>
            </w:rPr>
            <w:fldChar w:fldCharType="separate"/>
          </w:r>
          <w:r>
            <w:rPr>
              <w:rFonts w:hint="eastAsia" w:ascii="仿宋" w:hAnsi="仿宋" w:eastAsia="仿宋" w:cs="仿宋"/>
              <w:bCs/>
              <w:color w:val="auto"/>
              <w:highlight w:val="none"/>
            </w:rPr>
            <w:t>四、投标文件</w:t>
          </w:r>
          <w:r>
            <w:rPr>
              <w:color w:val="auto"/>
            </w:rPr>
            <w:tab/>
          </w:r>
          <w:r>
            <w:rPr>
              <w:color w:val="auto"/>
            </w:rPr>
            <w:fldChar w:fldCharType="begin"/>
          </w:r>
          <w:r>
            <w:rPr>
              <w:color w:val="auto"/>
            </w:rPr>
            <w:instrText xml:space="preserve"> PAGEREF _Toc26576 \h </w:instrText>
          </w:r>
          <w:r>
            <w:rPr>
              <w:color w:val="auto"/>
            </w:rPr>
            <w:fldChar w:fldCharType="separate"/>
          </w:r>
          <w:r>
            <w:rPr>
              <w:color w:val="auto"/>
            </w:rPr>
            <w:t>7</w:t>
          </w:r>
          <w:r>
            <w:rPr>
              <w:color w:val="auto"/>
            </w:rPr>
            <w:fldChar w:fldCharType="end"/>
          </w:r>
          <w:r>
            <w:rPr>
              <w:rFonts w:hint="eastAsia" w:ascii="仿宋" w:hAnsi="仿宋" w:eastAsia="仿宋" w:cs="仿宋"/>
              <w:color w:val="auto"/>
              <w:szCs w:val="24"/>
            </w:rPr>
            <w:fldChar w:fldCharType="end"/>
          </w:r>
        </w:p>
        <w:p w14:paraId="5BF8A4DA">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_Toc11997 </w:instrText>
          </w:r>
          <w:r>
            <w:rPr>
              <w:rFonts w:hint="eastAsia" w:ascii="仿宋" w:hAnsi="仿宋" w:eastAsia="仿宋" w:cs="仿宋"/>
              <w:color w:val="auto"/>
              <w:szCs w:val="24"/>
            </w:rPr>
            <w:fldChar w:fldCharType="separate"/>
          </w:r>
          <w:r>
            <w:rPr>
              <w:rFonts w:hint="eastAsia" w:ascii="仿宋" w:hAnsi="仿宋" w:eastAsia="仿宋" w:cs="仿宋"/>
              <w:bCs/>
              <w:color w:val="auto"/>
              <w:highlight w:val="none"/>
            </w:rPr>
            <w:t>五、开标和中标</w:t>
          </w:r>
          <w:r>
            <w:rPr>
              <w:color w:val="auto"/>
            </w:rPr>
            <w:tab/>
          </w:r>
          <w:r>
            <w:rPr>
              <w:color w:val="auto"/>
            </w:rPr>
            <w:fldChar w:fldCharType="begin"/>
          </w:r>
          <w:r>
            <w:rPr>
              <w:color w:val="auto"/>
            </w:rPr>
            <w:instrText xml:space="preserve"> PAGEREF _Toc11997 \h </w:instrText>
          </w:r>
          <w:r>
            <w:rPr>
              <w:color w:val="auto"/>
            </w:rPr>
            <w:fldChar w:fldCharType="separate"/>
          </w:r>
          <w:r>
            <w:rPr>
              <w:color w:val="auto"/>
            </w:rPr>
            <w:t>11</w:t>
          </w:r>
          <w:r>
            <w:rPr>
              <w:color w:val="auto"/>
            </w:rPr>
            <w:fldChar w:fldCharType="end"/>
          </w:r>
          <w:r>
            <w:rPr>
              <w:rFonts w:hint="eastAsia" w:ascii="仿宋" w:hAnsi="仿宋" w:eastAsia="仿宋" w:cs="仿宋"/>
              <w:color w:val="auto"/>
              <w:szCs w:val="24"/>
            </w:rPr>
            <w:fldChar w:fldCharType="end"/>
          </w:r>
        </w:p>
        <w:p w14:paraId="357A29AB">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_Toc20603 </w:instrText>
          </w:r>
          <w:r>
            <w:rPr>
              <w:rFonts w:hint="eastAsia" w:ascii="仿宋" w:hAnsi="仿宋" w:eastAsia="仿宋" w:cs="仿宋"/>
              <w:color w:val="auto"/>
              <w:szCs w:val="24"/>
            </w:rPr>
            <w:fldChar w:fldCharType="separate"/>
          </w:r>
          <w:r>
            <w:rPr>
              <w:rFonts w:hint="eastAsia" w:ascii="仿宋" w:hAnsi="仿宋" w:eastAsia="仿宋" w:cs="仿宋"/>
              <w:bCs/>
              <w:color w:val="auto"/>
              <w:highlight w:val="none"/>
            </w:rPr>
            <w:t>六、签订及履行合同和验收</w:t>
          </w:r>
          <w:r>
            <w:rPr>
              <w:color w:val="auto"/>
            </w:rPr>
            <w:tab/>
          </w:r>
          <w:r>
            <w:rPr>
              <w:color w:val="auto"/>
            </w:rPr>
            <w:fldChar w:fldCharType="begin"/>
          </w:r>
          <w:r>
            <w:rPr>
              <w:color w:val="auto"/>
            </w:rPr>
            <w:instrText xml:space="preserve"> PAGEREF _Toc20603 \h </w:instrText>
          </w:r>
          <w:r>
            <w:rPr>
              <w:color w:val="auto"/>
            </w:rPr>
            <w:fldChar w:fldCharType="separate"/>
          </w:r>
          <w:r>
            <w:rPr>
              <w:color w:val="auto"/>
            </w:rPr>
            <w:t>14</w:t>
          </w:r>
          <w:r>
            <w:rPr>
              <w:color w:val="auto"/>
            </w:rPr>
            <w:fldChar w:fldCharType="end"/>
          </w:r>
          <w:r>
            <w:rPr>
              <w:rFonts w:hint="eastAsia" w:ascii="仿宋" w:hAnsi="仿宋" w:eastAsia="仿宋" w:cs="仿宋"/>
              <w:color w:val="auto"/>
              <w:szCs w:val="24"/>
            </w:rPr>
            <w:fldChar w:fldCharType="end"/>
          </w:r>
        </w:p>
        <w:p w14:paraId="2AA1A9BE">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_Toc28095 </w:instrText>
          </w:r>
          <w:r>
            <w:rPr>
              <w:rFonts w:hint="eastAsia" w:ascii="仿宋" w:hAnsi="仿宋" w:eastAsia="仿宋" w:cs="仿宋"/>
              <w:color w:val="auto"/>
              <w:szCs w:val="24"/>
            </w:rPr>
            <w:fldChar w:fldCharType="separate"/>
          </w:r>
          <w:r>
            <w:rPr>
              <w:rFonts w:hint="eastAsia" w:ascii="仿宋" w:hAnsi="仿宋" w:eastAsia="仿宋" w:cs="仿宋"/>
              <w:bCs/>
              <w:color w:val="auto"/>
              <w:highlight w:val="none"/>
            </w:rPr>
            <w:t>七、投标纪律要求</w:t>
          </w:r>
          <w:r>
            <w:rPr>
              <w:color w:val="auto"/>
            </w:rPr>
            <w:tab/>
          </w:r>
          <w:r>
            <w:rPr>
              <w:color w:val="auto"/>
            </w:rPr>
            <w:fldChar w:fldCharType="begin"/>
          </w:r>
          <w:r>
            <w:rPr>
              <w:color w:val="auto"/>
            </w:rPr>
            <w:instrText xml:space="preserve"> PAGEREF _Toc28095 \h </w:instrText>
          </w:r>
          <w:r>
            <w:rPr>
              <w:color w:val="auto"/>
            </w:rPr>
            <w:fldChar w:fldCharType="separate"/>
          </w:r>
          <w:r>
            <w:rPr>
              <w:color w:val="auto"/>
            </w:rPr>
            <w:t>15</w:t>
          </w:r>
          <w:r>
            <w:rPr>
              <w:color w:val="auto"/>
            </w:rPr>
            <w:fldChar w:fldCharType="end"/>
          </w:r>
          <w:r>
            <w:rPr>
              <w:rFonts w:hint="eastAsia" w:ascii="仿宋" w:hAnsi="仿宋" w:eastAsia="仿宋" w:cs="仿宋"/>
              <w:color w:val="auto"/>
              <w:szCs w:val="24"/>
            </w:rPr>
            <w:fldChar w:fldCharType="end"/>
          </w:r>
        </w:p>
        <w:p w14:paraId="08DACD1F">
          <w:pPr>
            <w:pStyle w:val="24"/>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_Toc7248 </w:instrText>
          </w:r>
          <w:r>
            <w:rPr>
              <w:rFonts w:hint="eastAsia" w:ascii="仿宋" w:hAnsi="仿宋" w:eastAsia="仿宋" w:cs="仿宋"/>
              <w:color w:val="auto"/>
              <w:szCs w:val="24"/>
            </w:rPr>
            <w:fldChar w:fldCharType="separate"/>
          </w:r>
          <w:r>
            <w:rPr>
              <w:rFonts w:hint="eastAsia" w:ascii="仿宋" w:hAnsi="仿宋" w:eastAsia="仿宋" w:cs="Times New Roman"/>
              <w:bCs/>
              <w:color w:val="auto"/>
              <w:szCs w:val="36"/>
            </w:rPr>
            <w:t>第三章  投标文件格式</w:t>
          </w:r>
          <w:r>
            <w:rPr>
              <w:color w:val="auto"/>
            </w:rPr>
            <w:tab/>
          </w:r>
          <w:r>
            <w:rPr>
              <w:color w:val="auto"/>
            </w:rPr>
            <w:fldChar w:fldCharType="begin"/>
          </w:r>
          <w:r>
            <w:rPr>
              <w:color w:val="auto"/>
            </w:rPr>
            <w:instrText xml:space="preserve"> PAGEREF _Toc7248 \h </w:instrText>
          </w:r>
          <w:r>
            <w:rPr>
              <w:color w:val="auto"/>
            </w:rPr>
            <w:fldChar w:fldCharType="separate"/>
          </w:r>
          <w:r>
            <w:rPr>
              <w:color w:val="auto"/>
            </w:rPr>
            <w:t>17</w:t>
          </w:r>
          <w:r>
            <w:rPr>
              <w:color w:val="auto"/>
            </w:rPr>
            <w:fldChar w:fldCharType="end"/>
          </w:r>
          <w:r>
            <w:rPr>
              <w:rFonts w:hint="eastAsia" w:ascii="仿宋" w:hAnsi="仿宋" w:eastAsia="仿宋" w:cs="仿宋"/>
              <w:color w:val="auto"/>
              <w:szCs w:val="24"/>
            </w:rPr>
            <w:fldChar w:fldCharType="end"/>
          </w:r>
        </w:p>
        <w:p w14:paraId="1561C0AB">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_Toc6003 </w:instrText>
          </w:r>
          <w:r>
            <w:rPr>
              <w:rFonts w:hint="eastAsia" w:ascii="仿宋" w:hAnsi="仿宋" w:eastAsia="仿宋" w:cs="仿宋"/>
              <w:color w:val="auto"/>
              <w:szCs w:val="24"/>
            </w:rPr>
            <w:fldChar w:fldCharType="separate"/>
          </w:r>
          <w:r>
            <w:rPr>
              <w:rFonts w:hint="eastAsia" w:ascii="仿宋" w:hAnsi="仿宋" w:eastAsia="仿宋" w:cs="仿宋"/>
              <w:bCs/>
              <w:color w:val="auto"/>
              <w:szCs w:val="30"/>
              <w:highlight w:val="none"/>
              <w:lang w:val="en-US" w:eastAsia="zh-CN"/>
            </w:rPr>
            <w:t>格式1</w:t>
          </w:r>
          <w:r>
            <w:rPr>
              <w:rFonts w:hint="eastAsia" w:ascii="仿宋" w:hAnsi="仿宋" w:eastAsia="仿宋" w:cs="仿宋"/>
              <w:bCs/>
              <w:color w:val="auto"/>
              <w:szCs w:val="30"/>
              <w:highlight w:val="none"/>
            </w:rPr>
            <w:t>封面格式</w:t>
          </w:r>
          <w:r>
            <w:rPr>
              <w:color w:val="auto"/>
            </w:rPr>
            <w:tab/>
          </w:r>
          <w:r>
            <w:rPr>
              <w:color w:val="auto"/>
            </w:rPr>
            <w:fldChar w:fldCharType="begin"/>
          </w:r>
          <w:r>
            <w:rPr>
              <w:color w:val="auto"/>
            </w:rPr>
            <w:instrText xml:space="preserve"> PAGEREF _Toc6003 \h </w:instrText>
          </w:r>
          <w:r>
            <w:rPr>
              <w:color w:val="auto"/>
            </w:rPr>
            <w:fldChar w:fldCharType="separate"/>
          </w:r>
          <w:r>
            <w:rPr>
              <w:color w:val="auto"/>
            </w:rPr>
            <w:t>18</w:t>
          </w:r>
          <w:r>
            <w:rPr>
              <w:color w:val="auto"/>
            </w:rPr>
            <w:fldChar w:fldCharType="end"/>
          </w:r>
          <w:r>
            <w:rPr>
              <w:rFonts w:hint="eastAsia" w:ascii="仿宋" w:hAnsi="仿宋" w:eastAsia="仿宋" w:cs="仿宋"/>
              <w:color w:val="auto"/>
              <w:szCs w:val="24"/>
            </w:rPr>
            <w:fldChar w:fldCharType="end"/>
          </w:r>
        </w:p>
        <w:p w14:paraId="6D21A425">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_Toc950 </w:instrText>
          </w:r>
          <w:r>
            <w:rPr>
              <w:rFonts w:hint="eastAsia" w:ascii="仿宋" w:hAnsi="仿宋" w:eastAsia="仿宋" w:cs="仿宋"/>
              <w:color w:val="auto"/>
              <w:szCs w:val="24"/>
            </w:rPr>
            <w:fldChar w:fldCharType="separate"/>
          </w:r>
          <w:r>
            <w:rPr>
              <w:rFonts w:hint="eastAsia" w:ascii="仿宋" w:hAnsi="仿宋" w:eastAsia="仿宋" w:cs="仿宋"/>
              <w:bCs/>
              <w:color w:val="auto"/>
              <w:szCs w:val="30"/>
              <w:highlight w:val="none"/>
              <w:lang w:val="en-US" w:eastAsia="zh-CN"/>
            </w:rPr>
            <w:t>格式2具有独立承担民事责任的能力</w:t>
          </w:r>
          <w:r>
            <w:rPr>
              <w:color w:val="auto"/>
            </w:rPr>
            <w:tab/>
          </w:r>
          <w:r>
            <w:rPr>
              <w:color w:val="auto"/>
            </w:rPr>
            <w:fldChar w:fldCharType="begin"/>
          </w:r>
          <w:r>
            <w:rPr>
              <w:color w:val="auto"/>
            </w:rPr>
            <w:instrText xml:space="preserve"> PAGEREF _Toc950 \h </w:instrText>
          </w:r>
          <w:r>
            <w:rPr>
              <w:color w:val="auto"/>
            </w:rPr>
            <w:fldChar w:fldCharType="separate"/>
          </w:r>
          <w:r>
            <w:rPr>
              <w:color w:val="auto"/>
            </w:rPr>
            <w:t>19</w:t>
          </w:r>
          <w:r>
            <w:rPr>
              <w:color w:val="auto"/>
            </w:rPr>
            <w:fldChar w:fldCharType="end"/>
          </w:r>
          <w:r>
            <w:rPr>
              <w:rFonts w:hint="eastAsia" w:ascii="仿宋" w:hAnsi="仿宋" w:eastAsia="仿宋" w:cs="仿宋"/>
              <w:color w:val="auto"/>
              <w:szCs w:val="24"/>
            </w:rPr>
            <w:fldChar w:fldCharType="end"/>
          </w:r>
        </w:p>
        <w:p w14:paraId="029ADF3D">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_Toc3930 </w:instrText>
          </w:r>
          <w:r>
            <w:rPr>
              <w:rFonts w:hint="eastAsia" w:ascii="仿宋" w:hAnsi="仿宋" w:eastAsia="仿宋" w:cs="仿宋"/>
              <w:color w:val="auto"/>
              <w:szCs w:val="24"/>
            </w:rPr>
            <w:fldChar w:fldCharType="separate"/>
          </w:r>
          <w:r>
            <w:rPr>
              <w:rFonts w:hint="eastAsia" w:ascii="仿宋" w:hAnsi="仿宋" w:eastAsia="仿宋" w:cs="仿宋"/>
              <w:bCs/>
              <w:color w:val="auto"/>
              <w:szCs w:val="30"/>
              <w:highlight w:val="none"/>
              <w:lang w:val="en-US" w:eastAsia="zh-CN"/>
            </w:rPr>
            <w:t>格式3具有良好的商业信誉和健全的财务会计制度</w:t>
          </w:r>
          <w:r>
            <w:rPr>
              <w:color w:val="auto"/>
            </w:rPr>
            <w:tab/>
          </w:r>
          <w:r>
            <w:rPr>
              <w:color w:val="auto"/>
            </w:rPr>
            <w:fldChar w:fldCharType="begin"/>
          </w:r>
          <w:r>
            <w:rPr>
              <w:color w:val="auto"/>
            </w:rPr>
            <w:instrText xml:space="preserve"> PAGEREF _Toc3930 \h </w:instrText>
          </w:r>
          <w:r>
            <w:rPr>
              <w:color w:val="auto"/>
            </w:rPr>
            <w:fldChar w:fldCharType="separate"/>
          </w:r>
          <w:r>
            <w:rPr>
              <w:color w:val="auto"/>
            </w:rPr>
            <w:t>20</w:t>
          </w:r>
          <w:r>
            <w:rPr>
              <w:color w:val="auto"/>
            </w:rPr>
            <w:fldChar w:fldCharType="end"/>
          </w:r>
          <w:r>
            <w:rPr>
              <w:rFonts w:hint="eastAsia" w:ascii="仿宋" w:hAnsi="仿宋" w:eastAsia="仿宋" w:cs="仿宋"/>
              <w:color w:val="auto"/>
              <w:szCs w:val="24"/>
            </w:rPr>
            <w:fldChar w:fldCharType="end"/>
          </w:r>
        </w:p>
        <w:p w14:paraId="37477423">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_Toc32470 </w:instrText>
          </w:r>
          <w:r>
            <w:rPr>
              <w:rFonts w:hint="eastAsia" w:ascii="仿宋" w:hAnsi="仿宋" w:eastAsia="仿宋" w:cs="仿宋"/>
              <w:color w:val="auto"/>
              <w:szCs w:val="24"/>
            </w:rPr>
            <w:fldChar w:fldCharType="separate"/>
          </w:r>
          <w:r>
            <w:rPr>
              <w:rFonts w:hint="eastAsia" w:ascii="仿宋" w:hAnsi="仿宋" w:eastAsia="仿宋" w:cs="仿宋"/>
              <w:bCs/>
              <w:color w:val="auto"/>
              <w:szCs w:val="30"/>
              <w:highlight w:val="none"/>
              <w:lang w:val="en-US" w:eastAsia="zh-CN"/>
            </w:rPr>
            <w:t>格式4具有履行合同所必需的设备和专业技术能力</w:t>
          </w:r>
          <w:r>
            <w:rPr>
              <w:color w:val="auto"/>
            </w:rPr>
            <w:tab/>
          </w:r>
          <w:r>
            <w:rPr>
              <w:color w:val="auto"/>
            </w:rPr>
            <w:fldChar w:fldCharType="begin"/>
          </w:r>
          <w:r>
            <w:rPr>
              <w:color w:val="auto"/>
            </w:rPr>
            <w:instrText xml:space="preserve"> PAGEREF _Toc32470 \h </w:instrText>
          </w:r>
          <w:r>
            <w:rPr>
              <w:color w:val="auto"/>
            </w:rPr>
            <w:fldChar w:fldCharType="separate"/>
          </w:r>
          <w:r>
            <w:rPr>
              <w:color w:val="auto"/>
            </w:rPr>
            <w:t>21</w:t>
          </w:r>
          <w:r>
            <w:rPr>
              <w:color w:val="auto"/>
            </w:rPr>
            <w:fldChar w:fldCharType="end"/>
          </w:r>
          <w:r>
            <w:rPr>
              <w:rFonts w:hint="eastAsia" w:ascii="仿宋" w:hAnsi="仿宋" w:eastAsia="仿宋" w:cs="仿宋"/>
              <w:color w:val="auto"/>
              <w:szCs w:val="24"/>
            </w:rPr>
            <w:fldChar w:fldCharType="end"/>
          </w:r>
        </w:p>
        <w:p w14:paraId="6C9737E6">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_Toc11801 </w:instrText>
          </w:r>
          <w:r>
            <w:rPr>
              <w:rFonts w:hint="eastAsia" w:ascii="仿宋" w:hAnsi="仿宋" w:eastAsia="仿宋" w:cs="仿宋"/>
              <w:color w:val="auto"/>
              <w:szCs w:val="24"/>
            </w:rPr>
            <w:fldChar w:fldCharType="separate"/>
          </w:r>
          <w:r>
            <w:rPr>
              <w:rFonts w:hint="eastAsia" w:ascii="仿宋" w:hAnsi="仿宋" w:eastAsia="仿宋" w:cs="仿宋"/>
              <w:bCs/>
              <w:color w:val="auto"/>
              <w:szCs w:val="30"/>
              <w:highlight w:val="none"/>
              <w:lang w:val="en-US" w:eastAsia="zh-CN"/>
            </w:rPr>
            <w:t>格式5具有依法缴纳税收和社会保障资金的良好记录</w:t>
          </w:r>
          <w:r>
            <w:rPr>
              <w:color w:val="auto"/>
            </w:rPr>
            <w:tab/>
          </w:r>
          <w:r>
            <w:rPr>
              <w:color w:val="auto"/>
            </w:rPr>
            <w:fldChar w:fldCharType="begin"/>
          </w:r>
          <w:r>
            <w:rPr>
              <w:color w:val="auto"/>
            </w:rPr>
            <w:instrText xml:space="preserve"> PAGEREF _Toc11801 \h </w:instrText>
          </w:r>
          <w:r>
            <w:rPr>
              <w:color w:val="auto"/>
            </w:rPr>
            <w:fldChar w:fldCharType="separate"/>
          </w:r>
          <w:r>
            <w:rPr>
              <w:color w:val="auto"/>
            </w:rPr>
            <w:t>22</w:t>
          </w:r>
          <w:r>
            <w:rPr>
              <w:color w:val="auto"/>
            </w:rPr>
            <w:fldChar w:fldCharType="end"/>
          </w:r>
          <w:r>
            <w:rPr>
              <w:rFonts w:hint="eastAsia" w:ascii="仿宋" w:hAnsi="仿宋" w:eastAsia="仿宋" w:cs="仿宋"/>
              <w:color w:val="auto"/>
              <w:szCs w:val="24"/>
            </w:rPr>
            <w:fldChar w:fldCharType="end"/>
          </w:r>
        </w:p>
        <w:p w14:paraId="7CE7AFCB">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_Toc18525 </w:instrText>
          </w:r>
          <w:r>
            <w:rPr>
              <w:rFonts w:hint="eastAsia" w:ascii="仿宋" w:hAnsi="仿宋" w:eastAsia="仿宋" w:cs="仿宋"/>
              <w:color w:val="auto"/>
              <w:szCs w:val="24"/>
            </w:rPr>
            <w:fldChar w:fldCharType="separate"/>
          </w:r>
          <w:r>
            <w:rPr>
              <w:rFonts w:hint="eastAsia" w:ascii="仿宋" w:hAnsi="仿宋" w:eastAsia="仿宋" w:cs="仿宋"/>
              <w:bCs/>
              <w:color w:val="auto"/>
              <w:szCs w:val="30"/>
              <w:highlight w:val="none"/>
              <w:lang w:val="en-US" w:eastAsia="zh-CN"/>
            </w:rPr>
            <w:t>格式6参加本次采购活动前三年内，在经营活动中没有重大违法记录</w:t>
          </w:r>
          <w:r>
            <w:rPr>
              <w:color w:val="auto"/>
            </w:rPr>
            <w:tab/>
          </w:r>
          <w:r>
            <w:rPr>
              <w:color w:val="auto"/>
            </w:rPr>
            <w:fldChar w:fldCharType="begin"/>
          </w:r>
          <w:r>
            <w:rPr>
              <w:color w:val="auto"/>
            </w:rPr>
            <w:instrText xml:space="preserve"> PAGEREF _Toc18525 \h </w:instrText>
          </w:r>
          <w:r>
            <w:rPr>
              <w:color w:val="auto"/>
            </w:rPr>
            <w:fldChar w:fldCharType="separate"/>
          </w:r>
          <w:r>
            <w:rPr>
              <w:color w:val="auto"/>
            </w:rPr>
            <w:t>23</w:t>
          </w:r>
          <w:r>
            <w:rPr>
              <w:color w:val="auto"/>
            </w:rPr>
            <w:fldChar w:fldCharType="end"/>
          </w:r>
          <w:r>
            <w:rPr>
              <w:rFonts w:hint="eastAsia" w:ascii="仿宋" w:hAnsi="仿宋" w:eastAsia="仿宋" w:cs="仿宋"/>
              <w:color w:val="auto"/>
              <w:szCs w:val="24"/>
            </w:rPr>
            <w:fldChar w:fldCharType="end"/>
          </w:r>
        </w:p>
        <w:p w14:paraId="5AC8A2F3">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_Toc24026 </w:instrText>
          </w:r>
          <w:r>
            <w:rPr>
              <w:rFonts w:hint="eastAsia" w:ascii="仿宋" w:hAnsi="仿宋" w:eastAsia="仿宋" w:cs="仿宋"/>
              <w:color w:val="auto"/>
              <w:szCs w:val="24"/>
            </w:rPr>
            <w:fldChar w:fldCharType="separate"/>
          </w:r>
          <w:r>
            <w:rPr>
              <w:rFonts w:hint="eastAsia" w:ascii="仿宋" w:hAnsi="仿宋" w:eastAsia="仿宋" w:cs="仿宋"/>
              <w:bCs/>
              <w:color w:val="auto"/>
              <w:szCs w:val="30"/>
              <w:highlight w:val="none"/>
              <w:lang w:val="en-US" w:eastAsia="zh-CN"/>
            </w:rPr>
            <w:t>格式7承诺函1</w:t>
          </w:r>
          <w:r>
            <w:rPr>
              <w:color w:val="auto"/>
            </w:rPr>
            <w:tab/>
          </w:r>
          <w:r>
            <w:rPr>
              <w:color w:val="auto"/>
            </w:rPr>
            <w:fldChar w:fldCharType="begin"/>
          </w:r>
          <w:r>
            <w:rPr>
              <w:color w:val="auto"/>
            </w:rPr>
            <w:instrText xml:space="preserve"> PAGEREF _Toc24026 \h </w:instrText>
          </w:r>
          <w:r>
            <w:rPr>
              <w:color w:val="auto"/>
            </w:rPr>
            <w:fldChar w:fldCharType="separate"/>
          </w:r>
          <w:r>
            <w:rPr>
              <w:color w:val="auto"/>
            </w:rPr>
            <w:t>24</w:t>
          </w:r>
          <w:r>
            <w:rPr>
              <w:color w:val="auto"/>
            </w:rPr>
            <w:fldChar w:fldCharType="end"/>
          </w:r>
          <w:r>
            <w:rPr>
              <w:rFonts w:hint="eastAsia" w:ascii="仿宋" w:hAnsi="仿宋" w:eastAsia="仿宋" w:cs="仿宋"/>
              <w:color w:val="auto"/>
              <w:szCs w:val="24"/>
            </w:rPr>
            <w:fldChar w:fldCharType="end"/>
          </w:r>
        </w:p>
        <w:p w14:paraId="7BC7E7FE">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_Toc6964 </w:instrText>
          </w:r>
          <w:r>
            <w:rPr>
              <w:rFonts w:hint="eastAsia" w:ascii="仿宋" w:hAnsi="仿宋" w:eastAsia="仿宋" w:cs="仿宋"/>
              <w:color w:val="auto"/>
              <w:szCs w:val="24"/>
            </w:rPr>
            <w:fldChar w:fldCharType="separate"/>
          </w:r>
          <w:r>
            <w:rPr>
              <w:rFonts w:hint="eastAsia" w:ascii="仿宋" w:hAnsi="仿宋" w:eastAsia="仿宋" w:cs="仿宋"/>
              <w:bCs/>
              <w:color w:val="auto"/>
              <w:szCs w:val="30"/>
              <w:highlight w:val="none"/>
              <w:lang w:val="en-US" w:eastAsia="zh-CN"/>
            </w:rPr>
            <w:t>格式8参加本项目投标人应提供的资质性证明材料</w:t>
          </w:r>
          <w:r>
            <w:rPr>
              <w:color w:val="auto"/>
            </w:rPr>
            <w:tab/>
          </w:r>
          <w:r>
            <w:rPr>
              <w:color w:val="auto"/>
            </w:rPr>
            <w:fldChar w:fldCharType="begin"/>
          </w:r>
          <w:r>
            <w:rPr>
              <w:color w:val="auto"/>
            </w:rPr>
            <w:instrText xml:space="preserve"> PAGEREF _Toc6964 \h </w:instrText>
          </w:r>
          <w:r>
            <w:rPr>
              <w:color w:val="auto"/>
            </w:rPr>
            <w:fldChar w:fldCharType="separate"/>
          </w:r>
          <w:r>
            <w:rPr>
              <w:color w:val="auto"/>
            </w:rPr>
            <w:t>25</w:t>
          </w:r>
          <w:r>
            <w:rPr>
              <w:color w:val="auto"/>
            </w:rPr>
            <w:fldChar w:fldCharType="end"/>
          </w:r>
          <w:r>
            <w:rPr>
              <w:rFonts w:hint="eastAsia" w:ascii="仿宋" w:hAnsi="仿宋" w:eastAsia="仿宋" w:cs="仿宋"/>
              <w:color w:val="auto"/>
              <w:szCs w:val="24"/>
            </w:rPr>
            <w:fldChar w:fldCharType="end"/>
          </w:r>
        </w:p>
        <w:p w14:paraId="3E1CFE04">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_Toc10664 </w:instrText>
          </w:r>
          <w:r>
            <w:rPr>
              <w:rFonts w:hint="eastAsia" w:ascii="仿宋" w:hAnsi="仿宋" w:eastAsia="仿宋" w:cs="仿宋"/>
              <w:color w:val="auto"/>
              <w:szCs w:val="24"/>
            </w:rPr>
            <w:fldChar w:fldCharType="separate"/>
          </w:r>
          <w:r>
            <w:rPr>
              <w:rFonts w:hint="eastAsia" w:ascii="仿宋" w:hAnsi="仿宋" w:eastAsia="仿宋" w:cs="仿宋"/>
              <w:bCs/>
              <w:color w:val="auto"/>
              <w:szCs w:val="30"/>
              <w:highlight w:val="none"/>
              <w:lang w:val="en-US" w:eastAsia="zh-CN"/>
            </w:rPr>
            <w:t>格式9参加本次投标活动的投标人代表</w:t>
          </w:r>
          <w:r>
            <w:rPr>
              <w:color w:val="auto"/>
            </w:rPr>
            <w:tab/>
          </w:r>
          <w:r>
            <w:rPr>
              <w:color w:val="auto"/>
            </w:rPr>
            <w:fldChar w:fldCharType="begin"/>
          </w:r>
          <w:r>
            <w:rPr>
              <w:color w:val="auto"/>
            </w:rPr>
            <w:instrText xml:space="preserve"> PAGEREF _Toc10664 \h </w:instrText>
          </w:r>
          <w:r>
            <w:rPr>
              <w:color w:val="auto"/>
            </w:rPr>
            <w:fldChar w:fldCharType="separate"/>
          </w:r>
          <w:r>
            <w:rPr>
              <w:color w:val="auto"/>
            </w:rPr>
            <w:t>26</w:t>
          </w:r>
          <w:r>
            <w:rPr>
              <w:color w:val="auto"/>
            </w:rPr>
            <w:fldChar w:fldCharType="end"/>
          </w:r>
          <w:r>
            <w:rPr>
              <w:rFonts w:hint="eastAsia" w:ascii="仿宋" w:hAnsi="仿宋" w:eastAsia="仿宋" w:cs="仿宋"/>
              <w:color w:val="auto"/>
              <w:szCs w:val="24"/>
            </w:rPr>
            <w:fldChar w:fldCharType="end"/>
          </w:r>
        </w:p>
        <w:p w14:paraId="58F4EC38">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_Toc10998 </w:instrText>
          </w:r>
          <w:r>
            <w:rPr>
              <w:rFonts w:hint="eastAsia" w:ascii="仿宋" w:hAnsi="仿宋" w:eastAsia="仿宋" w:cs="仿宋"/>
              <w:color w:val="auto"/>
              <w:szCs w:val="24"/>
            </w:rPr>
            <w:fldChar w:fldCharType="separate"/>
          </w:r>
          <w:r>
            <w:rPr>
              <w:rFonts w:hint="eastAsia" w:ascii="仿宋" w:hAnsi="仿宋" w:eastAsia="仿宋" w:cs="仿宋"/>
              <w:color w:val="auto"/>
              <w:szCs w:val="30"/>
              <w:highlight w:val="none"/>
              <w:lang w:eastAsia="zh-CN"/>
            </w:rPr>
            <w:t>格式</w:t>
          </w:r>
          <w:r>
            <w:rPr>
              <w:rFonts w:hint="eastAsia" w:ascii="仿宋" w:hAnsi="仿宋" w:eastAsia="仿宋" w:cs="仿宋"/>
              <w:color w:val="auto"/>
              <w:szCs w:val="30"/>
              <w:highlight w:val="none"/>
              <w:lang w:val="en-US" w:eastAsia="zh-CN"/>
            </w:rPr>
            <w:t>10</w:t>
          </w:r>
          <w:r>
            <w:rPr>
              <w:rFonts w:hint="eastAsia" w:ascii="仿宋" w:hAnsi="仿宋" w:eastAsia="仿宋" w:cs="仿宋"/>
              <w:color w:val="auto"/>
              <w:szCs w:val="30"/>
              <w:highlight w:val="none"/>
              <w:lang w:eastAsia="zh-CN"/>
            </w:rPr>
            <w:t>开标一览表</w:t>
          </w:r>
          <w:r>
            <w:rPr>
              <w:color w:val="auto"/>
            </w:rPr>
            <w:tab/>
          </w:r>
          <w:r>
            <w:rPr>
              <w:color w:val="auto"/>
            </w:rPr>
            <w:fldChar w:fldCharType="begin"/>
          </w:r>
          <w:r>
            <w:rPr>
              <w:color w:val="auto"/>
            </w:rPr>
            <w:instrText xml:space="preserve"> PAGEREF _Toc10998 \h </w:instrText>
          </w:r>
          <w:r>
            <w:rPr>
              <w:color w:val="auto"/>
            </w:rPr>
            <w:fldChar w:fldCharType="separate"/>
          </w:r>
          <w:r>
            <w:rPr>
              <w:color w:val="auto"/>
            </w:rPr>
            <w:t>28</w:t>
          </w:r>
          <w:r>
            <w:rPr>
              <w:color w:val="auto"/>
            </w:rPr>
            <w:fldChar w:fldCharType="end"/>
          </w:r>
          <w:r>
            <w:rPr>
              <w:rFonts w:hint="eastAsia" w:ascii="仿宋" w:hAnsi="仿宋" w:eastAsia="仿宋" w:cs="仿宋"/>
              <w:color w:val="auto"/>
              <w:szCs w:val="24"/>
            </w:rPr>
            <w:fldChar w:fldCharType="end"/>
          </w:r>
        </w:p>
        <w:p w14:paraId="15C2D97D">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_Toc24703 </w:instrText>
          </w:r>
          <w:r>
            <w:rPr>
              <w:rFonts w:hint="eastAsia" w:ascii="仿宋" w:hAnsi="仿宋" w:eastAsia="仿宋" w:cs="仿宋"/>
              <w:color w:val="auto"/>
              <w:szCs w:val="24"/>
            </w:rPr>
            <w:fldChar w:fldCharType="separate"/>
          </w:r>
          <w:r>
            <w:rPr>
              <w:rFonts w:hint="eastAsia" w:ascii="仿宋" w:hAnsi="仿宋" w:eastAsia="仿宋" w:cs="仿宋"/>
              <w:color w:val="auto"/>
              <w:szCs w:val="30"/>
              <w:highlight w:val="none"/>
              <w:lang w:eastAsia="zh-CN"/>
            </w:rPr>
            <w:t>格式</w:t>
          </w:r>
          <w:r>
            <w:rPr>
              <w:rFonts w:hint="eastAsia" w:ascii="仿宋" w:hAnsi="仿宋" w:eastAsia="仿宋" w:cs="仿宋"/>
              <w:bCs/>
              <w:color w:val="auto"/>
              <w:szCs w:val="30"/>
              <w:highlight w:val="none"/>
              <w:lang w:val="en-US" w:eastAsia="zh-CN"/>
            </w:rPr>
            <w:t>11</w:t>
          </w:r>
          <w:r>
            <w:rPr>
              <w:rFonts w:hint="eastAsia" w:ascii="仿宋" w:hAnsi="仿宋" w:eastAsia="仿宋" w:cs="仿宋"/>
              <w:color w:val="auto"/>
              <w:szCs w:val="30"/>
              <w:highlight w:val="none"/>
              <w:lang w:val="en-US" w:eastAsia="zh-CN"/>
            </w:rPr>
            <w:t>技术方案</w:t>
          </w:r>
          <w:r>
            <w:rPr>
              <w:color w:val="auto"/>
            </w:rPr>
            <w:tab/>
          </w:r>
          <w:r>
            <w:rPr>
              <w:color w:val="auto"/>
            </w:rPr>
            <w:fldChar w:fldCharType="begin"/>
          </w:r>
          <w:r>
            <w:rPr>
              <w:color w:val="auto"/>
            </w:rPr>
            <w:instrText xml:space="preserve"> PAGEREF _Toc24703 \h </w:instrText>
          </w:r>
          <w:r>
            <w:rPr>
              <w:color w:val="auto"/>
            </w:rPr>
            <w:fldChar w:fldCharType="separate"/>
          </w:r>
          <w:r>
            <w:rPr>
              <w:color w:val="auto"/>
            </w:rPr>
            <w:t>29</w:t>
          </w:r>
          <w:r>
            <w:rPr>
              <w:color w:val="auto"/>
            </w:rPr>
            <w:fldChar w:fldCharType="end"/>
          </w:r>
          <w:r>
            <w:rPr>
              <w:rFonts w:hint="eastAsia" w:ascii="仿宋" w:hAnsi="仿宋" w:eastAsia="仿宋" w:cs="仿宋"/>
              <w:color w:val="auto"/>
              <w:szCs w:val="24"/>
            </w:rPr>
            <w:fldChar w:fldCharType="end"/>
          </w:r>
        </w:p>
        <w:p w14:paraId="7B071ACA">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_Toc5430 </w:instrText>
          </w:r>
          <w:r>
            <w:rPr>
              <w:rFonts w:hint="eastAsia" w:ascii="仿宋" w:hAnsi="仿宋" w:eastAsia="仿宋" w:cs="仿宋"/>
              <w:color w:val="auto"/>
              <w:szCs w:val="24"/>
            </w:rPr>
            <w:fldChar w:fldCharType="separate"/>
          </w:r>
          <w:r>
            <w:rPr>
              <w:rFonts w:hint="eastAsia" w:ascii="仿宋" w:hAnsi="仿宋" w:eastAsia="仿宋" w:cs="仿宋"/>
              <w:bCs/>
              <w:color w:val="auto"/>
              <w:szCs w:val="30"/>
              <w:highlight w:val="none"/>
              <w:lang w:eastAsia="zh-CN"/>
            </w:rPr>
            <w:t>格式</w:t>
          </w:r>
          <w:r>
            <w:rPr>
              <w:rFonts w:hint="eastAsia" w:ascii="仿宋" w:hAnsi="仿宋" w:eastAsia="仿宋" w:cs="仿宋"/>
              <w:bCs/>
              <w:color w:val="auto"/>
              <w:szCs w:val="30"/>
              <w:highlight w:val="none"/>
              <w:lang w:val="en-US" w:eastAsia="zh-CN"/>
            </w:rPr>
            <w:t>12技术</w:t>
          </w:r>
          <w:r>
            <w:rPr>
              <w:rFonts w:hint="eastAsia" w:ascii="仿宋" w:hAnsi="仿宋" w:eastAsia="仿宋" w:cs="仿宋"/>
              <w:bCs/>
              <w:color w:val="auto"/>
              <w:szCs w:val="30"/>
              <w:highlight w:val="none"/>
            </w:rPr>
            <w:t>要求应答表</w:t>
          </w:r>
          <w:r>
            <w:rPr>
              <w:color w:val="auto"/>
            </w:rPr>
            <w:tab/>
          </w:r>
          <w:r>
            <w:rPr>
              <w:color w:val="auto"/>
            </w:rPr>
            <w:fldChar w:fldCharType="begin"/>
          </w:r>
          <w:r>
            <w:rPr>
              <w:color w:val="auto"/>
            </w:rPr>
            <w:instrText xml:space="preserve"> PAGEREF _Toc5430 \h </w:instrText>
          </w:r>
          <w:r>
            <w:rPr>
              <w:color w:val="auto"/>
            </w:rPr>
            <w:fldChar w:fldCharType="separate"/>
          </w:r>
          <w:r>
            <w:rPr>
              <w:color w:val="auto"/>
            </w:rPr>
            <w:t>30</w:t>
          </w:r>
          <w:r>
            <w:rPr>
              <w:color w:val="auto"/>
            </w:rPr>
            <w:fldChar w:fldCharType="end"/>
          </w:r>
          <w:r>
            <w:rPr>
              <w:rFonts w:hint="eastAsia" w:ascii="仿宋" w:hAnsi="仿宋" w:eastAsia="仿宋" w:cs="仿宋"/>
              <w:color w:val="auto"/>
              <w:szCs w:val="24"/>
            </w:rPr>
            <w:fldChar w:fldCharType="end"/>
          </w:r>
        </w:p>
        <w:p w14:paraId="55B93B7E">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_Toc12810 </w:instrText>
          </w:r>
          <w:r>
            <w:rPr>
              <w:rFonts w:hint="eastAsia" w:ascii="仿宋" w:hAnsi="仿宋" w:eastAsia="仿宋" w:cs="仿宋"/>
              <w:color w:val="auto"/>
              <w:szCs w:val="24"/>
            </w:rPr>
            <w:fldChar w:fldCharType="separate"/>
          </w:r>
          <w:r>
            <w:rPr>
              <w:rFonts w:hint="eastAsia" w:ascii="仿宋" w:hAnsi="仿宋" w:eastAsia="仿宋" w:cs="仿宋"/>
              <w:color w:val="auto"/>
              <w:szCs w:val="30"/>
              <w:highlight w:val="none"/>
              <w:lang w:eastAsia="zh-CN"/>
            </w:rPr>
            <w:t>格式</w:t>
          </w:r>
          <w:r>
            <w:rPr>
              <w:rFonts w:hint="eastAsia" w:ascii="仿宋" w:hAnsi="仿宋" w:eastAsia="仿宋" w:cs="仿宋"/>
              <w:color w:val="auto"/>
              <w:szCs w:val="30"/>
              <w:highlight w:val="none"/>
              <w:lang w:val="en-US" w:eastAsia="zh-CN"/>
            </w:rPr>
            <w:t>13</w:t>
          </w:r>
          <w:r>
            <w:rPr>
              <w:rFonts w:hint="eastAsia" w:ascii="仿宋" w:hAnsi="仿宋" w:eastAsia="仿宋" w:cs="仿宋"/>
              <w:bCs/>
              <w:color w:val="auto"/>
              <w:szCs w:val="30"/>
              <w:highlight w:val="none"/>
              <w:lang w:val="en-US" w:eastAsia="zh-CN"/>
            </w:rPr>
            <w:t>主要</w:t>
          </w:r>
          <w:r>
            <w:rPr>
              <w:rFonts w:hint="eastAsia" w:ascii="仿宋" w:hAnsi="仿宋" w:eastAsia="仿宋" w:cs="仿宋"/>
              <w:color w:val="auto"/>
              <w:szCs w:val="30"/>
              <w:highlight w:val="none"/>
            </w:rPr>
            <w:t>人员情况表</w:t>
          </w:r>
          <w:r>
            <w:rPr>
              <w:color w:val="auto"/>
            </w:rPr>
            <w:tab/>
          </w:r>
          <w:r>
            <w:rPr>
              <w:color w:val="auto"/>
            </w:rPr>
            <w:fldChar w:fldCharType="begin"/>
          </w:r>
          <w:r>
            <w:rPr>
              <w:color w:val="auto"/>
            </w:rPr>
            <w:instrText xml:space="preserve"> PAGEREF _Toc12810 \h </w:instrText>
          </w:r>
          <w:r>
            <w:rPr>
              <w:color w:val="auto"/>
            </w:rPr>
            <w:fldChar w:fldCharType="separate"/>
          </w:r>
          <w:r>
            <w:rPr>
              <w:color w:val="auto"/>
            </w:rPr>
            <w:t>31</w:t>
          </w:r>
          <w:r>
            <w:rPr>
              <w:color w:val="auto"/>
            </w:rPr>
            <w:fldChar w:fldCharType="end"/>
          </w:r>
          <w:r>
            <w:rPr>
              <w:rFonts w:hint="eastAsia" w:ascii="仿宋" w:hAnsi="仿宋" w:eastAsia="仿宋" w:cs="仿宋"/>
              <w:color w:val="auto"/>
              <w:szCs w:val="24"/>
            </w:rPr>
            <w:fldChar w:fldCharType="end"/>
          </w:r>
        </w:p>
        <w:p w14:paraId="53D339D9">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_Toc14801 </w:instrText>
          </w:r>
          <w:r>
            <w:rPr>
              <w:rFonts w:hint="eastAsia" w:ascii="仿宋" w:hAnsi="仿宋" w:eastAsia="仿宋" w:cs="仿宋"/>
              <w:color w:val="auto"/>
              <w:szCs w:val="24"/>
            </w:rPr>
            <w:fldChar w:fldCharType="separate"/>
          </w:r>
          <w:r>
            <w:rPr>
              <w:rFonts w:hint="eastAsia" w:ascii="仿宋" w:hAnsi="仿宋" w:eastAsia="仿宋" w:cs="仿宋"/>
              <w:bCs/>
              <w:color w:val="auto"/>
              <w:szCs w:val="30"/>
              <w:highlight w:val="none"/>
              <w:lang w:val="en-US" w:eastAsia="zh-CN"/>
            </w:rPr>
            <w:t>格式14承诺函2</w:t>
          </w:r>
          <w:r>
            <w:rPr>
              <w:color w:val="auto"/>
            </w:rPr>
            <w:tab/>
          </w:r>
          <w:r>
            <w:rPr>
              <w:color w:val="auto"/>
            </w:rPr>
            <w:fldChar w:fldCharType="begin"/>
          </w:r>
          <w:r>
            <w:rPr>
              <w:color w:val="auto"/>
            </w:rPr>
            <w:instrText xml:space="preserve"> PAGEREF _Toc14801 \h </w:instrText>
          </w:r>
          <w:r>
            <w:rPr>
              <w:color w:val="auto"/>
            </w:rPr>
            <w:fldChar w:fldCharType="separate"/>
          </w:r>
          <w:r>
            <w:rPr>
              <w:color w:val="auto"/>
            </w:rPr>
            <w:t>32</w:t>
          </w:r>
          <w:r>
            <w:rPr>
              <w:color w:val="auto"/>
            </w:rPr>
            <w:fldChar w:fldCharType="end"/>
          </w:r>
          <w:r>
            <w:rPr>
              <w:rFonts w:hint="eastAsia" w:ascii="仿宋" w:hAnsi="仿宋" w:eastAsia="仿宋" w:cs="仿宋"/>
              <w:color w:val="auto"/>
              <w:szCs w:val="24"/>
            </w:rPr>
            <w:fldChar w:fldCharType="end"/>
          </w:r>
        </w:p>
        <w:p w14:paraId="3BC0186E">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_Toc6694 </w:instrText>
          </w:r>
          <w:r>
            <w:rPr>
              <w:rFonts w:hint="eastAsia" w:ascii="仿宋" w:hAnsi="仿宋" w:eastAsia="仿宋" w:cs="仿宋"/>
              <w:color w:val="auto"/>
              <w:szCs w:val="24"/>
            </w:rPr>
            <w:fldChar w:fldCharType="separate"/>
          </w:r>
          <w:r>
            <w:rPr>
              <w:rFonts w:hint="eastAsia" w:ascii="仿宋" w:hAnsi="仿宋" w:eastAsia="仿宋" w:cs="仿宋"/>
              <w:color w:val="auto"/>
              <w:szCs w:val="30"/>
              <w:highlight w:val="none"/>
              <w:lang w:eastAsia="zh-CN"/>
            </w:rPr>
            <w:t>格式</w:t>
          </w:r>
          <w:r>
            <w:rPr>
              <w:rFonts w:hint="eastAsia" w:ascii="仿宋" w:hAnsi="仿宋" w:eastAsia="仿宋" w:cs="仿宋"/>
              <w:color w:val="auto"/>
              <w:szCs w:val="30"/>
              <w:highlight w:val="none"/>
              <w:lang w:val="en-US" w:eastAsia="zh-CN"/>
            </w:rPr>
            <w:t>15投标</w:t>
          </w:r>
          <w:r>
            <w:rPr>
              <w:rFonts w:hint="eastAsia" w:ascii="仿宋" w:hAnsi="仿宋" w:eastAsia="仿宋" w:cs="仿宋"/>
              <w:color w:val="auto"/>
              <w:szCs w:val="30"/>
              <w:highlight w:val="none"/>
              <w:lang w:eastAsia="zh-CN"/>
            </w:rPr>
            <w:t>函</w:t>
          </w:r>
          <w:r>
            <w:rPr>
              <w:color w:val="auto"/>
            </w:rPr>
            <w:tab/>
          </w:r>
          <w:r>
            <w:rPr>
              <w:color w:val="auto"/>
            </w:rPr>
            <w:fldChar w:fldCharType="begin"/>
          </w:r>
          <w:r>
            <w:rPr>
              <w:color w:val="auto"/>
            </w:rPr>
            <w:instrText xml:space="preserve"> PAGEREF _Toc6694 \h </w:instrText>
          </w:r>
          <w:r>
            <w:rPr>
              <w:color w:val="auto"/>
            </w:rPr>
            <w:fldChar w:fldCharType="separate"/>
          </w:r>
          <w:r>
            <w:rPr>
              <w:color w:val="auto"/>
            </w:rPr>
            <w:t>33</w:t>
          </w:r>
          <w:r>
            <w:rPr>
              <w:color w:val="auto"/>
            </w:rPr>
            <w:fldChar w:fldCharType="end"/>
          </w:r>
          <w:r>
            <w:rPr>
              <w:rFonts w:hint="eastAsia" w:ascii="仿宋" w:hAnsi="仿宋" w:eastAsia="仿宋" w:cs="仿宋"/>
              <w:color w:val="auto"/>
              <w:szCs w:val="24"/>
            </w:rPr>
            <w:fldChar w:fldCharType="end"/>
          </w:r>
        </w:p>
        <w:p w14:paraId="18EE0B0A">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_Toc6872 </w:instrText>
          </w:r>
          <w:r>
            <w:rPr>
              <w:rFonts w:hint="eastAsia" w:ascii="仿宋" w:hAnsi="仿宋" w:eastAsia="仿宋" w:cs="仿宋"/>
              <w:color w:val="auto"/>
              <w:szCs w:val="24"/>
            </w:rPr>
            <w:fldChar w:fldCharType="separate"/>
          </w:r>
          <w:r>
            <w:rPr>
              <w:rFonts w:hint="eastAsia" w:ascii="仿宋" w:hAnsi="仿宋" w:eastAsia="仿宋" w:cs="仿宋"/>
              <w:color w:val="auto"/>
              <w:szCs w:val="30"/>
              <w:highlight w:val="none"/>
              <w:lang w:val="en-US" w:eastAsia="zh-CN"/>
            </w:rPr>
            <w:t>格式16投标人基本情况表</w:t>
          </w:r>
          <w:r>
            <w:rPr>
              <w:color w:val="auto"/>
            </w:rPr>
            <w:tab/>
          </w:r>
          <w:r>
            <w:rPr>
              <w:color w:val="auto"/>
            </w:rPr>
            <w:fldChar w:fldCharType="begin"/>
          </w:r>
          <w:r>
            <w:rPr>
              <w:color w:val="auto"/>
            </w:rPr>
            <w:instrText xml:space="preserve"> PAGEREF _Toc6872 \h </w:instrText>
          </w:r>
          <w:r>
            <w:rPr>
              <w:color w:val="auto"/>
            </w:rPr>
            <w:fldChar w:fldCharType="separate"/>
          </w:r>
          <w:r>
            <w:rPr>
              <w:color w:val="auto"/>
            </w:rPr>
            <w:t>34</w:t>
          </w:r>
          <w:r>
            <w:rPr>
              <w:color w:val="auto"/>
            </w:rPr>
            <w:fldChar w:fldCharType="end"/>
          </w:r>
          <w:r>
            <w:rPr>
              <w:rFonts w:hint="eastAsia" w:ascii="仿宋" w:hAnsi="仿宋" w:eastAsia="仿宋" w:cs="仿宋"/>
              <w:color w:val="auto"/>
              <w:szCs w:val="24"/>
            </w:rPr>
            <w:fldChar w:fldCharType="end"/>
          </w:r>
        </w:p>
        <w:p w14:paraId="0CD8D31B">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_Toc22944 </w:instrText>
          </w:r>
          <w:r>
            <w:rPr>
              <w:rFonts w:hint="eastAsia" w:ascii="仿宋" w:hAnsi="仿宋" w:eastAsia="仿宋" w:cs="仿宋"/>
              <w:color w:val="auto"/>
              <w:szCs w:val="24"/>
            </w:rPr>
            <w:fldChar w:fldCharType="separate"/>
          </w:r>
          <w:r>
            <w:rPr>
              <w:rFonts w:hint="eastAsia" w:ascii="仿宋" w:hAnsi="仿宋" w:eastAsia="仿宋" w:cs="仿宋"/>
              <w:color w:val="auto"/>
              <w:szCs w:val="30"/>
              <w:highlight w:val="none"/>
              <w:lang w:eastAsia="zh-CN"/>
            </w:rPr>
            <w:t>格式</w:t>
          </w:r>
          <w:r>
            <w:rPr>
              <w:rFonts w:hint="eastAsia" w:ascii="仿宋" w:hAnsi="仿宋" w:eastAsia="仿宋" w:cs="仿宋"/>
              <w:color w:val="auto"/>
              <w:szCs w:val="30"/>
              <w:highlight w:val="none"/>
              <w:lang w:val="en-US" w:eastAsia="zh-CN"/>
            </w:rPr>
            <w:t>17</w:t>
          </w:r>
          <w:r>
            <w:rPr>
              <w:rFonts w:hint="eastAsia" w:ascii="仿宋" w:hAnsi="仿宋" w:eastAsia="仿宋" w:cs="仿宋"/>
              <w:color w:val="auto"/>
              <w:szCs w:val="30"/>
              <w:highlight w:val="none"/>
            </w:rPr>
            <w:t>商务应答表</w:t>
          </w:r>
          <w:r>
            <w:rPr>
              <w:color w:val="auto"/>
            </w:rPr>
            <w:tab/>
          </w:r>
          <w:r>
            <w:rPr>
              <w:color w:val="auto"/>
            </w:rPr>
            <w:fldChar w:fldCharType="begin"/>
          </w:r>
          <w:r>
            <w:rPr>
              <w:color w:val="auto"/>
            </w:rPr>
            <w:instrText xml:space="preserve"> PAGEREF _Toc22944 \h </w:instrText>
          </w:r>
          <w:r>
            <w:rPr>
              <w:color w:val="auto"/>
            </w:rPr>
            <w:fldChar w:fldCharType="separate"/>
          </w:r>
          <w:r>
            <w:rPr>
              <w:color w:val="auto"/>
            </w:rPr>
            <w:t>35</w:t>
          </w:r>
          <w:r>
            <w:rPr>
              <w:color w:val="auto"/>
            </w:rPr>
            <w:fldChar w:fldCharType="end"/>
          </w:r>
          <w:r>
            <w:rPr>
              <w:rFonts w:hint="eastAsia" w:ascii="仿宋" w:hAnsi="仿宋" w:eastAsia="仿宋" w:cs="仿宋"/>
              <w:color w:val="auto"/>
              <w:szCs w:val="24"/>
            </w:rPr>
            <w:fldChar w:fldCharType="end"/>
          </w:r>
        </w:p>
        <w:p w14:paraId="377151CB">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_Toc10464 </w:instrText>
          </w:r>
          <w:r>
            <w:rPr>
              <w:rFonts w:hint="eastAsia" w:ascii="仿宋" w:hAnsi="仿宋" w:eastAsia="仿宋" w:cs="仿宋"/>
              <w:color w:val="auto"/>
              <w:szCs w:val="24"/>
            </w:rPr>
            <w:fldChar w:fldCharType="separate"/>
          </w:r>
          <w:r>
            <w:rPr>
              <w:rFonts w:hint="eastAsia" w:ascii="仿宋" w:hAnsi="仿宋" w:eastAsia="仿宋" w:cs="仿宋"/>
              <w:bCs/>
              <w:color w:val="auto"/>
              <w:szCs w:val="30"/>
              <w:highlight w:val="none"/>
              <w:lang w:eastAsia="zh-CN"/>
            </w:rPr>
            <w:t>格式</w:t>
          </w:r>
          <w:r>
            <w:rPr>
              <w:rFonts w:hint="eastAsia" w:ascii="仿宋" w:hAnsi="仿宋" w:eastAsia="仿宋" w:cs="仿宋"/>
              <w:bCs/>
              <w:color w:val="auto"/>
              <w:szCs w:val="30"/>
              <w:highlight w:val="none"/>
              <w:lang w:val="en-US" w:eastAsia="zh-CN"/>
            </w:rPr>
            <w:t>18投标人类似项目业绩一览表</w:t>
          </w:r>
          <w:r>
            <w:rPr>
              <w:color w:val="auto"/>
            </w:rPr>
            <w:tab/>
          </w:r>
          <w:r>
            <w:rPr>
              <w:color w:val="auto"/>
            </w:rPr>
            <w:fldChar w:fldCharType="begin"/>
          </w:r>
          <w:r>
            <w:rPr>
              <w:color w:val="auto"/>
            </w:rPr>
            <w:instrText xml:space="preserve"> PAGEREF _Toc10464 \h </w:instrText>
          </w:r>
          <w:r>
            <w:rPr>
              <w:color w:val="auto"/>
            </w:rPr>
            <w:fldChar w:fldCharType="separate"/>
          </w:r>
          <w:r>
            <w:rPr>
              <w:color w:val="auto"/>
            </w:rPr>
            <w:t>36</w:t>
          </w:r>
          <w:r>
            <w:rPr>
              <w:color w:val="auto"/>
            </w:rPr>
            <w:fldChar w:fldCharType="end"/>
          </w:r>
          <w:r>
            <w:rPr>
              <w:rFonts w:hint="eastAsia" w:ascii="仿宋" w:hAnsi="仿宋" w:eastAsia="仿宋" w:cs="仿宋"/>
              <w:color w:val="auto"/>
              <w:szCs w:val="24"/>
            </w:rPr>
            <w:fldChar w:fldCharType="end"/>
          </w:r>
        </w:p>
        <w:p w14:paraId="51E0BEDD">
          <w:pPr>
            <w:pStyle w:val="24"/>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_Toc28107 </w:instrText>
          </w:r>
          <w:r>
            <w:rPr>
              <w:rFonts w:hint="eastAsia" w:ascii="仿宋" w:hAnsi="仿宋" w:eastAsia="仿宋" w:cs="仿宋"/>
              <w:color w:val="auto"/>
              <w:szCs w:val="24"/>
            </w:rPr>
            <w:fldChar w:fldCharType="separate"/>
          </w:r>
          <w:r>
            <w:rPr>
              <w:rFonts w:hint="eastAsia" w:ascii="仿宋" w:hAnsi="仿宋" w:eastAsia="仿宋" w:cs="Times New Roman"/>
              <w:bCs/>
              <w:color w:val="auto"/>
              <w:szCs w:val="36"/>
            </w:rPr>
            <w:t>第四章  投标人的资格、资质性及其他类似效力要求</w:t>
          </w:r>
          <w:r>
            <w:rPr>
              <w:color w:val="auto"/>
            </w:rPr>
            <w:tab/>
          </w:r>
          <w:r>
            <w:rPr>
              <w:color w:val="auto"/>
            </w:rPr>
            <w:fldChar w:fldCharType="begin"/>
          </w:r>
          <w:r>
            <w:rPr>
              <w:color w:val="auto"/>
            </w:rPr>
            <w:instrText xml:space="preserve"> PAGEREF _Toc28107 \h </w:instrText>
          </w:r>
          <w:r>
            <w:rPr>
              <w:color w:val="auto"/>
            </w:rPr>
            <w:fldChar w:fldCharType="separate"/>
          </w:r>
          <w:r>
            <w:rPr>
              <w:color w:val="auto"/>
            </w:rPr>
            <w:t>37</w:t>
          </w:r>
          <w:r>
            <w:rPr>
              <w:color w:val="auto"/>
            </w:rPr>
            <w:fldChar w:fldCharType="end"/>
          </w:r>
          <w:r>
            <w:rPr>
              <w:rFonts w:hint="eastAsia" w:ascii="仿宋" w:hAnsi="仿宋" w:eastAsia="仿宋" w:cs="仿宋"/>
              <w:color w:val="auto"/>
              <w:szCs w:val="24"/>
            </w:rPr>
            <w:fldChar w:fldCharType="end"/>
          </w:r>
        </w:p>
        <w:p w14:paraId="2CB1CC77">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_Toc18102 </w:instrText>
          </w:r>
          <w:r>
            <w:rPr>
              <w:rFonts w:hint="eastAsia" w:ascii="仿宋" w:hAnsi="仿宋" w:eastAsia="仿宋" w:cs="仿宋"/>
              <w:color w:val="auto"/>
              <w:szCs w:val="24"/>
            </w:rPr>
            <w:fldChar w:fldCharType="separate"/>
          </w:r>
          <w:r>
            <w:rPr>
              <w:rFonts w:hint="eastAsia" w:ascii="仿宋" w:hAnsi="仿宋" w:eastAsia="仿宋"/>
              <w:bCs/>
              <w:color w:val="auto"/>
              <w:szCs w:val="28"/>
            </w:rPr>
            <w:t>一、投标人资格、资质性要求</w:t>
          </w:r>
          <w:r>
            <w:rPr>
              <w:rFonts w:hint="eastAsia" w:ascii="仿宋" w:hAnsi="仿宋" w:eastAsia="仿宋"/>
              <w:bCs/>
              <w:color w:val="auto"/>
              <w:szCs w:val="28"/>
              <w:lang w:eastAsia="zh-CN"/>
            </w:rPr>
            <w:t>（</w:t>
          </w:r>
          <w:r>
            <w:rPr>
              <w:rFonts w:hint="eastAsia" w:ascii="仿宋" w:hAnsi="仿宋" w:eastAsia="仿宋"/>
              <w:bCs/>
              <w:color w:val="auto"/>
              <w:szCs w:val="28"/>
              <w:lang w:val="en-US" w:eastAsia="zh-CN"/>
            </w:rPr>
            <w:t>各包相同</w:t>
          </w:r>
          <w:r>
            <w:rPr>
              <w:rFonts w:hint="eastAsia" w:ascii="仿宋" w:hAnsi="仿宋" w:eastAsia="仿宋"/>
              <w:bCs/>
              <w:color w:val="auto"/>
              <w:szCs w:val="28"/>
              <w:lang w:eastAsia="zh-CN"/>
            </w:rPr>
            <w:t>）</w:t>
          </w:r>
          <w:r>
            <w:rPr>
              <w:color w:val="auto"/>
            </w:rPr>
            <w:tab/>
          </w:r>
          <w:r>
            <w:rPr>
              <w:color w:val="auto"/>
            </w:rPr>
            <w:fldChar w:fldCharType="begin"/>
          </w:r>
          <w:r>
            <w:rPr>
              <w:color w:val="auto"/>
            </w:rPr>
            <w:instrText xml:space="preserve"> PAGEREF _Toc18102 \h </w:instrText>
          </w:r>
          <w:r>
            <w:rPr>
              <w:color w:val="auto"/>
            </w:rPr>
            <w:fldChar w:fldCharType="separate"/>
          </w:r>
          <w:r>
            <w:rPr>
              <w:color w:val="auto"/>
            </w:rPr>
            <w:t>37</w:t>
          </w:r>
          <w:r>
            <w:rPr>
              <w:color w:val="auto"/>
            </w:rPr>
            <w:fldChar w:fldCharType="end"/>
          </w:r>
          <w:r>
            <w:rPr>
              <w:rFonts w:hint="eastAsia" w:ascii="仿宋" w:hAnsi="仿宋" w:eastAsia="仿宋" w:cs="仿宋"/>
              <w:color w:val="auto"/>
              <w:szCs w:val="24"/>
            </w:rPr>
            <w:fldChar w:fldCharType="end"/>
          </w:r>
        </w:p>
        <w:p w14:paraId="4C4DDEA5">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_Toc17889 </w:instrText>
          </w:r>
          <w:r>
            <w:rPr>
              <w:rFonts w:hint="eastAsia" w:ascii="仿宋" w:hAnsi="仿宋" w:eastAsia="仿宋" w:cs="仿宋"/>
              <w:color w:val="auto"/>
              <w:szCs w:val="24"/>
            </w:rPr>
            <w:fldChar w:fldCharType="separate"/>
          </w:r>
          <w:r>
            <w:rPr>
              <w:rFonts w:hint="eastAsia" w:ascii="仿宋" w:hAnsi="仿宋" w:eastAsia="仿宋" w:cs="Times New Roman"/>
              <w:bCs/>
              <w:color w:val="auto"/>
              <w:szCs w:val="28"/>
              <w:lang w:eastAsia="zh-CN"/>
            </w:rPr>
            <w:t>二、投标人其他类似效力要求</w:t>
          </w:r>
          <w:r>
            <w:rPr>
              <w:color w:val="auto"/>
            </w:rPr>
            <w:tab/>
          </w:r>
          <w:r>
            <w:rPr>
              <w:color w:val="auto"/>
            </w:rPr>
            <w:fldChar w:fldCharType="begin"/>
          </w:r>
          <w:r>
            <w:rPr>
              <w:color w:val="auto"/>
            </w:rPr>
            <w:instrText xml:space="preserve"> PAGEREF _Toc17889 \h </w:instrText>
          </w:r>
          <w:r>
            <w:rPr>
              <w:color w:val="auto"/>
            </w:rPr>
            <w:fldChar w:fldCharType="separate"/>
          </w:r>
          <w:r>
            <w:rPr>
              <w:color w:val="auto"/>
            </w:rPr>
            <w:t>37</w:t>
          </w:r>
          <w:r>
            <w:rPr>
              <w:color w:val="auto"/>
            </w:rPr>
            <w:fldChar w:fldCharType="end"/>
          </w:r>
          <w:r>
            <w:rPr>
              <w:rFonts w:hint="eastAsia" w:ascii="仿宋" w:hAnsi="仿宋" w:eastAsia="仿宋" w:cs="仿宋"/>
              <w:color w:val="auto"/>
              <w:szCs w:val="24"/>
            </w:rPr>
            <w:fldChar w:fldCharType="end"/>
          </w:r>
        </w:p>
        <w:p w14:paraId="502AEB87">
          <w:pPr>
            <w:pStyle w:val="24"/>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_Toc26568 </w:instrText>
          </w:r>
          <w:r>
            <w:rPr>
              <w:rFonts w:hint="eastAsia" w:ascii="仿宋" w:hAnsi="仿宋" w:eastAsia="仿宋" w:cs="仿宋"/>
              <w:color w:val="auto"/>
              <w:szCs w:val="24"/>
            </w:rPr>
            <w:fldChar w:fldCharType="separate"/>
          </w:r>
          <w:r>
            <w:rPr>
              <w:rFonts w:hint="eastAsia" w:ascii="仿宋" w:hAnsi="仿宋" w:eastAsia="仿宋" w:cs="Times New Roman"/>
              <w:bCs/>
              <w:color w:val="auto"/>
              <w:szCs w:val="36"/>
            </w:rPr>
            <w:t xml:space="preserve">第五章  </w:t>
          </w:r>
          <w:r>
            <w:rPr>
              <w:rFonts w:hint="eastAsia" w:ascii="仿宋" w:hAnsi="仿宋" w:eastAsia="仿宋" w:cs="仿宋"/>
              <w:bCs w:val="0"/>
              <w:color w:val="auto"/>
              <w:kern w:val="44"/>
              <w:szCs w:val="44"/>
              <w:highlight w:val="none"/>
              <w:lang w:val="en-US" w:eastAsia="zh-CN" w:bidi="ar-SA"/>
            </w:rPr>
            <w:t>投标人应当提供的资格、资质性及其他类似效力要求的相关证明材料</w:t>
          </w:r>
          <w:r>
            <w:rPr>
              <w:color w:val="auto"/>
            </w:rPr>
            <w:tab/>
          </w:r>
          <w:r>
            <w:rPr>
              <w:color w:val="auto"/>
            </w:rPr>
            <w:fldChar w:fldCharType="begin"/>
          </w:r>
          <w:r>
            <w:rPr>
              <w:color w:val="auto"/>
            </w:rPr>
            <w:instrText xml:space="preserve"> PAGEREF _Toc26568 \h </w:instrText>
          </w:r>
          <w:r>
            <w:rPr>
              <w:color w:val="auto"/>
            </w:rPr>
            <w:fldChar w:fldCharType="separate"/>
          </w:r>
          <w:r>
            <w:rPr>
              <w:color w:val="auto"/>
            </w:rPr>
            <w:t>38</w:t>
          </w:r>
          <w:r>
            <w:rPr>
              <w:color w:val="auto"/>
            </w:rPr>
            <w:fldChar w:fldCharType="end"/>
          </w:r>
          <w:r>
            <w:rPr>
              <w:rFonts w:hint="eastAsia" w:ascii="仿宋" w:hAnsi="仿宋" w:eastAsia="仿宋" w:cs="仿宋"/>
              <w:color w:val="auto"/>
              <w:szCs w:val="24"/>
            </w:rPr>
            <w:fldChar w:fldCharType="end"/>
          </w:r>
        </w:p>
        <w:p w14:paraId="059A6795">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_Toc11340 </w:instrText>
          </w:r>
          <w:r>
            <w:rPr>
              <w:rFonts w:hint="eastAsia" w:ascii="仿宋" w:hAnsi="仿宋" w:eastAsia="仿宋" w:cs="仿宋"/>
              <w:color w:val="auto"/>
              <w:szCs w:val="24"/>
            </w:rPr>
            <w:fldChar w:fldCharType="separate"/>
          </w:r>
          <w:r>
            <w:rPr>
              <w:rFonts w:hint="eastAsia" w:ascii="仿宋" w:hAnsi="仿宋" w:eastAsia="仿宋"/>
              <w:bCs/>
              <w:color w:val="auto"/>
              <w:szCs w:val="28"/>
            </w:rPr>
            <w:t>一、投标人应当提供的资格、资质性要求的相关证明材料</w:t>
          </w:r>
          <w:r>
            <w:rPr>
              <w:rFonts w:hint="eastAsia" w:ascii="仿宋" w:hAnsi="仿宋" w:eastAsia="仿宋"/>
              <w:bCs/>
              <w:color w:val="auto"/>
              <w:szCs w:val="28"/>
              <w:lang w:val="en-US" w:eastAsia="zh-CN"/>
            </w:rPr>
            <w:t>（各包相同）</w:t>
          </w:r>
          <w:r>
            <w:rPr>
              <w:color w:val="auto"/>
            </w:rPr>
            <w:tab/>
          </w:r>
          <w:r>
            <w:rPr>
              <w:color w:val="auto"/>
            </w:rPr>
            <w:fldChar w:fldCharType="begin"/>
          </w:r>
          <w:r>
            <w:rPr>
              <w:color w:val="auto"/>
            </w:rPr>
            <w:instrText xml:space="preserve"> PAGEREF _Toc11340 \h </w:instrText>
          </w:r>
          <w:r>
            <w:rPr>
              <w:color w:val="auto"/>
            </w:rPr>
            <w:fldChar w:fldCharType="separate"/>
          </w:r>
          <w:r>
            <w:rPr>
              <w:color w:val="auto"/>
            </w:rPr>
            <w:t>38</w:t>
          </w:r>
          <w:r>
            <w:rPr>
              <w:color w:val="auto"/>
            </w:rPr>
            <w:fldChar w:fldCharType="end"/>
          </w:r>
          <w:r>
            <w:rPr>
              <w:rFonts w:hint="eastAsia" w:ascii="仿宋" w:hAnsi="仿宋" w:eastAsia="仿宋" w:cs="仿宋"/>
              <w:color w:val="auto"/>
              <w:szCs w:val="24"/>
            </w:rPr>
            <w:fldChar w:fldCharType="end"/>
          </w:r>
        </w:p>
        <w:p w14:paraId="24A4B537">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_Toc1732 </w:instrText>
          </w:r>
          <w:r>
            <w:rPr>
              <w:rFonts w:hint="eastAsia" w:ascii="仿宋" w:hAnsi="仿宋" w:eastAsia="仿宋" w:cs="仿宋"/>
              <w:color w:val="auto"/>
              <w:szCs w:val="24"/>
            </w:rPr>
            <w:fldChar w:fldCharType="separate"/>
          </w:r>
          <w:r>
            <w:rPr>
              <w:rFonts w:hint="eastAsia" w:ascii="仿宋" w:hAnsi="仿宋" w:eastAsia="仿宋" w:cs="Times New Roman"/>
              <w:bCs/>
              <w:color w:val="auto"/>
              <w:szCs w:val="28"/>
              <w:lang w:val="en-US" w:eastAsia="zh-CN"/>
            </w:rPr>
            <w:t>二、投标人应当提供的其他类似效力证明材料</w:t>
          </w:r>
          <w:r>
            <w:rPr>
              <w:color w:val="auto"/>
            </w:rPr>
            <w:tab/>
          </w:r>
          <w:r>
            <w:rPr>
              <w:color w:val="auto"/>
            </w:rPr>
            <w:fldChar w:fldCharType="begin"/>
          </w:r>
          <w:r>
            <w:rPr>
              <w:color w:val="auto"/>
            </w:rPr>
            <w:instrText xml:space="preserve"> PAGEREF _Toc1732 \h </w:instrText>
          </w:r>
          <w:r>
            <w:rPr>
              <w:color w:val="auto"/>
            </w:rPr>
            <w:fldChar w:fldCharType="separate"/>
          </w:r>
          <w:r>
            <w:rPr>
              <w:color w:val="auto"/>
            </w:rPr>
            <w:t>39</w:t>
          </w:r>
          <w:r>
            <w:rPr>
              <w:color w:val="auto"/>
            </w:rPr>
            <w:fldChar w:fldCharType="end"/>
          </w:r>
          <w:r>
            <w:rPr>
              <w:rFonts w:hint="eastAsia" w:ascii="仿宋" w:hAnsi="仿宋" w:eastAsia="仿宋" w:cs="仿宋"/>
              <w:color w:val="auto"/>
              <w:szCs w:val="24"/>
            </w:rPr>
            <w:fldChar w:fldCharType="end"/>
          </w:r>
        </w:p>
        <w:p w14:paraId="3946FCDB">
          <w:pPr>
            <w:pStyle w:val="24"/>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_Toc19268 </w:instrText>
          </w:r>
          <w:r>
            <w:rPr>
              <w:rFonts w:hint="eastAsia" w:ascii="仿宋" w:hAnsi="仿宋" w:eastAsia="仿宋" w:cs="仿宋"/>
              <w:color w:val="auto"/>
              <w:szCs w:val="24"/>
            </w:rPr>
            <w:fldChar w:fldCharType="separate"/>
          </w:r>
          <w:r>
            <w:rPr>
              <w:rFonts w:hint="eastAsia" w:ascii="仿宋" w:hAnsi="仿宋" w:eastAsia="仿宋" w:cs="Times New Roman"/>
              <w:bCs/>
              <w:color w:val="auto"/>
              <w:szCs w:val="36"/>
            </w:rPr>
            <w:t>第六章  招标项目技术、服务、采购合同内容条款及其他商务要求</w:t>
          </w:r>
          <w:r>
            <w:rPr>
              <w:color w:val="auto"/>
            </w:rPr>
            <w:tab/>
          </w:r>
          <w:r>
            <w:rPr>
              <w:color w:val="auto"/>
            </w:rPr>
            <w:fldChar w:fldCharType="begin"/>
          </w:r>
          <w:r>
            <w:rPr>
              <w:color w:val="auto"/>
            </w:rPr>
            <w:instrText xml:space="preserve"> PAGEREF _Toc19268 \h </w:instrText>
          </w:r>
          <w:r>
            <w:rPr>
              <w:color w:val="auto"/>
            </w:rPr>
            <w:fldChar w:fldCharType="separate"/>
          </w:r>
          <w:r>
            <w:rPr>
              <w:color w:val="auto"/>
            </w:rPr>
            <w:t>40</w:t>
          </w:r>
          <w:r>
            <w:rPr>
              <w:color w:val="auto"/>
            </w:rPr>
            <w:fldChar w:fldCharType="end"/>
          </w:r>
          <w:r>
            <w:rPr>
              <w:rFonts w:hint="eastAsia" w:ascii="仿宋" w:hAnsi="仿宋" w:eastAsia="仿宋" w:cs="仿宋"/>
              <w:color w:val="auto"/>
              <w:szCs w:val="24"/>
            </w:rPr>
            <w:fldChar w:fldCharType="end"/>
          </w:r>
        </w:p>
        <w:p w14:paraId="4C8329D4">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_Toc24120 </w:instrText>
          </w:r>
          <w:r>
            <w:rPr>
              <w:rFonts w:hint="eastAsia" w:ascii="仿宋" w:hAnsi="仿宋" w:eastAsia="仿宋" w:cs="仿宋"/>
              <w:color w:val="auto"/>
              <w:szCs w:val="24"/>
            </w:rPr>
            <w:fldChar w:fldCharType="separate"/>
          </w:r>
          <w:r>
            <w:rPr>
              <w:rFonts w:hint="eastAsia" w:ascii="仿宋" w:hAnsi="仿宋" w:eastAsia="仿宋" w:cs="仿宋"/>
              <w:bCs/>
              <w:color w:val="auto"/>
              <w:highlight w:val="none"/>
              <w:lang w:val="en-US" w:eastAsia="zh-CN"/>
            </w:rPr>
            <w:t>一、项目概述</w:t>
          </w:r>
          <w:r>
            <w:rPr>
              <w:color w:val="auto"/>
            </w:rPr>
            <w:tab/>
          </w:r>
          <w:r>
            <w:rPr>
              <w:color w:val="auto"/>
            </w:rPr>
            <w:fldChar w:fldCharType="begin"/>
          </w:r>
          <w:r>
            <w:rPr>
              <w:color w:val="auto"/>
            </w:rPr>
            <w:instrText xml:space="preserve"> PAGEREF _Toc24120 \h </w:instrText>
          </w:r>
          <w:r>
            <w:rPr>
              <w:color w:val="auto"/>
            </w:rPr>
            <w:fldChar w:fldCharType="separate"/>
          </w:r>
          <w:r>
            <w:rPr>
              <w:color w:val="auto"/>
            </w:rPr>
            <w:t>40</w:t>
          </w:r>
          <w:r>
            <w:rPr>
              <w:color w:val="auto"/>
            </w:rPr>
            <w:fldChar w:fldCharType="end"/>
          </w:r>
          <w:r>
            <w:rPr>
              <w:rFonts w:hint="eastAsia" w:ascii="仿宋" w:hAnsi="仿宋" w:eastAsia="仿宋" w:cs="仿宋"/>
              <w:color w:val="auto"/>
              <w:szCs w:val="24"/>
            </w:rPr>
            <w:fldChar w:fldCharType="end"/>
          </w:r>
        </w:p>
        <w:p w14:paraId="54A32777">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_Toc12143 </w:instrText>
          </w:r>
          <w:r>
            <w:rPr>
              <w:rFonts w:hint="eastAsia" w:ascii="仿宋" w:hAnsi="仿宋" w:eastAsia="仿宋" w:cs="仿宋"/>
              <w:color w:val="auto"/>
              <w:szCs w:val="24"/>
            </w:rPr>
            <w:fldChar w:fldCharType="separate"/>
          </w:r>
          <w:r>
            <w:rPr>
              <w:rFonts w:hint="eastAsia" w:ascii="仿宋" w:hAnsi="仿宋" w:eastAsia="仿宋" w:cs="仿宋"/>
              <w:bCs/>
              <w:color w:val="auto"/>
              <w:lang w:val="en-US" w:eastAsia="zh-CN"/>
            </w:rPr>
            <w:t xml:space="preserve">二、 </w:t>
          </w:r>
          <w:r>
            <w:rPr>
              <w:rFonts w:hint="eastAsia" w:ascii="仿宋" w:hAnsi="仿宋" w:eastAsia="仿宋" w:cs="仿宋"/>
              <w:bCs/>
              <w:color w:val="auto"/>
              <w:highlight w:val="none"/>
              <w:lang w:val="en-US" w:eastAsia="zh-CN"/>
            </w:rPr>
            <w:t>项目清单</w:t>
          </w:r>
          <w:r>
            <w:rPr>
              <w:color w:val="auto"/>
            </w:rPr>
            <w:tab/>
          </w:r>
          <w:r>
            <w:rPr>
              <w:color w:val="auto"/>
            </w:rPr>
            <w:fldChar w:fldCharType="begin"/>
          </w:r>
          <w:r>
            <w:rPr>
              <w:color w:val="auto"/>
            </w:rPr>
            <w:instrText xml:space="preserve"> PAGEREF _Toc12143 \h </w:instrText>
          </w:r>
          <w:r>
            <w:rPr>
              <w:color w:val="auto"/>
            </w:rPr>
            <w:fldChar w:fldCharType="separate"/>
          </w:r>
          <w:r>
            <w:rPr>
              <w:color w:val="auto"/>
            </w:rPr>
            <w:t>40</w:t>
          </w:r>
          <w:r>
            <w:rPr>
              <w:color w:val="auto"/>
            </w:rPr>
            <w:fldChar w:fldCharType="end"/>
          </w:r>
          <w:r>
            <w:rPr>
              <w:rFonts w:hint="eastAsia" w:ascii="仿宋" w:hAnsi="仿宋" w:eastAsia="仿宋" w:cs="仿宋"/>
              <w:color w:val="auto"/>
              <w:szCs w:val="24"/>
            </w:rPr>
            <w:fldChar w:fldCharType="end"/>
          </w:r>
        </w:p>
        <w:p w14:paraId="4E5A5209">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_Toc23359 </w:instrText>
          </w:r>
          <w:r>
            <w:rPr>
              <w:rFonts w:hint="eastAsia" w:ascii="仿宋" w:hAnsi="仿宋" w:eastAsia="仿宋" w:cs="仿宋"/>
              <w:color w:val="auto"/>
              <w:szCs w:val="24"/>
            </w:rPr>
            <w:fldChar w:fldCharType="separate"/>
          </w:r>
          <w:r>
            <w:rPr>
              <w:rFonts w:hint="eastAsia" w:ascii="仿宋" w:hAnsi="仿宋" w:eastAsia="仿宋" w:cs="仿宋"/>
              <w:bCs/>
              <w:color w:val="auto"/>
              <w:lang w:val="en-US" w:eastAsia="zh-CN"/>
            </w:rPr>
            <w:t xml:space="preserve">三、 </w:t>
          </w:r>
          <w:r>
            <w:rPr>
              <w:rFonts w:hint="eastAsia" w:ascii="仿宋" w:hAnsi="仿宋" w:eastAsia="仿宋" w:cs="仿宋"/>
              <w:bCs/>
              <w:color w:val="auto"/>
              <w:highlight w:val="none"/>
              <w:lang w:val="en-US" w:eastAsia="zh-CN"/>
            </w:rPr>
            <w:t>技术参数要求</w:t>
          </w:r>
          <w:r>
            <w:rPr>
              <w:color w:val="auto"/>
            </w:rPr>
            <w:tab/>
          </w:r>
          <w:r>
            <w:rPr>
              <w:color w:val="auto"/>
            </w:rPr>
            <w:fldChar w:fldCharType="begin"/>
          </w:r>
          <w:r>
            <w:rPr>
              <w:color w:val="auto"/>
            </w:rPr>
            <w:instrText xml:space="preserve"> PAGEREF _Toc23359 \h </w:instrText>
          </w:r>
          <w:r>
            <w:rPr>
              <w:color w:val="auto"/>
            </w:rPr>
            <w:fldChar w:fldCharType="separate"/>
          </w:r>
          <w:r>
            <w:rPr>
              <w:color w:val="auto"/>
            </w:rPr>
            <w:t>42</w:t>
          </w:r>
          <w:r>
            <w:rPr>
              <w:color w:val="auto"/>
            </w:rPr>
            <w:fldChar w:fldCharType="end"/>
          </w:r>
          <w:r>
            <w:rPr>
              <w:rFonts w:hint="eastAsia" w:ascii="仿宋" w:hAnsi="仿宋" w:eastAsia="仿宋" w:cs="仿宋"/>
              <w:color w:val="auto"/>
              <w:szCs w:val="24"/>
            </w:rPr>
            <w:fldChar w:fldCharType="end"/>
          </w:r>
        </w:p>
        <w:p w14:paraId="6969FB5E">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_Toc96 </w:instrText>
          </w:r>
          <w:r>
            <w:rPr>
              <w:rFonts w:hint="eastAsia" w:ascii="仿宋" w:hAnsi="仿宋" w:eastAsia="仿宋" w:cs="仿宋"/>
              <w:color w:val="auto"/>
              <w:szCs w:val="24"/>
            </w:rPr>
            <w:fldChar w:fldCharType="separate"/>
          </w:r>
          <w:r>
            <w:rPr>
              <w:rFonts w:hint="eastAsia" w:ascii="仿宋" w:hAnsi="仿宋" w:eastAsia="仿宋" w:cs="仿宋"/>
              <w:bCs/>
              <w:color w:val="auto"/>
              <w:kern w:val="2"/>
              <w:szCs w:val="32"/>
              <w:highlight w:val="none"/>
              <w:lang w:val="en-US" w:eastAsia="zh-CN" w:bidi="ar-SA"/>
            </w:rPr>
            <w:t>★</w:t>
          </w:r>
          <w:r>
            <w:rPr>
              <w:rFonts w:hint="eastAsia" w:ascii="仿宋" w:hAnsi="仿宋" w:eastAsia="仿宋" w:cs="仿宋"/>
              <w:bCs/>
              <w:color w:val="auto"/>
              <w:highlight w:val="none"/>
              <w:lang w:val="en-US" w:eastAsia="zh-CN"/>
            </w:rPr>
            <w:t>四、商务要求（各包相同）</w:t>
          </w:r>
          <w:r>
            <w:rPr>
              <w:color w:val="auto"/>
            </w:rPr>
            <w:tab/>
          </w:r>
          <w:r>
            <w:rPr>
              <w:color w:val="auto"/>
            </w:rPr>
            <w:fldChar w:fldCharType="begin"/>
          </w:r>
          <w:r>
            <w:rPr>
              <w:color w:val="auto"/>
            </w:rPr>
            <w:instrText xml:space="preserve"> PAGEREF _Toc96 \h </w:instrText>
          </w:r>
          <w:r>
            <w:rPr>
              <w:color w:val="auto"/>
            </w:rPr>
            <w:fldChar w:fldCharType="separate"/>
          </w:r>
          <w:r>
            <w:rPr>
              <w:color w:val="auto"/>
            </w:rPr>
            <w:t>47</w:t>
          </w:r>
          <w:r>
            <w:rPr>
              <w:color w:val="auto"/>
            </w:rPr>
            <w:fldChar w:fldCharType="end"/>
          </w:r>
          <w:r>
            <w:rPr>
              <w:rFonts w:hint="eastAsia" w:ascii="仿宋" w:hAnsi="仿宋" w:eastAsia="仿宋" w:cs="仿宋"/>
              <w:color w:val="auto"/>
              <w:szCs w:val="24"/>
            </w:rPr>
            <w:fldChar w:fldCharType="end"/>
          </w:r>
        </w:p>
        <w:p w14:paraId="67C0A53D">
          <w:pPr>
            <w:pStyle w:val="24"/>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_Toc17018 </w:instrText>
          </w:r>
          <w:r>
            <w:rPr>
              <w:rFonts w:hint="eastAsia" w:ascii="仿宋" w:hAnsi="仿宋" w:eastAsia="仿宋" w:cs="仿宋"/>
              <w:color w:val="auto"/>
              <w:szCs w:val="24"/>
            </w:rPr>
            <w:fldChar w:fldCharType="separate"/>
          </w:r>
          <w:r>
            <w:rPr>
              <w:rFonts w:hint="eastAsia" w:ascii="仿宋" w:hAnsi="仿宋" w:eastAsia="仿宋" w:cs="Times New Roman"/>
              <w:bCs/>
              <w:color w:val="auto"/>
              <w:szCs w:val="36"/>
            </w:rPr>
            <w:t>第七章  评标办法</w:t>
          </w:r>
          <w:r>
            <w:rPr>
              <w:color w:val="auto"/>
            </w:rPr>
            <w:tab/>
          </w:r>
          <w:r>
            <w:rPr>
              <w:color w:val="auto"/>
            </w:rPr>
            <w:fldChar w:fldCharType="begin"/>
          </w:r>
          <w:r>
            <w:rPr>
              <w:color w:val="auto"/>
            </w:rPr>
            <w:instrText xml:space="preserve"> PAGEREF _Toc17018 \h </w:instrText>
          </w:r>
          <w:r>
            <w:rPr>
              <w:color w:val="auto"/>
            </w:rPr>
            <w:fldChar w:fldCharType="separate"/>
          </w:r>
          <w:r>
            <w:rPr>
              <w:color w:val="auto"/>
            </w:rPr>
            <w:t>50</w:t>
          </w:r>
          <w:r>
            <w:rPr>
              <w:color w:val="auto"/>
            </w:rPr>
            <w:fldChar w:fldCharType="end"/>
          </w:r>
          <w:r>
            <w:rPr>
              <w:rFonts w:hint="eastAsia" w:ascii="仿宋" w:hAnsi="仿宋" w:eastAsia="仿宋" w:cs="仿宋"/>
              <w:color w:val="auto"/>
              <w:szCs w:val="24"/>
            </w:rPr>
            <w:fldChar w:fldCharType="end"/>
          </w:r>
        </w:p>
        <w:p w14:paraId="5EEC5242">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_Toc9767 </w:instrText>
          </w:r>
          <w:r>
            <w:rPr>
              <w:rFonts w:hint="eastAsia" w:ascii="仿宋" w:hAnsi="仿宋" w:eastAsia="仿宋" w:cs="仿宋"/>
              <w:color w:val="auto"/>
              <w:szCs w:val="24"/>
            </w:rPr>
            <w:fldChar w:fldCharType="separate"/>
          </w:r>
          <w:r>
            <w:rPr>
              <w:rFonts w:hint="eastAsia" w:ascii="仿宋" w:hAnsi="仿宋" w:eastAsia="仿宋" w:cs="Times New Roman"/>
              <w:bCs/>
              <w:color w:val="auto"/>
              <w:szCs w:val="28"/>
              <w:lang w:val="en-US" w:eastAsia="zh-CN"/>
            </w:rPr>
            <w:t>一、总则</w:t>
          </w:r>
          <w:r>
            <w:rPr>
              <w:color w:val="auto"/>
            </w:rPr>
            <w:tab/>
          </w:r>
          <w:r>
            <w:rPr>
              <w:color w:val="auto"/>
            </w:rPr>
            <w:fldChar w:fldCharType="begin"/>
          </w:r>
          <w:r>
            <w:rPr>
              <w:color w:val="auto"/>
            </w:rPr>
            <w:instrText xml:space="preserve"> PAGEREF _Toc9767 \h </w:instrText>
          </w:r>
          <w:r>
            <w:rPr>
              <w:color w:val="auto"/>
            </w:rPr>
            <w:fldChar w:fldCharType="separate"/>
          </w:r>
          <w:r>
            <w:rPr>
              <w:color w:val="auto"/>
            </w:rPr>
            <w:t>50</w:t>
          </w:r>
          <w:r>
            <w:rPr>
              <w:color w:val="auto"/>
            </w:rPr>
            <w:fldChar w:fldCharType="end"/>
          </w:r>
          <w:r>
            <w:rPr>
              <w:rFonts w:hint="eastAsia" w:ascii="仿宋" w:hAnsi="仿宋" w:eastAsia="仿宋" w:cs="仿宋"/>
              <w:color w:val="auto"/>
              <w:szCs w:val="24"/>
            </w:rPr>
            <w:fldChar w:fldCharType="end"/>
          </w:r>
        </w:p>
        <w:p w14:paraId="273D5441">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_Toc484 </w:instrText>
          </w:r>
          <w:r>
            <w:rPr>
              <w:rFonts w:hint="eastAsia" w:ascii="仿宋" w:hAnsi="仿宋" w:eastAsia="仿宋" w:cs="仿宋"/>
              <w:color w:val="auto"/>
              <w:szCs w:val="24"/>
            </w:rPr>
            <w:fldChar w:fldCharType="separate"/>
          </w:r>
          <w:r>
            <w:rPr>
              <w:rFonts w:hint="eastAsia" w:ascii="仿宋" w:hAnsi="仿宋" w:eastAsia="仿宋" w:cs="Times New Roman"/>
              <w:bCs/>
              <w:color w:val="auto"/>
              <w:szCs w:val="28"/>
              <w:lang w:val="en-US" w:eastAsia="zh-CN"/>
            </w:rPr>
            <w:t>二、评标方法</w:t>
          </w:r>
          <w:r>
            <w:rPr>
              <w:color w:val="auto"/>
            </w:rPr>
            <w:tab/>
          </w:r>
          <w:r>
            <w:rPr>
              <w:color w:val="auto"/>
            </w:rPr>
            <w:fldChar w:fldCharType="begin"/>
          </w:r>
          <w:r>
            <w:rPr>
              <w:color w:val="auto"/>
            </w:rPr>
            <w:instrText xml:space="preserve"> PAGEREF _Toc484 \h </w:instrText>
          </w:r>
          <w:r>
            <w:rPr>
              <w:color w:val="auto"/>
            </w:rPr>
            <w:fldChar w:fldCharType="separate"/>
          </w:r>
          <w:r>
            <w:rPr>
              <w:color w:val="auto"/>
            </w:rPr>
            <w:t>50</w:t>
          </w:r>
          <w:r>
            <w:rPr>
              <w:color w:val="auto"/>
            </w:rPr>
            <w:fldChar w:fldCharType="end"/>
          </w:r>
          <w:r>
            <w:rPr>
              <w:rFonts w:hint="eastAsia" w:ascii="仿宋" w:hAnsi="仿宋" w:eastAsia="仿宋" w:cs="仿宋"/>
              <w:color w:val="auto"/>
              <w:szCs w:val="24"/>
            </w:rPr>
            <w:fldChar w:fldCharType="end"/>
          </w:r>
        </w:p>
        <w:p w14:paraId="197BB832">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_Toc3154 </w:instrText>
          </w:r>
          <w:r>
            <w:rPr>
              <w:rFonts w:hint="eastAsia" w:ascii="仿宋" w:hAnsi="仿宋" w:eastAsia="仿宋" w:cs="仿宋"/>
              <w:color w:val="auto"/>
              <w:szCs w:val="24"/>
            </w:rPr>
            <w:fldChar w:fldCharType="separate"/>
          </w:r>
          <w:r>
            <w:rPr>
              <w:rFonts w:hint="eastAsia" w:ascii="仿宋" w:hAnsi="仿宋" w:eastAsia="仿宋" w:cs="Times New Roman"/>
              <w:bCs/>
              <w:color w:val="auto"/>
              <w:szCs w:val="28"/>
              <w:lang w:val="en-US" w:eastAsia="zh-CN"/>
            </w:rPr>
            <w:t>三、评标程序</w:t>
          </w:r>
          <w:r>
            <w:rPr>
              <w:color w:val="auto"/>
            </w:rPr>
            <w:tab/>
          </w:r>
          <w:r>
            <w:rPr>
              <w:color w:val="auto"/>
            </w:rPr>
            <w:fldChar w:fldCharType="begin"/>
          </w:r>
          <w:r>
            <w:rPr>
              <w:color w:val="auto"/>
            </w:rPr>
            <w:instrText xml:space="preserve"> PAGEREF _Toc3154 \h </w:instrText>
          </w:r>
          <w:r>
            <w:rPr>
              <w:color w:val="auto"/>
            </w:rPr>
            <w:fldChar w:fldCharType="separate"/>
          </w:r>
          <w:r>
            <w:rPr>
              <w:color w:val="auto"/>
            </w:rPr>
            <w:t>50</w:t>
          </w:r>
          <w:r>
            <w:rPr>
              <w:color w:val="auto"/>
            </w:rPr>
            <w:fldChar w:fldCharType="end"/>
          </w:r>
          <w:r>
            <w:rPr>
              <w:rFonts w:hint="eastAsia" w:ascii="仿宋" w:hAnsi="仿宋" w:eastAsia="仿宋" w:cs="仿宋"/>
              <w:color w:val="auto"/>
              <w:szCs w:val="24"/>
            </w:rPr>
            <w:fldChar w:fldCharType="end"/>
          </w:r>
        </w:p>
        <w:p w14:paraId="123DFC96">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_Toc15944 </w:instrText>
          </w:r>
          <w:r>
            <w:rPr>
              <w:rFonts w:hint="eastAsia" w:ascii="仿宋" w:hAnsi="仿宋" w:eastAsia="仿宋" w:cs="仿宋"/>
              <w:color w:val="auto"/>
              <w:szCs w:val="24"/>
            </w:rPr>
            <w:fldChar w:fldCharType="separate"/>
          </w:r>
          <w:r>
            <w:rPr>
              <w:rFonts w:hint="eastAsia" w:ascii="仿宋" w:hAnsi="仿宋" w:eastAsia="仿宋" w:cs="Times New Roman"/>
              <w:bCs/>
              <w:color w:val="auto"/>
              <w:szCs w:val="28"/>
              <w:lang w:val="en-US" w:eastAsia="zh-CN"/>
            </w:rPr>
            <w:t>四、评标细则及标准</w:t>
          </w:r>
          <w:r>
            <w:rPr>
              <w:color w:val="auto"/>
            </w:rPr>
            <w:tab/>
          </w:r>
          <w:r>
            <w:rPr>
              <w:color w:val="auto"/>
            </w:rPr>
            <w:fldChar w:fldCharType="begin"/>
          </w:r>
          <w:r>
            <w:rPr>
              <w:color w:val="auto"/>
            </w:rPr>
            <w:instrText xml:space="preserve"> PAGEREF _Toc15944 \h </w:instrText>
          </w:r>
          <w:r>
            <w:rPr>
              <w:color w:val="auto"/>
            </w:rPr>
            <w:fldChar w:fldCharType="separate"/>
          </w:r>
          <w:r>
            <w:rPr>
              <w:color w:val="auto"/>
            </w:rPr>
            <w:t>55</w:t>
          </w:r>
          <w:r>
            <w:rPr>
              <w:color w:val="auto"/>
            </w:rPr>
            <w:fldChar w:fldCharType="end"/>
          </w:r>
          <w:r>
            <w:rPr>
              <w:rFonts w:hint="eastAsia" w:ascii="仿宋" w:hAnsi="仿宋" w:eastAsia="仿宋" w:cs="仿宋"/>
              <w:color w:val="auto"/>
              <w:szCs w:val="24"/>
            </w:rPr>
            <w:fldChar w:fldCharType="end"/>
          </w:r>
        </w:p>
        <w:p w14:paraId="05891020">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_Toc30227 </w:instrText>
          </w:r>
          <w:r>
            <w:rPr>
              <w:rFonts w:hint="eastAsia" w:ascii="仿宋" w:hAnsi="仿宋" w:eastAsia="仿宋" w:cs="仿宋"/>
              <w:color w:val="auto"/>
              <w:szCs w:val="24"/>
            </w:rPr>
            <w:fldChar w:fldCharType="separate"/>
          </w:r>
          <w:r>
            <w:rPr>
              <w:rFonts w:hint="eastAsia" w:ascii="仿宋" w:hAnsi="仿宋" w:eastAsia="仿宋" w:cs="Times New Roman"/>
              <w:bCs/>
              <w:color w:val="auto"/>
              <w:szCs w:val="28"/>
              <w:lang w:val="en-US" w:eastAsia="zh-CN"/>
            </w:rPr>
            <w:t>五、废 标</w:t>
          </w:r>
          <w:r>
            <w:rPr>
              <w:color w:val="auto"/>
            </w:rPr>
            <w:tab/>
          </w:r>
          <w:r>
            <w:rPr>
              <w:color w:val="auto"/>
            </w:rPr>
            <w:fldChar w:fldCharType="begin"/>
          </w:r>
          <w:r>
            <w:rPr>
              <w:color w:val="auto"/>
            </w:rPr>
            <w:instrText xml:space="preserve"> PAGEREF _Toc30227 \h </w:instrText>
          </w:r>
          <w:r>
            <w:rPr>
              <w:color w:val="auto"/>
            </w:rPr>
            <w:fldChar w:fldCharType="separate"/>
          </w:r>
          <w:r>
            <w:rPr>
              <w:color w:val="auto"/>
            </w:rPr>
            <w:t>56</w:t>
          </w:r>
          <w:r>
            <w:rPr>
              <w:color w:val="auto"/>
            </w:rPr>
            <w:fldChar w:fldCharType="end"/>
          </w:r>
          <w:r>
            <w:rPr>
              <w:rFonts w:hint="eastAsia" w:ascii="仿宋" w:hAnsi="仿宋" w:eastAsia="仿宋" w:cs="仿宋"/>
              <w:color w:val="auto"/>
              <w:szCs w:val="24"/>
            </w:rPr>
            <w:fldChar w:fldCharType="end"/>
          </w:r>
        </w:p>
        <w:p w14:paraId="10D221C8">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_Toc24927 </w:instrText>
          </w:r>
          <w:r>
            <w:rPr>
              <w:rFonts w:hint="eastAsia" w:ascii="仿宋" w:hAnsi="仿宋" w:eastAsia="仿宋" w:cs="仿宋"/>
              <w:color w:val="auto"/>
              <w:szCs w:val="24"/>
            </w:rPr>
            <w:fldChar w:fldCharType="separate"/>
          </w:r>
          <w:r>
            <w:rPr>
              <w:rFonts w:hint="eastAsia" w:ascii="仿宋" w:hAnsi="仿宋" w:eastAsia="仿宋" w:cs="Times New Roman"/>
              <w:bCs/>
              <w:color w:val="auto"/>
              <w:szCs w:val="28"/>
              <w:lang w:val="en-US" w:eastAsia="zh-CN"/>
            </w:rPr>
            <w:t>六、定标</w:t>
          </w:r>
          <w:r>
            <w:rPr>
              <w:color w:val="auto"/>
            </w:rPr>
            <w:tab/>
          </w:r>
          <w:r>
            <w:rPr>
              <w:color w:val="auto"/>
            </w:rPr>
            <w:fldChar w:fldCharType="begin"/>
          </w:r>
          <w:r>
            <w:rPr>
              <w:color w:val="auto"/>
            </w:rPr>
            <w:instrText xml:space="preserve"> PAGEREF _Toc24927 \h </w:instrText>
          </w:r>
          <w:r>
            <w:rPr>
              <w:color w:val="auto"/>
            </w:rPr>
            <w:fldChar w:fldCharType="separate"/>
          </w:r>
          <w:r>
            <w:rPr>
              <w:color w:val="auto"/>
            </w:rPr>
            <w:t>56</w:t>
          </w:r>
          <w:r>
            <w:rPr>
              <w:color w:val="auto"/>
            </w:rPr>
            <w:fldChar w:fldCharType="end"/>
          </w:r>
          <w:r>
            <w:rPr>
              <w:rFonts w:hint="eastAsia" w:ascii="仿宋" w:hAnsi="仿宋" w:eastAsia="仿宋" w:cs="仿宋"/>
              <w:color w:val="auto"/>
              <w:szCs w:val="24"/>
            </w:rPr>
            <w:fldChar w:fldCharType="end"/>
          </w:r>
        </w:p>
        <w:p w14:paraId="4438D65B">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_Toc13408 </w:instrText>
          </w:r>
          <w:r>
            <w:rPr>
              <w:rFonts w:hint="eastAsia" w:ascii="仿宋" w:hAnsi="仿宋" w:eastAsia="仿宋" w:cs="仿宋"/>
              <w:color w:val="auto"/>
              <w:szCs w:val="24"/>
            </w:rPr>
            <w:fldChar w:fldCharType="separate"/>
          </w:r>
          <w:r>
            <w:rPr>
              <w:rFonts w:hint="eastAsia" w:ascii="仿宋" w:hAnsi="仿宋" w:eastAsia="仿宋" w:cs="Times New Roman"/>
              <w:bCs/>
              <w:color w:val="auto"/>
              <w:szCs w:val="28"/>
              <w:lang w:val="en-US" w:eastAsia="zh-CN"/>
            </w:rPr>
            <w:t>七、评标专家在采购活动中承担以下义务</w:t>
          </w:r>
          <w:r>
            <w:rPr>
              <w:color w:val="auto"/>
            </w:rPr>
            <w:tab/>
          </w:r>
          <w:r>
            <w:rPr>
              <w:color w:val="auto"/>
            </w:rPr>
            <w:fldChar w:fldCharType="begin"/>
          </w:r>
          <w:r>
            <w:rPr>
              <w:color w:val="auto"/>
            </w:rPr>
            <w:instrText xml:space="preserve"> PAGEREF _Toc13408 \h </w:instrText>
          </w:r>
          <w:r>
            <w:rPr>
              <w:color w:val="auto"/>
            </w:rPr>
            <w:fldChar w:fldCharType="separate"/>
          </w:r>
          <w:r>
            <w:rPr>
              <w:color w:val="auto"/>
            </w:rPr>
            <w:t>57</w:t>
          </w:r>
          <w:r>
            <w:rPr>
              <w:color w:val="auto"/>
            </w:rPr>
            <w:fldChar w:fldCharType="end"/>
          </w:r>
          <w:r>
            <w:rPr>
              <w:rFonts w:hint="eastAsia" w:ascii="仿宋" w:hAnsi="仿宋" w:eastAsia="仿宋" w:cs="仿宋"/>
              <w:color w:val="auto"/>
              <w:szCs w:val="24"/>
            </w:rPr>
            <w:fldChar w:fldCharType="end"/>
          </w:r>
        </w:p>
        <w:p w14:paraId="49C12E9A">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_Toc21984 </w:instrText>
          </w:r>
          <w:r>
            <w:rPr>
              <w:rFonts w:hint="eastAsia" w:ascii="仿宋" w:hAnsi="仿宋" w:eastAsia="仿宋" w:cs="仿宋"/>
              <w:color w:val="auto"/>
              <w:szCs w:val="24"/>
            </w:rPr>
            <w:fldChar w:fldCharType="separate"/>
          </w:r>
          <w:r>
            <w:rPr>
              <w:rFonts w:hint="eastAsia" w:ascii="仿宋" w:hAnsi="仿宋" w:eastAsia="仿宋" w:cs="Times New Roman"/>
              <w:bCs/>
              <w:color w:val="auto"/>
              <w:szCs w:val="28"/>
              <w:lang w:val="en-US" w:eastAsia="zh-CN"/>
            </w:rPr>
            <w:t>八、评标专家在采购活动中应当遵守以下工作纪律</w:t>
          </w:r>
          <w:r>
            <w:rPr>
              <w:color w:val="auto"/>
            </w:rPr>
            <w:tab/>
          </w:r>
          <w:r>
            <w:rPr>
              <w:color w:val="auto"/>
            </w:rPr>
            <w:fldChar w:fldCharType="begin"/>
          </w:r>
          <w:r>
            <w:rPr>
              <w:color w:val="auto"/>
            </w:rPr>
            <w:instrText xml:space="preserve"> PAGEREF _Toc21984 \h </w:instrText>
          </w:r>
          <w:r>
            <w:rPr>
              <w:color w:val="auto"/>
            </w:rPr>
            <w:fldChar w:fldCharType="separate"/>
          </w:r>
          <w:r>
            <w:rPr>
              <w:color w:val="auto"/>
            </w:rPr>
            <w:t>57</w:t>
          </w:r>
          <w:r>
            <w:rPr>
              <w:color w:val="auto"/>
            </w:rPr>
            <w:fldChar w:fldCharType="end"/>
          </w:r>
          <w:r>
            <w:rPr>
              <w:rFonts w:hint="eastAsia" w:ascii="仿宋" w:hAnsi="仿宋" w:eastAsia="仿宋" w:cs="仿宋"/>
              <w:color w:val="auto"/>
              <w:szCs w:val="24"/>
            </w:rPr>
            <w:fldChar w:fldCharType="end"/>
          </w:r>
        </w:p>
        <w:p w14:paraId="4B353858">
          <w:pPr>
            <w:pStyle w:val="24"/>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_Toc22088 </w:instrText>
          </w:r>
          <w:r>
            <w:rPr>
              <w:rFonts w:hint="eastAsia" w:ascii="仿宋" w:hAnsi="仿宋" w:eastAsia="仿宋" w:cs="仿宋"/>
              <w:color w:val="auto"/>
              <w:szCs w:val="24"/>
            </w:rPr>
            <w:fldChar w:fldCharType="separate"/>
          </w:r>
          <w:r>
            <w:rPr>
              <w:rFonts w:hint="eastAsia" w:ascii="仿宋" w:hAnsi="仿宋" w:eastAsia="仿宋" w:cs="仿宋"/>
              <w:bCs w:val="0"/>
              <w:color w:val="auto"/>
              <w:kern w:val="2"/>
              <w:szCs w:val="36"/>
              <w:highlight w:val="none"/>
              <w:lang w:val="en-US" w:eastAsia="zh-CN" w:bidi="ar-SA"/>
            </w:rPr>
            <w:t>第八章  采购合同</w:t>
          </w:r>
          <w:r>
            <w:rPr>
              <w:color w:val="auto"/>
            </w:rPr>
            <w:tab/>
          </w:r>
          <w:r>
            <w:rPr>
              <w:color w:val="auto"/>
            </w:rPr>
            <w:fldChar w:fldCharType="begin"/>
          </w:r>
          <w:r>
            <w:rPr>
              <w:color w:val="auto"/>
            </w:rPr>
            <w:instrText xml:space="preserve"> PAGEREF _Toc22088 \h </w:instrText>
          </w:r>
          <w:r>
            <w:rPr>
              <w:color w:val="auto"/>
            </w:rPr>
            <w:fldChar w:fldCharType="separate"/>
          </w:r>
          <w:r>
            <w:rPr>
              <w:color w:val="auto"/>
            </w:rPr>
            <w:t>59</w:t>
          </w:r>
          <w:r>
            <w:rPr>
              <w:color w:val="auto"/>
            </w:rPr>
            <w:fldChar w:fldCharType="end"/>
          </w:r>
          <w:r>
            <w:rPr>
              <w:rFonts w:hint="eastAsia" w:ascii="仿宋" w:hAnsi="仿宋" w:eastAsia="仿宋" w:cs="仿宋"/>
              <w:color w:val="auto"/>
              <w:szCs w:val="24"/>
            </w:rPr>
            <w:fldChar w:fldCharType="end"/>
          </w:r>
        </w:p>
        <w:p w14:paraId="54CE9598">
          <w:pPr>
            <w:pStyle w:val="24"/>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_Toc18694 </w:instrText>
          </w:r>
          <w:r>
            <w:rPr>
              <w:rFonts w:hint="eastAsia" w:ascii="仿宋" w:hAnsi="仿宋" w:eastAsia="仿宋" w:cs="仿宋"/>
              <w:color w:val="auto"/>
              <w:szCs w:val="24"/>
            </w:rPr>
            <w:fldChar w:fldCharType="separate"/>
          </w:r>
          <w:r>
            <w:rPr>
              <w:rFonts w:hint="eastAsia" w:ascii="仿宋" w:hAnsi="仿宋" w:eastAsia="仿宋" w:cs="仿宋"/>
              <w:bCs/>
              <w:color w:val="auto"/>
              <w:szCs w:val="36"/>
              <w:highlight w:val="none"/>
              <w:lang w:val="en-US" w:eastAsia="zh-CN"/>
            </w:rPr>
            <w:t>第九章  附件</w:t>
          </w:r>
          <w:r>
            <w:rPr>
              <w:color w:val="auto"/>
            </w:rPr>
            <w:tab/>
          </w:r>
          <w:r>
            <w:rPr>
              <w:color w:val="auto"/>
            </w:rPr>
            <w:fldChar w:fldCharType="begin"/>
          </w:r>
          <w:r>
            <w:rPr>
              <w:color w:val="auto"/>
            </w:rPr>
            <w:instrText xml:space="preserve"> PAGEREF _Toc18694 \h </w:instrText>
          </w:r>
          <w:r>
            <w:rPr>
              <w:color w:val="auto"/>
            </w:rPr>
            <w:fldChar w:fldCharType="separate"/>
          </w:r>
          <w:r>
            <w:rPr>
              <w:color w:val="auto"/>
            </w:rPr>
            <w:t>64</w:t>
          </w:r>
          <w:r>
            <w:rPr>
              <w:color w:val="auto"/>
            </w:rPr>
            <w:fldChar w:fldCharType="end"/>
          </w:r>
          <w:r>
            <w:rPr>
              <w:rFonts w:hint="eastAsia" w:ascii="仿宋" w:hAnsi="仿宋" w:eastAsia="仿宋" w:cs="仿宋"/>
              <w:color w:val="auto"/>
              <w:szCs w:val="24"/>
            </w:rPr>
            <w:fldChar w:fldCharType="end"/>
          </w:r>
        </w:p>
        <w:p w14:paraId="14FC5811">
          <w:pPr>
            <w:pStyle w:val="27"/>
            <w:tabs>
              <w:tab w:val="right" w:leader="dot" w:pos="9639"/>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_Toc27868 </w:instrText>
          </w:r>
          <w:r>
            <w:rPr>
              <w:rFonts w:hint="eastAsia" w:ascii="仿宋" w:hAnsi="仿宋" w:eastAsia="仿宋" w:cs="仿宋"/>
              <w:color w:val="auto"/>
              <w:szCs w:val="24"/>
            </w:rPr>
            <w:fldChar w:fldCharType="separate"/>
          </w:r>
          <w:r>
            <w:rPr>
              <w:rFonts w:hint="eastAsia" w:ascii="仿宋" w:hAnsi="仿宋" w:eastAsia="仿宋" w:cs="仿宋"/>
              <w:bCs/>
              <w:color w:val="auto"/>
              <w:kern w:val="44"/>
              <w:szCs w:val="30"/>
            </w:rPr>
            <w:t>附件</w:t>
          </w:r>
          <w:r>
            <w:rPr>
              <w:rFonts w:hint="eastAsia" w:ascii="仿宋" w:hAnsi="仿宋" w:eastAsia="仿宋" w:cs="仿宋"/>
              <w:bCs/>
              <w:color w:val="auto"/>
              <w:kern w:val="44"/>
              <w:szCs w:val="30"/>
              <w:lang w:val="en-US" w:eastAsia="zh-CN"/>
            </w:rPr>
            <w:t xml:space="preserve"> </w:t>
          </w:r>
          <w:r>
            <w:rPr>
              <w:rFonts w:hint="eastAsia" w:ascii="仿宋" w:hAnsi="仿宋" w:eastAsia="仿宋" w:cs="仿宋"/>
              <w:bCs/>
              <w:color w:val="auto"/>
              <w:kern w:val="44"/>
              <w:szCs w:val="30"/>
            </w:rPr>
            <w:t xml:space="preserve"> 报名登记表</w:t>
          </w:r>
          <w:r>
            <w:rPr>
              <w:color w:val="auto"/>
            </w:rPr>
            <w:tab/>
          </w:r>
          <w:r>
            <w:rPr>
              <w:color w:val="auto"/>
            </w:rPr>
            <w:fldChar w:fldCharType="begin"/>
          </w:r>
          <w:r>
            <w:rPr>
              <w:color w:val="auto"/>
            </w:rPr>
            <w:instrText xml:space="preserve"> PAGEREF _Toc27868 \h </w:instrText>
          </w:r>
          <w:r>
            <w:rPr>
              <w:color w:val="auto"/>
            </w:rPr>
            <w:fldChar w:fldCharType="separate"/>
          </w:r>
          <w:r>
            <w:rPr>
              <w:color w:val="auto"/>
            </w:rPr>
            <w:t>64</w:t>
          </w:r>
          <w:r>
            <w:rPr>
              <w:color w:val="auto"/>
            </w:rPr>
            <w:fldChar w:fldCharType="end"/>
          </w:r>
          <w:r>
            <w:rPr>
              <w:rFonts w:hint="eastAsia" w:ascii="仿宋" w:hAnsi="仿宋" w:eastAsia="仿宋" w:cs="仿宋"/>
              <w:color w:val="auto"/>
              <w:szCs w:val="24"/>
            </w:rPr>
            <w:fldChar w:fldCharType="end"/>
          </w:r>
        </w:p>
        <w:p w14:paraId="4C2C0E22">
          <w:pPr>
            <w:pStyle w:val="21"/>
            <w:pageBreakBefore w:val="0"/>
            <w:widowControl w:val="0"/>
            <w:tabs>
              <w:tab w:val="right" w:leader="dot" w:pos="8949"/>
            </w:tabs>
            <w:kinsoku/>
            <w:wordWrap/>
            <w:overflowPunct/>
            <w:topLinePunct w:val="0"/>
            <w:bidi w:val="0"/>
            <w:snapToGrid/>
            <w:spacing w:line="240" w:lineRule="auto"/>
            <w:outlineLvl w:val="9"/>
            <w:rPr>
              <w:rFonts w:ascii="仿宋" w:hAnsi="仿宋" w:eastAsia="仿宋"/>
              <w:color w:val="auto"/>
            </w:rPr>
          </w:pPr>
          <w:r>
            <w:rPr>
              <w:rFonts w:hint="eastAsia" w:ascii="仿宋" w:hAnsi="仿宋" w:eastAsia="仿宋" w:cs="仿宋"/>
              <w:color w:val="auto"/>
              <w:szCs w:val="24"/>
            </w:rPr>
            <w:fldChar w:fldCharType="end"/>
          </w:r>
        </w:p>
      </w:sdtContent>
    </w:sdt>
    <w:p w14:paraId="295C7214">
      <w:pPr>
        <w:pageBreakBefore w:val="0"/>
        <w:widowControl w:val="0"/>
        <w:kinsoku/>
        <w:wordWrap/>
        <w:overflowPunct/>
        <w:topLinePunct w:val="0"/>
        <w:bidi w:val="0"/>
        <w:snapToGrid/>
        <w:spacing w:line="480" w:lineRule="auto"/>
        <w:outlineLvl w:val="9"/>
        <w:rPr>
          <w:rFonts w:ascii="仿宋" w:hAnsi="仿宋" w:eastAsia="仿宋"/>
          <w:color w:val="auto"/>
          <w:sz w:val="28"/>
          <w:szCs w:val="28"/>
        </w:rPr>
        <w:sectPr>
          <w:pgSz w:w="11907" w:h="16840"/>
          <w:pgMar w:top="1440" w:right="1134" w:bottom="1440" w:left="1134" w:header="851" w:footer="992" w:gutter="0"/>
          <w:cols w:space="720" w:num="1"/>
          <w:docGrid w:linePitch="312" w:charSpace="0"/>
        </w:sectPr>
      </w:pPr>
    </w:p>
    <w:p w14:paraId="38F9F173">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outlineLvl w:val="0"/>
        <w:rPr>
          <w:rFonts w:ascii="仿宋" w:hAnsi="仿宋" w:eastAsia="仿宋"/>
          <w:b/>
          <w:bCs/>
          <w:color w:val="auto"/>
          <w:sz w:val="36"/>
          <w:szCs w:val="36"/>
        </w:rPr>
      </w:pPr>
      <w:bookmarkStart w:id="2" w:name="_Toc25569"/>
      <w:bookmarkStart w:id="3" w:name="_Toc79959158"/>
      <w:bookmarkStart w:id="4" w:name="_Toc12072"/>
      <w:r>
        <w:rPr>
          <w:rFonts w:hint="eastAsia" w:ascii="仿宋" w:hAnsi="仿宋" w:eastAsia="仿宋"/>
          <w:b/>
          <w:bCs/>
          <w:color w:val="auto"/>
          <w:sz w:val="36"/>
          <w:szCs w:val="36"/>
        </w:rPr>
        <w:t>第一章  投标邀请</w:t>
      </w:r>
      <w:bookmarkEnd w:id="0"/>
      <w:bookmarkEnd w:id="1"/>
      <w:bookmarkEnd w:id="2"/>
      <w:bookmarkEnd w:id="3"/>
      <w:bookmarkEnd w:id="4"/>
    </w:p>
    <w:p w14:paraId="67A63AA0">
      <w:pPr>
        <w:keepNext w:val="0"/>
        <w:keepLines w:val="0"/>
        <w:pageBreakBefore w:val="0"/>
        <w:widowControl w:val="0"/>
        <w:tabs>
          <w:tab w:val="left" w:pos="7665"/>
        </w:tabs>
        <w:kinsoku/>
        <w:wordWrap/>
        <w:overflowPunct/>
        <w:topLinePunct w:val="0"/>
        <w:autoSpaceDE/>
        <w:autoSpaceDN/>
        <w:bidi w:val="0"/>
        <w:adjustRightInd/>
        <w:snapToGrid/>
        <w:spacing w:after="0" w:line="360" w:lineRule="auto"/>
        <w:ind w:right="0" w:rightChars="0" w:firstLine="600" w:firstLineChars="250"/>
        <w:textAlignment w:val="auto"/>
        <w:outlineLvl w:val="9"/>
        <w:rPr>
          <w:rFonts w:ascii="仿宋" w:hAnsi="仿宋" w:eastAsia="仿宋" w:cs="宋体"/>
          <w:color w:val="auto"/>
          <w:sz w:val="24"/>
        </w:rPr>
      </w:pPr>
      <w:r>
        <w:rPr>
          <w:rFonts w:hint="eastAsia" w:ascii="仿宋" w:hAnsi="仿宋" w:eastAsia="仿宋" w:cs="宋体"/>
          <w:color w:val="auto"/>
          <w:sz w:val="24"/>
          <w:u w:val="single"/>
          <w:lang w:eastAsia="zh-CN"/>
        </w:rPr>
        <w:t>四川虹采招标代理有限责任公司</w:t>
      </w:r>
      <w:r>
        <w:rPr>
          <w:rFonts w:hint="eastAsia" w:ascii="仿宋" w:hAnsi="仿宋" w:eastAsia="仿宋" w:cs="宋体"/>
          <w:color w:val="auto"/>
          <w:sz w:val="24"/>
        </w:rPr>
        <w:t>受</w:t>
      </w:r>
      <w:r>
        <w:rPr>
          <w:rFonts w:hint="eastAsia" w:ascii="仿宋" w:hAnsi="仿宋" w:eastAsia="仿宋" w:cs="宋体"/>
          <w:color w:val="auto"/>
          <w:sz w:val="24"/>
          <w:u w:val="single"/>
          <w:lang w:val="en-US" w:eastAsia="zh-CN"/>
        </w:rPr>
        <w:t>富顺县中医医院</w:t>
      </w:r>
      <w:r>
        <w:rPr>
          <w:rFonts w:hint="eastAsia" w:ascii="仿宋" w:hAnsi="仿宋" w:eastAsia="仿宋" w:cs="宋体"/>
          <w:color w:val="auto"/>
          <w:sz w:val="24"/>
        </w:rPr>
        <w:t>委托，拟对</w:t>
      </w:r>
      <w:bookmarkStart w:id="5" w:name="PO_默认文件内容_4"/>
      <w:r>
        <w:rPr>
          <w:rFonts w:hint="eastAsia" w:ascii="仿宋" w:hAnsi="仿宋" w:eastAsia="仿宋" w:cs="宋体"/>
          <w:color w:val="auto"/>
          <w:sz w:val="24"/>
          <w:u w:val="single"/>
          <w:lang w:val="en-US" w:eastAsia="zh-CN"/>
        </w:rPr>
        <w:t>富顺县中医医院2025年第五批医疗耗材采购项目</w:t>
      </w:r>
      <w:r>
        <w:rPr>
          <w:rFonts w:hint="eastAsia" w:ascii="仿宋" w:hAnsi="仿宋" w:eastAsia="仿宋" w:cs="宋体"/>
          <w:color w:val="auto"/>
          <w:sz w:val="24"/>
        </w:rPr>
        <w:t>进行国内公开招标，</w:t>
      </w:r>
      <w:r>
        <w:rPr>
          <w:rFonts w:hint="eastAsia" w:ascii="仿宋" w:hAnsi="仿宋" w:eastAsia="仿宋" w:cs="宋体"/>
          <w:color w:val="auto"/>
          <w:sz w:val="24"/>
        </w:rPr>
        <w:t>兹邀请符合本次招标要求的</w:t>
      </w:r>
      <w:r>
        <w:rPr>
          <w:rFonts w:hint="eastAsia" w:ascii="仿宋" w:hAnsi="仿宋" w:eastAsia="仿宋" w:cs="宋体"/>
          <w:color w:val="auto"/>
          <w:sz w:val="24"/>
          <w:lang w:eastAsia="zh-CN"/>
        </w:rPr>
        <w:t>投标人</w:t>
      </w:r>
      <w:r>
        <w:rPr>
          <w:rFonts w:hint="eastAsia" w:ascii="仿宋" w:hAnsi="仿宋" w:eastAsia="仿宋" w:cs="宋体"/>
          <w:color w:val="auto"/>
          <w:sz w:val="24"/>
        </w:rPr>
        <w:t>参加投标。</w:t>
      </w:r>
      <w:bookmarkEnd w:id="5"/>
    </w:p>
    <w:p w14:paraId="085FAA47">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hint="default" w:ascii="仿宋" w:hAnsi="仿宋" w:eastAsia="仿宋"/>
          <w:b/>
          <w:color w:val="auto"/>
          <w:sz w:val="24"/>
          <w:lang w:val="en-US" w:eastAsia="zh-CN"/>
        </w:rPr>
      </w:pPr>
      <w:r>
        <w:rPr>
          <w:rFonts w:hint="eastAsia" w:ascii="仿宋" w:hAnsi="仿宋" w:eastAsia="仿宋"/>
          <w:b/>
          <w:color w:val="auto"/>
          <w:sz w:val="24"/>
        </w:rPr>
        <w:t>一、招标编号：SCHC202504245</w:t>
      </w:r>
    </w:p>
    <w:p w14:paraId="141F04B1">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hint="default" w:ascii="仿宋" w:hAnsi="仿宋" w:eastAsia="仿宋"/>
          <w:b/>
          <w:color w:val="auto"/>
          <w:sz w:val="24"/>
          <w:szCs w:val="32"/>
          <w:lang w:val="en-US" w:eastAsia="zh-CN"/>
        </w:rPr>
      </w:pPr>
      <w:r>
        <w:rPr>
          <w:rFonts w:hint="eastAsia" w:ascii="仿宋" w:hAnsi="仿宋" w:eastAsia="仿宋"/>
          <w:b/>
          <w:bCs/>
          <w:color w:val="auto"/>
          <w:sz w:val="24"/>
        </w:rPr>
        <w:t>二、</w:t>
      </w:r>
      <w:r>
        <w:rPr>
          <w:rFonts w:hint="eastAsia" w:ascii="仿宋" w:hAnsi="仿宋" w:eastAsia="仿宋"/>
          <w:b/>
          <w:color w:val="auto"/>
          <w:sz w:val="24"/>
        </w:rPr>
        <w:t>招标项目：</w:t>
      </w:r>
      <w:r>
        <w:rPr>
          <w:rFonts w:hint="eastAsia" w:ascii="仿宋" w:hAnsi="仿宋" w:eastAsia="仿宋"/>
          <w:b/>
          <w:color w:val="auto"/>
          <w:sz w:val="24"/>
          <w:lang w:val="en-US" w:eastAsia="zh-CN"/>
        </w:rPr>
        <w:t>富顺县中医医院2025年第五批医疗耗材采购项目</w:t>
      </w:r>
    </w:p>
    <w:p w14:paraId="2C5FBC61">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hint="default" w:ascii="仿宋" w:hAnsi="仿宋" w:eastAsia="仿宋"/>
          <w:b/>
          <w:bCs/>
          <w:color w:val="auto"/>
          <w:sz w:val="24"/>
          <w:lang w:val="en-US" w:eastAsia="zh-CN"/>
        </w:rPr>
      </w:pPr>
      <w:r>
        <w:rPr>
          <w:rFonts w:hint="eastAsia" w:ascii="仿宋" w:hAnsi="仿宋" w:eastAsia="仿宋"/>
          <w:b/>
          <w:color w:val="auto"/>
          <w:sz w:val="24"/>
          <w:szCs w:val="28"/>
        </w:rPr>
        <w:t>三、资金来源：</w:t>
      </w:r>
      <w:r>
        <w:rPr>
          <w:rFonts w:hint="eastAsia" w:ascii="仿宋" w:hAnsi="仿宋" w:eastAsia="仿宋"/>
          <w:b/>
          <w:bCs/>
          <w:color w:val="auto"/>
          <w:sz w:val="24"/>
          <w:lang w:val="en-US" w:eastAsia="zh-CN"/>
        </w:rPr>
        <w:t>自筹资金</w:t>
      </w:r>
    </w:p>
    <w:p w14:paraId="48DDB2E2">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ascii="仿宋" w:hAnsi="仿宋" w:eastAsia="仿宋"/>
          <w:color w:val="auto"/>
          <w:sz w:val="24"/>
        </w:rPr>
      </w:pPr>
      <w:r>
        <w:rPr>
          <w:rFonts w:hint="eastAsia" w:ascii="仿宋" w:hAnsi="仿宋" w:eastAsia="仿宋"/>
          <w:b/>
          <w:color w:val="auto"/>
          <w:sz w:val="24"/>
        </w:rPr>
        <w:t>四</w:t>
      </w:r>
      <w:r>
        <w:rPr>
          <w:rFonts w:hint="eastAsia" w:ascii="仿宋" w:hAnsi="仿宋" w:eastAsia="仿宋"/>
          <w:b/>
          <w:bCs/>
          <w:color w:val="auto"/>
          <w:sz w:val="24"/>
        </w:rPr>
        <w:t>、</w:t>
      </w:r>
      <w:r>
        <w:rPr>
          <w:rFonts w:hint="eastAsia" w:ascii="仿宋" w:hAnsi="仿宋" w:eastAsia="仿宋"/>
          <w:b/>
          <w:color w:val="auto"/>
          <w:sz w:val="24"/>
        </w:rPr>
        <w:t>招标项目简介：</w:t>
      </w:r>
    </w:p>
    <w:p w14:paraId="5014ADFF">
      <w:pPr>
        <w:keepNext w:val="0"/>
        <w:keepLines w:val="0"/>
        <w:pageBreakBefore w:val="0"/>
        <w:widowControl w:val="0"/>
        <w:kinsoku/>
        <w:wordWrap/>
        <w:overflowPunct/>
        <w:topLinePunct w:val="0"/>
        <w:autoSpaceDE/>
        <w:autoSpaceDN/>
        <w:bidi w:val="0"/>
        <w:adjustRightInd/>
        <w:snapToGrid/>
        <w:spacing w:after="0" w:line="360" w:lineRule="auto"/>
        <w:ind w:right="0" w:rightChars="0" w:firstLine="464" w:firstLineChars="200"/>
        <w:textAlignment w:val="auto"/>
        <w:outlineLvl w:val="9"/>
        <w:rPr>
          <w:rFonts w:hint="eastAsia" w:ascii="仿宋" w:hAnsi="仿宋" w:eastAsia="仿宋" w:cs="仿宋"/>
          <w:color w:val="auto"/>
          <w:sz w:val="24"/>
        </w:rPr>
      </w:pPr>
      <w:bookmarkStart w:id="6" w:name="PO_默认文件内容_3"/>
      <w:r>
        <w:rPr>
          <w:rFonts w:hint="eastAsia" w:ascii="仿宋" w:hAnsi="仿宋" w:eastAsia="仿宋"/>
          <w:color w:val="auto"/>
          <w:spacing w:val="-4"/>
          <w:sz w:val="24"/>
          <w:lang w:val="en-US" w:eastAsia="zh-CN"/>
        </w:rPr>
        <w:t>本项目共3个包，第一包：心内科类，第二包：肿瘤科类，第三包：普外科等类。包含配送及售后服务等。</w:t>
      </w:r>
      <w:r>
        <w:rPr>
          <w:rFonts w:hint="eastAsia" w:ascii="仿宋" w:hAnsi="仿宋" w:eastAsia="仿宋" w:cs="仿宋"/>
          <w:color w:val="auto"/>
          <w:sz w:val="24"/>
        </w:rPr>
        <w:t>（具体详见招标文件第六章）</w:t>
      </w:r>
      <w:bookmarkEnd w:id="6"/>
    </w:p>
    <w:p w14:paraId="125D0566">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五</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邀请方式</w:t>
      </w:r>
      <w:r>
        <w:rPr>
          <w:rFonts w:hint="eastAsia" w:ascii="仿宋" w:hAnsi="仿宋" w:eastAsia="仿宋" w:cs="仿宋"/>
          <w:b/>
          <w:bCs/>
          <w:color w:val="auto"/>
          <w:sz w:val="24"/>
          <w:szCs w:val="24"/>
          <w:highlight w:val="none"/>
          <w:lang w:eastAsia="zh-CN"/>
        </w:rPr>
        <w:t>：</w:t>
      </w:r>
    </w:p>
    <w:p w14:paraId="1D201312">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公告方式：</w:t>
      </w:r>
      <w:r>
        <w:rPr>
          <w:rFonts w:hint="eastAsia" w:ascii="仿宋" w:hAnsi="仿宋" w:eastAsia="仿宋" w:cs="仿宋"/>
          <w:bCs/>
          <w:color w:val="auto"/>
          <w:sz w:val="24"/>
          <w:szCs w:val="24"/>
          <w:highlight w:val="none"/>
        </w:rPr>
        <w:t>本次</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邀请</w:t>
      </w:r>
      <w:r>
        <w:rPr>
          <w:rFonts w:hint="eastAsia" w:ascii="仿宋" w:hAnsi="仿宋" w:eastAsia="仿宋" w:cs="仿宋"/>
          <w:bCs/>
          <w:color w:val="auto"/>
          <w:sz w:val="24"/>
          <w:szCs w:val="24"/>
          <w:highlight w:val="none"/>
          <w:lang w:eastAsia="zh-CN"/>
        </w:rPr>
        <w:t>在采购招标信息服务平台</w:t>
      </w:r>
      <w:r>
        <w:rPr>
          <w:rFonts w:hint="eastAsia" w:ascii="仿宋_GB2312" w:hAnsi="仿宋_GB2312" w:eastAsia="仿宋_GB2312" w:cs="仿宋_GB2312"/>
          <w:color w:val="auto"/>
          <w:sz w:val="24"/>
          <w:highlight w:val="none"/>
          <w:lang w:eastAsia="zh-CN"/>
        </w:rPr>
        <w:t>（http://www.sccgpt.com）、富顺县中医医院官网（http://www.fsxzyyy.com/）</w:t>
      </w:r>
      <w:r>
        <w:rPr>
          <w:rFonts w:hint="eastAsia" w:ascii="仿宋" w:hAnsi="仿宋" w:eastAsia="仿宋" w:cs="仿宋"/>
          <w:bCs/>
          <w:color w:val="auto"/>
          <w:sz w:val="24"/>
          <w:szCs w:val="24"/>
        </w:rPr>
        <w:t>上以公告形式发布。</w:t>
      </w:r>
    </w:p>
    <w:p w14:paraId="029F2571">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hint="eastAsia" w:ascii="仿宋" w:hAnsi="仿宋" w:eastAsia="仿宋" w:cs="Times New Roman"/>
          <w:b/>
          <w:bCs w:val="0"/>
          <w:color w:val="auto"/>
          <w:sz w:val="24"/>
          <w:szCs w:val="32"/>
          <w:lang w:val="en-US" w:eastAsia="zh-CN"/>
        </w:rPr>
      </w:pPr>
      <w:r>
        <w:rPr>
          <w:rFonts w:hint="eastAsia" w:ascii="仿宋" w:hAnsi="仿宋" w:eastAsia="仿宋" w:cs="Times New Roman"/>
          <w:b/>
          <w:bCs w:val="0"/>
          <w:color w:val="auto"/>
          <w:sz w:val="24"/>
          <w:szCs w:val="32"/>
          <w:lang w:val="en-US" w:eastAsia="zh-CN"/>
        </w:rPr>
        <w:t>六</w:t>
      </w:r>
      <w:r>
        <w:rPr>
          <w:rFonts w:hint="eastAsia" w:ascii="仿宋" w:hAnsi="仿宋" w:eastAsia="仿宋" w:cs="Times New Roman"/>
          <w:b/>
          <w:bCs w:val="0"/>
          <w:color w:val="auto"/>
          <w:sz w:val="24"/>
          <w:szCs w:val="32"/>
        </w:rPr>
        <w:t>、</w:t>
      </w:r>
      <w:bookmarkStart w:id="7" w:name="PO_供应商资格条件_1"/>
      <w:r>
        <w:rPr>
          <w:rFonts w:hint="eastAsia" w:ascii="仿宋" w:hAnsi="仿宋" w:eastAsia="仿宋" w:cs="Times New Roman"/>
          <w:b/>
          <w:bCs w:val="0"/>
          <w:color w:val="auto"/>
          <w:sz w:val="24"/>
          <w:szCs w:val="32"/>
          <w:lang w:val="en-US" w:eastAsia="zh-CN"/>
        </w:rPr>
        <w:t>投标人</w:t>
      </w:r>
      <w:r>
        <w:rPr>
          <w:rFonts w:hint="eastAsia" w:ascii="仿宋" w:hAnsi="仿宋" w:eastAsia="仿宋" w:cs="仿宋"/>
          <w:b/>
          <w:bCs/>
          <w:color w:val="auto"/>
          <w:sz w:val="24"/>
          <w:szCs w:val="24"/>
          <w:highlight w:val="none"/>
        </w:rPr>
        <w:t>参加本次采购活动应具备下列条件</w:t>
      </w:r>
      <w:r>
        <w:rPr>
          <w:rFonts w:hint="eastAsia" w:ascii="仿宋" w:hAnsi="仿宋" w:eastAsia="仿宋" w:cs="仿宋"/>
          <w:b/>
          <w:bCs/>
          <w:color w:val="auto"/>
          <w:sz w:val="24"/>
          <w:szCs w:val="24"/>
          <w:highlight w:val="none"/>
          <w:lang w:eastAsia="zh-CN"/>
        </w:rPr>
        <w:t>：</w:t>
      </w:r>
      <w:bookmarkStart w:id="485" w:name="_GoBack"/>
      <w:bookmarkEnd w:id="485"/>
    </w:p>
    <w:bookmarkEnd w:id="7"/>
    <w:p w14:paraId="5F47D835">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textAlignment w:val="auto"/>
        <w:outlineLvl w:val="9"/>
        <w:rPr>
          <w:rFonts w:hint="eastAsia" w:ascii="仿宋" w:hAnsi="仿宋" w:eastAsia="仿宋" w:cs="Times New Roman"/>
          <w:bCs/>
          <w:color w:val="auto"/>
          <w:sz w:val="24"/>
          <w:szCs w:val="32"/>
          <w:lang w:val="en-US" w:eastAsia="zh-CN"/>
        </w:rPr>
      </w:pPr>
      <w:r>
        <w:rPr>
          <w:rFonts w:hint="eastAsia" w:ascii="仿宋" w:hAnsi="仿宋" w:eastAsia="仿宋" w:cs="Times New Roman"/>
          <w:bCs/>
          <w:color w:val="auto"/>
          <w:sz w:val="24"/>
          <w:szCs w:val="32"/>
          <w:lang w:val="en-US" w:eastAsia="zh-CN"/>
        </w:rPr>
        <w:t>详见招标文件第四章。</w:t>
      </w:r>
    </w:p>
    <w:p w14:paraId="196ABE7F">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ascii="仿宋" w:hAnsi="仿宋" w:eastAsia="仿宋"/>
          <w:b/>
          <w:color w:val="auto"/>
          <w:sz w:val="24"/>
        </w:rPr>
      </w:pPr>
      <w:r>
        <w:rPr>
          <w:rFonts w:hint="eastAsia" w:ascii="仿宋" w:hAnsi="仿宋" w:eastAsia="仿宋"/>
          <w:b/>
          <w:color w:val="auto"/>
          <w:sz w:val="24"/>
          <w:lang w:eastAsia="zh-CN"/>
        </w:rPr>
        <w:t>七</w:t>
      </w:r>
      <w:r>
        <w:rPr>
          <w:rFonts w:hint="eastAsia" w:ascii="仿宋" w:hAnsi="仿宋" w:eastAsia="仿宋"/>
          <w:b/>
          <w:color w:val="auto"/>
          <w:sz w:val="24"/>
        </w:rPr>
        <w:t>、招标文件获取时间、地点：</w:t>
      </w:r>
    </w:p>
    <w:p w14:paraId="455B5D10">
      <w:pPr>
        <w:pStyle w:val="2"/>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textAlignment w:val="auto"/>
        <w:outlineLvl w:val="9"/>
        <w:rPr>
          <w:rFonts w:hint="eastAsia" w:ascii="仿宋" w:hAnsi="仿宋" w:eastAsia="仿宋" w:cs="仿宋"/>
          <w:color w:val="auto"/>
          <w:sz w:val="24"/>
          <w:lang w:eastAsia="zh-CN"/>
        </w:rPr>
      </w:pPr>
      <w:r>
        <w:rPr>
          <w:rFonts w:hint="eastAsia" w:ascii="仿宋" w:hAnsi="仿宋" w:eastAsia="仿宋" w:cs="仿宋"/>
          <w:color w:val="auto"/>
          <w:sz w:val="24"/>
        </w:rPr>
        <w:t>招标文</w:t>
      </w:r>
      <w:r>
        <w:rPr>
          <w:rFonts w:hint="eastAsia" w:ascii="仿宋" w:hAnsi="仿宋" w:eastAsia="仿宋" w:cs="仿宋"/>
          <w:color w:val="auto"/>
          <w:sz w:val="24"/>
        </w:rPr>
        <w:t>件自</w:t>
      </w:r>
      <w:r>
        <w:rPr>
          <w:rFonts w:hint="eastAsia" w:ascii="仿宋" w:hAnsi="仿宋" w:eastAsia="仿宋" w:cs="仿宋"/>
          <w:color w:val="auto"/>
          <w:sz w:val="24"/>
          <w:lang w:val="en-US" w:eastAsia="zh-CN"/>
        </w:rPr>
        <w:t>2025</w:t>
      </w:r>
      <w:r>
        <w:rPr>
          <w:rFonts w:hint="eastAsia" w:ascii="仿宋" w:hAnsi="仿宋" w:eastAsia="仿宋" w:cs="仿宋"/>
          <w:color w:val="auto"/>
          <w:sz w:val="24"/>
        </w:rPr>
        <w:t>年</w:t>
      </w:r>
      <w:r>
        <w:rPr>
          <w:rFonts w:hint="eastAsia" w:ascii="仿宋" w:hAnsi="仿宋" w:eastAsia="仿宋" w:cs="仿宋"/>
          <w:color w:val="auto"/>
          <w:sz w:val="24"/>
          <w:lang w:val="en-US" w:eastAsia="zh-CN"/>
        </w:rPr>
        <w:t>04</w:t>
      </w:r>
      <w:r>
        <w:rPr>
          <w:rFonts w:hint="eastAsia" w:ascii="仿宋" w:hAnsi="仿宋" w:eastAsia="仿宋" w:cs="仿宋"/>
          <w:color w:val="auto"/>
          <w:sz w:val="24"/>
        </w:rPr>
        <w:t>月</w:t>
      </w:r>
      <w:r>
        <w:rPr>
          <w:rFonts w:hint="eastAsia" w:ascii="仿宋" w:hAnsi="仿宋" w:eastAsia="仿宋" w:cs="仿宋"/>
          <w:color w:val="auto"/>
          <w:sz w:val="24"/>
          <w:lang w:val="en-US" w:eastAsia="zh-CN"/>
        </w:rPr>
        <w:t>23</w:t>
      </w:r>
      <w:r>
        <w:rPr>
          <w:rFonts w:hint="eastAsia" w:ascii="仿宋" w:hAnsi="仿宋" w:eastAsia="仿宋" w:cs="仿宋"/>
          <w:color w:val="auto"/>
          <w:sz w:val="24"/>
        </w:rPr>
        <w:t>日09:00至</w:t>
      </w:r>
      <w:r>
        <w:rPr>
          <w:rFonts w:hint="eastAsia" w:ascii="仿宋" w:hAnsi="仿宋" w:eastAsia="仿宋" w:cs="仿宋"/>
          <w:color w:val="auto"/>
          <w:sz w:val="24"/>
          <w:lang w:val="en-US" w:eastAsia="zh-CN"/>
        </w:rPr>
        <w:t>2025</w:t>
      </w:r>
      <w:r>
        <w:rPr>
          <w:rFonts w:hint="eastAsia" w:ascii="仿宋" w:hAnsi="仿宋" w:eastAsia="仿宋" w:cs="仿宋"/>
          <w:color w:val="auto"/>
          <w:sz w:val="24"/>
        </w:rPr>
        <w:t>年</w:t>
      </w:r>
      <w:r>
        <w:rPr>
          <w:rFonts w:hint="eastAsia" w:ascii="仿宋" w:hAnsi="仿宋" w:eastAsia="仿宋" w:cs="仿宋"/>
          <w:color w:val="auto"/>
          <w:sz w:val="24"/>
          <w:lang w:val="en-US" w:eastAsia="zh-CN"/>
        </w:rPr>
        <w:t>04</w:t>
      </w:r>
      <w:r>
        <w:rPr>
          <w:rFonts w:hint="eastAsia" w:ascii="仿宋" w:hAnsi="仿宋" w:eastAsia="仿宋" w:cs="仿宋"/>
          <w:color w:val="auto"/>
          <w:sz w:val="24"/>
        </w:rPr>
        <w:t>月</w:t>
      </w:r>
      <w:r>
        <w:rPr>
          <w:rFonts w:hint="eastAsia" w:ascii="仿宋" w:hAnsi="仿宋" w:eastAsia="仿宋" w:cs="仿宋"/>
          <w:color w:val="auto"/>
          <w:sz w:val="24"/>
          <w:lang w:val="en-US" w:eastAsia="zh-CN"/>
        </w:rPr>
        <w:t>28</w:t>
      </w:r>
      <w:r>
        <w:rPr>
          <w:rFonts w:hint="eastAsia" w:ascii="仿宋" w:hAnsi="仿宋" w:eastAsia="仿宋" w:cs="仿宋"/>
          <w:color w:val="auto"/>
          <w:sz w:val="24"/>
        </w:rPr>
        <w:t>日17:00</w:t>
      </w:r>
      <w:r>
        <w:rPr>
          <w:rFonts w:hint="eastAsia" w:ascii="仿宋" w:hAnsi="仿宋" w:eastAsia="仿宋" w:cs="仿宋"/>
          <w:color w:val="auto"/>
          <w:sz w:val="24"/>
        </w:rPr>
        <w:t>（北京时间，法定节假日除外）现场或者远程获取。</w:t>
      </w:r>
    </w:p>
    <w:p w14:paraId="05C38E6B">
      <w:pPr>
        <w:pStyle w:val="2"/>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textAlignment w:val="auto"/>
        <w:outlineLvl w:val="9"/>
        <w:rPr>
          <w:rFonts w:hint="eastAsia" w:ascii="仿宋" w:hAnsi="仿宋" w:eastAsia="仿宋" w:cs="仿宋"/>
          <w:color w:val="auto"/>
          <w:sz w:val="24"/>
          <w:lang w:eastAsia="zh-CN"/>
        </w:rPr>
      </w:pPr>
      <w:r>
        <w:rPr>
          <w:rFonts w:hint="eastAsia" w:ascii="仿宋" w:hAnsi="仿宋" w:eastAsia="仿宋" w:cs="仿宋"/>
          <w:color w:val="auto"/>
          <w:sz w:val="24"/>
        </w:rPr>
        <w:t>本项目招标文件</w:t>
      </w:r>
      <w:r>
        <w:rPr>
          <w:rFonts w:hint="eastAsia" w:ascii="仿宋" w:hAnsi="仿宋" w:eastAsia="仿宋" w:cs="仿宋"/>
          <w:color w:val="auto"/>
          <w:sz w:val="24"/>
          <w:lang w:val="en-US" w:eastAsia="zh-CN"/>
        </w:rPr>
        <w:t>无</w:t>
      </w:r>
      <w:r>
        <w:rPr>
          <w:rFonts w:hint="eastAsia" w:ascii="仿宋" w:hAnsi="仿宋" w:eastAsia="仿宋" w:cs="仿宋"/>
          <w:color w:val="auto"/>
          <w:sz w:val="24"/>
        </w:rPr>
        <w:t>偿获取</w:t>
      </w:r>
      <w:r>
        <w:rPr>
          <w:rFonts w:hint="eastAsia" w:ascii="仿宋" w:hAnsi="仿宋" w:eastAsia="仿宋" w:cs="仿宋"/>
          <w:color w:val="auto"/>
          <w:sz w:val="24"/>
          <w:lang w:eastAsia="zh-CN"/>
        </w:rPr>
        <w:t>。</w:t>
      </w:r>
    </w:p>
    <w:p w14:paraId="5E32BE54">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在</w:t>
      </w:r>
      <w:r>
        <w:rPr>
          <w:rFonts w:hint="eastAsia" w:ascii="仿宋" w:hAnsi="仿宋" w:eastAsia="仿宋" w:cs="仿宋"/>
          <w:color w:val="auto"/>
          <w:sz w:val="24"/>
          <w:lang w:val="en-US" w:eastAsia="zh-CN"/>
        </w:rPr>
        <w:t>自贡市自流井区普润产业博览城A5区</w:t>
      </w:r>
      <w:r>
        <w:rPr>
          <w:rFonts w:hint="eastAsia" w:ascii="仿宋" w:hAnsi="仿宋" w:eastAsia="仿宋" w:cs="仿宋"/>
          <w:color w:val="auto"/>
          <w:sz w:val="24"/>
        </w:rPr>
        <w:t>四楼4-2号</w:t>
      </w:r>
      <w:r>
        <w:rPr>
          <w:rFonts w:hint="eastAsia" w:ascii="仿宋" w:hAnsi="仿宋" w:eastAsia="仿宋" w:cs="仿宋"/>
          <w:color w:val="auto"/>
          <w:sz w:val="24"/>
          <w:lang w:val="en-US" w:eastAsia="zh-CN"/>
        </w:rPr>
        <w:t>现场报名或者以电子邮件方式报名。</w:t>
      </w:r>
    </w:p>
    <w:p w14:paraId="684C02F2">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电子邮件联系方式：请将报名资料（第十章附件《报名登记表》）电子版传至schc12345678@163.com，联系电话：0813-8300999。</w:t>
      </w:r>
    </w:p>
    <w:p w14:paraId="322541AF">
      <w:pPr>
        <w:pStyle w:val="2"/>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现场获取地址：</w:t>
      </w:r>
      <w:r>
        <w:rPr>
          <w:rFonts w:hint="eastAsia" w:ascii="仿宋" w:hAnsi="仿宋" w:eastAsia="仿宋" w:cs="仿宋"/>
          <w:color w:val="auto"/>
          <w:sz w:val="24"/>
          <w:lang w:val="en-US" w:eastAsia="zh-CN"/>
        </w:rPr>
        <w:t>自贡市自流井区普润产业博览城A5区</w:t>
      </w:r>
      <w:r>
        <w:rPr>
          <w:rFonts w:hint="eastAsia" w:ascii="仿宋" w:hAnsi="仿宋" w:eastAsia="仿宋" w:cs="仿宋"/>
          <w:color w:val="auto"/>
          <w:sz w:val="24"/>
        </w:rPr>
        <w:t>四楼4-2号</w:t>
      </w:r>
      <w:r>
        <w:rPr>
          <w:rFonts w:hint="eastAsia" w:ascii="仿宋" w:hAnsi="仿宋" w:eastAsia="仿宋" w:cs="仿宋"/>
          <w:color w:val="auto"/>
          <w:kern w:val="2"/>
          <w:sz w:val="24"/>
          <w:szCs w:val="24"/>
          <w:lang w:val="en-US" w:eastAsia="zh-CN" w:bidi="ar-SA"/>
        </w:rPr>
        <w:t>。</w:t>
      </w:r>
    </w:p>
    <w:p w14:paraId="07E9B5FB">
      <w:pPr>
        <w:pStyle w:val="2"/>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textAlignment w:val="auto"/>
        <w:outlineLvl w:val="9"/>
        <w:rPr>
          <w:rFonts w:ascii="仿宋" w:hAnsi="仿宋" w:eastAsia="仿宋" w:cs="仿宋"/>
          <w:b/>
          <w:color w:val="auto"/>
          <w:sz w:val="24"/>
        </w:rPr>
      </w:pPr>
      <w:r>
        <w:rPr>
          <w:rFonts w:hint="eastAsia" w:ascii="仿宋" w:hAnsi="仿宋" w:eastAsia="仿宋" w:cs="仿宋"/>
          <w:color w:val="auto"/>
          <w:sz w:val="24"/>
        </w:rPr>
        <w:t>招标文件提供后不退，投标资格不能转让。</w:t>
      </w:r>
    </w:p>
    <w:p w14:paraId="63C16949">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ascii="仿宋" w:hAnsi="仿宋" w:eastAsia="仿宋" w:cs="仿宋"/>
          <w:color w:val="auto"/>
          <w:sz w:val="24"/>
        </w:rPr>
      </w:pPr>
      <w:r>
        <w:rPr>
          <w:rFonts w:hint="eastAsia" w:ascii="仿宋" w:hAnsi="仿宋" w:eastAsia="仿宋" w:cs="仿宋"/>
          <w:b/>
          <w:color w:val="auto"/>
          <w:sz w:val="24"/>
        </w:rPr>
        <w:t>八、递交投标文件截</w:t>
      </w:r>
      <w:r>
        <w:rPr>
          <w:rFonts w:hint="eastAsia" w:ascii="仿宋" w:hAnsi="仿宋" w:eastAsia="仿宋" w:cs="仿宋"/>
          <w:b/>
          <w:color w:val="auto"/>
          <w:sz w:val="24"/>
        </w:rPr>
        <w:t>止时间</w:t>
      </w:r>
      <w:r>
        <w:rPr>
          <w:rFonts w:hint="eastAsia" w:ascii="仿宋" w:hAnsi="仿宋" w:eastAsia="仿宋" w:cs="仿宋"/>
          <w:b/>
          <w:color w:val="auto"/>
          <w:sz w:val="24"/>
          <w:lang w:eastAsia="zh-CN"/>
        </w:rPr>
        <w:t>及投标文件开启时间</w:t>
      </w:r>
      <w:r>
        <w:rPr>
          <w:rFonts w:hint="eastAsia" w:ascii="仿宋" w:hAnsi="仿宋" w:eastAsia="仿宋" w:cs="仿宋"/>
          <w:b/>
          <w:color w:val="auto"/>
          <w:sz w:val="24"/>
        </w:rPr>
        <w:t>：</w:t>
      </w:r>
      <w:r>
        <w:rPr>
          <w:rFonts w:hint="eastAsia" w:ascii="仿宋" w:hAnsi="仿宋" w:eastAsia="仿宋" w:cs="仿宋"/>
          <w:bCs/>
          <w:color w:val="auto"/>
          <w:sz w:val="24"/>
          <w:lang w:val="en-US" w:eastAsia="zh-CN"/>
        </w:rPr>
        <w:t>2025</w:t>
      </w:r>
      <w:r>
        <w:rPr>
          <w:rFonts w:hint="eastAsia" w:ascii="仿宋" w:hAnsi="仿宋" w:eastAsia="仿宋" w:cs="仿宋"/>
          <w:bCs/>
          <w:color w:val="auto"/>
          <w:sz w:val="24"/>
        </w:rPr>
        <w:t>年</w:t>
      </w:r>
      <w:r>
        <w:rPr>
          <w:rFonts w:hint="eastAsia" w:ascii="仿宋" w:hAnsi="仿宋" w:eastAsia="仿宋" w:cs="仿宋"/>
          <w:bCs/>
          <w:color w:val="auto"/>
          <w:sz w:val="24"/>
          <w:lang w:val="en-US" w:eastAsia="zh-CN"/>
        </w:rPr>
        <w:t>05</w:t>
      </w:r>
      <w:r>
        <w:rPr>
          <w:rFonts w:hint="eastAsia" w:ascii="仿宋" w:hAnsi="仿宋" w:eastAsia="仿宋" w:cs="仿宋"/>
          <w:bCs/>
          <w:color w:val="auto"/>
          <w:sz w:val="24"/>
        </w:rPr>
        <w:t>月</w:t>
      </w:r>
      <w:r>
        <w:rPr>
          <w:rFonts w:hint="eastAsia" w:ascii="仿宋" w:hAnsi="仿宋" w:eastAsia="仿宋" w:cs="仿宋"/>
          <w:bCs/>
          <w:color w:val="auto"/>
          <w:sz w:val="24"/>
          <w:lang w:val="en-US" w:eastAsia="zh-CN"/>
        </w:rPr>
        <w:t>13</w:t>
      </w:r>
      <w:r>
        <w:rPr>
          <w:rFonts w:hint="eastAsia" w:ascii="仿宋" w:hAnsi="仿宋" w:eastAsia="仿宋" w:cs="仿宋"/>
          <w:bCs/>
          <w:color w:val="auto"/>
          <w:sz w:val="24"/>
        </w:rPr>
        <w:t>日</w:t>
      </w:r>
      <w:r>
        <w:rPr>
          <w:rFonts w:hint="eastAsia" w:ascii="仿宋" w:hAnsi="仿宋" w:eastAsia="仿宋" w:cs="仿宋"/>
          <w:bCs/>
          <w:color w:val="auto"/>
          <w:sz w:val="24"/>
          <w:lang w:val="en-US" w:eastAsia="zh-CN"/>
        </w:rPr>
        <w:t>10</w:t>
      </w:r>
      <w:r>
        <w:rPr>
          <w:rFonts w:hint="eastAsia" w:ascii="仿宋" w:hAnsi="仿宋" w:eastAsia="仿宋" w:cs="仿宋"/>
          <w:bCs/>
          <w:color w:val="auto"/>
          <w:sz w:val="24"/>
        </w:rPr>
        <w:t>:</w:t>
      </w:r>
      <w:r>
        <w:rPr>
          <w:rFonts w:hint="eastAsia" w:ascii="仿宋" w:hAnsi="仿宋" w:eastAsia="仿宋" w:cs="仿宋"/>
          <w:bCs/>
          <w:color w:val="auto"/>
          <w:sz w:val="24"/>
          <w:lang w:val="en-US" w:eastAsia="zh-CN"/>
        </w:rPr>
        <w:t>00</w:t>
      </w:r>
      <w:r>
        <w:rPr>
          <w:rFonts w:hint="eastAsia" w:ascii="仿宋" w:hAnsi="仿宋" w:eastAsia="仿宋" w:cs="仿宋"/>
          <w:color w:val="auto"/>
          <w:sz w:val="24"/>
        </w:rPr>
        <w:t>（北京时间）。</w:t>
      </w:r>
    </w:p>
    <w:p w14:paraId="40A1790A">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b/>
          <w:color w:val="auto"/>
          <w:sz w:val="24"/>
          <w:lang w:eastAsia="zh-CN"/>
        </w:rPr>
        <w:t>九</w:t>
      </w:r>
      <w:r>
        <w:rPr>
          <w:rFonts w:hint="eastAsia" w:ascii="仿宋" w:hAnsi="仿宋" w:eastAsia="仿宋" w:cs="仿宋"/>
          <w:b/>
          <w:color w:val="auto"/>
          <w:sz w:val="24"/>
        </w:rPr>
        <w:t>、递交投标文件地点</w:t>
      </w:r>
      <w:r>
        <w:rPr>
          <w:rFonts w:hint="eastAsia" w:ascii="仿宋" w:hAnsi="仿宋" w:eastAsia="仿宋" w:cs="仿宋"/>
          <w:b/>
          <w:color w:val="auto"/>
          <w:sz w:val="24"/>
          <w:lang w:eastAsia="zh-CN"/>
        </w:rPr>
        <w:t>及开标地点</w:t>
      </w:r>
      <w:r>
        <w:rPr>
          <w:rFonts w:hint="eastAsia" w:ascii="仿宋" w:hAnsi="仿宋" w:eastAsia="仿宋" w:cs="仿宋"/>
          <w:b/>
          <w:color w:val="auto"/>
          <w:sz w:val="24"/>
        </w:rPr>
        <w:t>：</w:t>
      </w:r>
      <w:r>
        <w:rPr>
          <w:rFonts w:hint="eastAsia" w:ascii="仿宋" w:hAnsi="仿宋" w:eastAsia="仿宋" w:cs="仿宋"/>
          <w:color w:val="auto"/>
          <w:sz w:val="24"/>
          <w:lang w:val="en-US" w:eastAsia="zh-CN"/>
        </w:rPr>
        <w:t>自贡市自流井区普润产业博览城A5区</w:t>
      </w:r>
      <w:r>
        <w:rPr>
          <w:rFonts w:hint="eastAsia" w:ascii="仿宋" w:hAnsi="仿宋" w:eastAsia="仿宋" w:cs="仿宋"/>
          <w:color w:val="auto"/>
          <w:sz w:val="24"/>
        </w:rPr>
        <w:t>四楼4-2号</w:t>
      </w:r>
      <w:r>
        <w:rPr>
          <w:rFonts w:hint="eastAsia" w:ascii="仿宋" w:hAnsi="仿宋" w:eastAsia="仿宋" w:cs="仿宋"/>
          <w:color w:val="auto"/>
          <w:kern w:val="2"/>
          <w:sz w:val="24"/>
          <w:szCs w:val="24"/>
          <w:lang w:val="en-US" w:eastAsia="zh-CN" w:bidi="ar-SA"/>
        </w:rPr>
        <w:t>。</w:t>
      </w:r>
    </w:p>
    <w:p w14:paraId="0046B8F7">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textAlignment w:val="auto"/>
        <w:outlineLvl w:val="9"/>
        <w:rPr>
          <w:rFonts w:ascii="仿宋" w:hAnsi="仿宋" w:eastAsia="仿宋" w:cs="仿宋"/>
          <w:color w:val="auto"/>
          <w:sz w:val="24"/>
        </w:rPr>
      </w:pPr>
      <w:r>
        <w:rPr>
          <w:rFonts w:hint="eastAsia" w:ascii="仿宋" w:hAnsi="仿宋" w:eastAsia="仿宋" w:cs="仿宋"/>
          <w:color w:val="auto"/>
          <w:sz w:val="24"/>
        </w:rPr>
        <w:t>投标文件必须在递交投标文件截止时间前送达开标地点。逾期送达、未密封的投标文件，</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恕不接收。</w:t>
      </w:r>
      <w:r>
        <w:rPr>
          <w:rFonts w:hint="eastAsia" w:ascii="仿宋" w:hAnsi="仿宋" w:eastAsia="仿宋" w:cs="仿宋"/>
          <w:color w:val="auto"/>
          <w:sz w:val="24"/>
          <w:szCs w:val="24"/>
          <w:highlight w:val="none"/>
        </w:rPr>
        <w:t>本次采购不接收邮寄的</w:t>
      </w:r>
      <w:r>
        <w:rPr>
          <w:rFonts w:hint="eastAsia" w:ascii="仿宋" w:hAnsi="仿宋" w:eastAsia="仿宋" w:cs="仿宋"/>
          <w:color w:val="auto"/>
          <w:sz w:val="24"/>
          <w:szCs w:val="24"/>
          <w:highlight w:val="none"/>
          <w:lang w:eastAsia="zh-CN"/>
        </w:rPr>
        <w:t>投标文件。</w:t>
      </w:r>
    </w:p>
    <w:p w14:paraId="39F65C15">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firstLine="482"/>
        <w:textAlignment w:val="auto"/>
        <w:outlineLvl w:val="9"/>
        <w:rPr>
          <w:rFonts w:hint="eastAsia" w:ascii="仿宋" w:hAnsi="仿宋" w:cs="Times New Roman"/>
          <w:b/>
          <w:color w:val="auto"/>
          <w:lang w:eastAsia="zh-CN"/>
        </w:rPr>
      </w:pPr>
      <w:r>
        <w:rPr>
          <w:rFonts w:hint="eastAsia" w:ascii="仿宋" w:hAnsi="仿宋" w:cs="Times New Roman"/>
          <w:b/>
          <w:color w:val="auto"/>
        </w:rPr>
        <w:t>十、联系方式</w:t>
      </w:r>
      <w:r>
        <w:rPr>
          <w:rFonts w:hint="eastAsia" w:ascii="仿宋" w:hAnsi="仿宋" w:cs="Times New Roman"/>
          <w:b/>
          <w:color w:val="auto"/>
          <w:lang w:eastAsia="zh-CN"/>
        </w:rPr>
        <w:t>：</w:t>
      </w:r>
    </w:p>
    <w:p w14:paraId="30F7E1C0">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default" w:ascii="仿宋" w:hAnsi="仿宋" w:eastAsia="仿宋"/>
          <w:b w:val="0"/>
          <w:bCs/>
          <w:color w:val="auto"/>
          <w:lang w:val="en-US" w:eastAsia="zh-CN"/>
        </w:rPr>
      </w:pPr>
      <w:r>
        <w:rPr>
          <w:rFonts w:hint="eastAsia" w:ascii="仿宋" w:hAnsi="仿宋" w:eastAsia="仿宋"/>
          <w:b w:val="0"/>
          <w:bCs/>
          <w:color w:val="auto"/>
          <w:lang w:val="en-US" w:eastAsia="zh-CN"/>
        </w:rPr>
        <w:t>招标人：富顺县中医医院</w:t>
      </w:r>
    </w:p>
    <w:p w14:paraId="7066F7E1">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default" w:ascii="仿宋" w:hAnsi="仿宋" w:eastAsia="仿宋"/>
          <w:b w:val="0"/>
          <w:bCs/>
          <w:color w:val="auto"/>
          <w:lang w:val="en-US" w:eastAsia="zh-CN"/>
        </w:rPr>
      </w:pPr>
      <w:r>
        <w:rPr>
          <w:rFonts w:hint="eastAsia" w:ascii="仿宋" w:hAnsi="仿宋" w:eastAsia="仿宋"/>
          <w:b w:val="0"/>
          <w:bCs/>
          <w:color w:val="auto"/>
          <w:lang w:val="en-US" w:eastAsia="zh-CN"/>
        </w:rPr>
        <w:t>地  址：富顺县东湖大道1801号</w:t>
      </w:r>
    </w:p>
    <w:p w14:paraId="74D40D09">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default" w:ascii="仿宋" w:hAnsi="仿宋" w:eastAsia="仿宋"/>
          <w:b w:val="0"/>
          <w:bCs/>
          <w:color w:val="auto"/>
          <w:lang w:val="en-US" w:eastAsia="zh-CN"/>
        </w:rPr>
      </w:pPr>
      <w:r>
        <w:rPr>
          <w:rFonts w:hint="eastAsia" w:ascii="仿宋" w:hAnsi="仿宋" w:eastAsia="仿宋"/>
          <w:b w:val="0"/>
          <w:bCs/>
          <w:color w:val="auto"/>
          <w:lang w:val="en-US" w:eastAsia="zh-CN"/>
        </w:rPr>
        <w:t>联系人：</w:t>
      </w:r>
      <w:r>
        <w:rPr>
          <w:rFonts w:hint="eastAsia" w:ascii="仿宋" w:hAnsi="仿宋"/>
          <w:b w:val="0"/>
          <w:bCs/>
          <w:color w:val="auto"/>
          <w:lang w:val="en-US" w:eastAsia="zh-CN"/>
        </w:rPr>
        <w:t>聂老师</w:t>
      </w:r>
    </w:p>
    <w:p w14:paraId="35E468A6">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default" w:ascii="仿宋" w:hAnsi="仿宋" w:eastAsia="仿宋"/>
          <w:b w:val="0"/>
          <w:bCs/>
          <w:color w:val="auto"/>
          <w:lang w:val="en-US" w:eastAsia="zh-CN"/>
        </w:rPr>
      </w:pPr>
      <w:r>
        <w:rPr>
          <w:rFonts w:hint="eastAsia" w:ascii="仿宋" w:hAnsi="仿宋" w:eastAsia="仿宋"/>
          <w:b w:val="0"/>
          <w:bCs/>
          <w:color w:val="auto"/>
          <w:lang w:val="en-US" w:eastAsia="zh-CN"/>
        </w:rPr>
        <w:t>电  话：0813-5197655</w:t>
      </w:r>
    </w:p>
    <w:p w14:paraId="1258A2BF">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eastAsia" w:ascii="仿宋" w:hAnsi="仿宋" w:eastAsia="仿宋" w:cs="Times New Roman"/>
          <w:b w:val="0"/>
          <w:bCs/>
          <w:color w:val="auto"/>
          <w:lang w:val="en-US" w:eastAsia="zh-CN"/>
        </w:rPr>
      </w:pPr>
      <w:bookmarkStart w:id="8" w:name="_Toc12420"/>
      <w:bookmarkStart w:id="9" w:name="_Toc12497"/>
      <w:bookmarkStart w:id="10" w:name="_Toc213396759"/>
      <w:bookmarkStart w:id="11" w:name="_Toc217446031"/>
      <w:bookmarkStart w:id="12" w:name="_Toc213397009"/>
      <w:bookmarkStart w:id="13" w:name="_Toc213396945"/>
      <w:bookmarkStart w:id="14" w:name="_Toc213496267"/>
      <w:r>
        <w:rPr>
          <w:rFonts w:hint="eastAsia" w:ascii="仿宋" w:hAnsi="仿宋" w:cs="Times New Roman"/>
          <w:b w:val="0"/>
          <w:bCs/>
          <w:color w:val="auto"/>
          <w:lang w:val="en-US" w:eastAsia="zh-CN"/>
        </w:rPr>
        <w:t>招标</w:t>
      </w:r>
      <w:r>
        <w:rPr>
          <w:rFonts w:hint="eastAsia" w:ascii="仿宋" w:hAnsi="仿宋" w:eastAsia="仿宋" w:cs="Times New Roman"/>
          <w:b w:val="0"/>
          <w:bCs/>
          <w:color w:val="auto"/>
          <w:lang w:val="en-US" w:eastAsia="zh-CN"/>
        </w:rPr>
        <w:t>代理机构：四川虹采招标代理有限责任公司</w:t>
      </w:r>
    </w:p>
    <w:p w14:paraId="72E96A16">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eastAsia" w:ascii="仿宋" w:hAnsi="仿宋" w:eastAsia="仿宋" w:cs="Times New Roman"/>
          <w:b w:val="0"/>
          <w:bCs/>
          <w:color w:val="auto"/>
          <w:lang w:val="en-US" w:eastAsia="zh-CN"/>
        </w:rPr>
      </w:pPr>
      <w:r>
        <w:rPr>
          <w:rFonts w:hint="eastAsia" w:ascii="仿宋" w:hAnsi="仿宋" w:eastAsia="仿宋" w:cs="Times New Roman"/>
          <w:b w:val="0"/>
          <w:bCs/>
          <w:color w:val="auto"/>
          <w:lang w:val="en-US" w:eastAsia="zh-CN"/>
        </w:rPr>
        <w:t>地 址：自贡市自流井区普润产业博览城A5区四楼4-2号</w:t>
      </w:r>
    </w:p>
    <w:p w14:paraId="1957B755">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eastAsia" w:ascii="仿宋" w:hAnsi="仿宋" w:eastAsia="仿宋" w:cs="Times New Roman"/>
          <w:b w:val="0"/>
          <w:bCs/>
          <w:color w:val="auto"/>
          <w:lang w:val="en-US" w:eastAsia="zh-CN"/>
        </w:rPr>
      </w:pPr>
      <w:r>
        <w:rPr>
          <w:rFonts w:hint="eastAsia" w:ascii="仿宋" w:hAnsi="仿宋" w:eastAsia="仿宋" w:cs="Times New Roman"/>
          <w:b w:val="0"/>
          <w:bCs/>
          <w:color w:val="auto"/>
          <w:lang w:val="en-US" w:eastAsia="zh-CN"/>
        </w:rPr>
        <w:t>联系人：刘女士</w:t>
      </w:r>
    </w:p>
    <w:p w14:paraId="43959783">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eastAsia" w:ascii="仿宋" w:hAnsi="仿宋" w:eastAsia="仿宋" w:cs="Times New Roman"/>
          <w:b w:val="0"/>
          <w:bCs/>
          <w:color w:val="auto"/>
          <w:lang w:val="en-US" w:eastAsia="zh-CN"/>
        </w:rPr>
      </w:pPr>
      <w:r>
        <w:rPr>
          <w:rFonts w:hint="eastAsia" w:ascii="仿宋" w:hAnsi="仿宋" w:eastAsia="仿宋" w:cs="Times New Roman"/>
          <w:b w:val="0"/>
          <w:bCs/>
          <w:color w:val="auto"/>
          <w:lang w:val="en-US" w:eastAsia="zh-CN"/>
        </w:rPr>
        <w:t>电  话：0813-5500607</w:t>
      </w:r>
    </w:p>
    <w:p w14:paraId="41F7F24E">
      <w:pPr>
        <w:pageBreakBefore w:val="0"/>
        <w:widowControl w:val="0"/>
        <w:kinsoku/>
        <w:wordWrap/>
        <w:overflowPunct/>
        <w:topLinePunct w:val="0"/>
        <w:bidi w:val="0"/>
        <w:snapToGrid/>
        <w:spacing w:after="0" w:line="240" w:lineRule="auto"/>
        <w:jc w:val="left"/>
        <w:outlineLvl w:val="9"/>
        <w:rPr>
          <w:rFonts w:ascii="仿宋" w:hAnsi="仿宋" w:eastAsia="仿宋"/>
          <w:b/>
          <w:bCs/>
          <w:color w:val="auto"/>
          <w:kern w:val="44"/>
          <w:sz w:val="36"/>
          <w:szCs w:val="36"/>
        </w:rPr>
      </w:pPr>
      <w:r>
        <w:rPr>
          <w:rFonts w:ascii="仿宋" w:hAnsi="仿宋" w:eastAsia="仿宋"/>
          <w:color w:val="auto"/>
          <w:sz w:val="36"/>
          <w:szCs w:val="36"/>
        </w:rPr>
        <w:br w:type="page"/>
      </w:r>
    </w:p>
    <w:p w14:paraId="669131E5">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eastAsia" w:ascii="仿宋" w:hAnsi="仿宋" w:eastAsia="仿宋" w:cs="Times New Roman"/>
          <w:b/>
          <w:bCs/>
          <w:color w:val="auto"/>
          <w:sz w:val="36"/>
          <w:szCs w:val="36"/>
        </w:rPr>
      </w:pPr>
      <w:bookmarkStart w:id="15" w:name="_Toc32303"/>
      <w:bookmarkStart w:id="16" w:name="_Toc79959159"/>
      <w:bookmarkStart w:id="17" w:name="_Toc6025"/>
      <w:r>
        <w:rPr>
          <w:rFonts w:hint="eastAsia" w:ascii="仿宋" w:hAnsi="仿宋" w:eastAsia="仿宋" w:cs="Times New Roman"/>
          <w:b/>
          <w:bCs/>
          <w:color w:val="auto"/>
          <w:sz w:val="36"/>
          <w:szCs w:val="36"/>
        </w:rPr>
        <w:t>第二章  投标人须知</w:t>
      </w:r>
      <w:bookmarkEnd w:id="8"/>
      <w:bookmarkEnd w:id="9"/>
      <w:bookmarkEnd w:id="15"/>
      <w:bookmarkEnd w:id="16"/>
      <w:bookmarkEnd w:id="17"/>
    </w:p>
    <w:p w14:paraId="124B4F66">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highlight w:val="none"/>
        </w:rPr>
      </w:pPr>
      <w:bookmarkStart w:id="18" w:name="_Toc3795"/>
      <w:bookmarkStart w:id="19" w:name="_Toc24685"/>
      <w:bookmarkStart w:id="20" w:name="_Toc79959160"/>
      <w:r>
        <w:rPr>
          <w:rFonts w:hint="eastAsia" w:ascii="仿宋" w:hAnsi="仿宋" w:eastAsia="仿宋" w:cs="仿宋"/>
          <w:b/>
          <w:bCs/>
          <w:color w:val="auto"/>
          <w:highlight w:val="none"/>
        </w:rPr>
        <w:t>一、投标人须知附表</w:t>
      </w:r>
      <w:bookmarkEnd w:id="18"/>
      <w:bookmarkEnd w:id="19"/>
      <w:bookmarkEnd w:id="20"/>
    </w:p>
    <w:tbl>
      <w:tblPr>
        <w:tblStyle w:val="32"/>
        <w:tblW w:w="9626"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0" w:type="dxa"/>
          <w:bottom w:w="0" w:type="dxa"/>
          <w:right w:w="0" w:type="dxa"/>
        </w:tblCellMar>
      </w:tblPr>
      <w:tblGrid>
        <w:gridCol w:w="725"/>
        <w:gridCol w:w="1907"/>
        <w:gridCol w:w="6994"/>
      </w:tblGrid>
      <w:tr w14:paraId="5FB7E1A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545" w:hRule="atLeast"/>
          <w:tblHeader/>
          <w:jc w:val="center"/>
        </w:trPr>
        <w:tc>
          <w:tcPr>
            <w:tcW w:w="725" w:type="dxa"/>
            <w:tcBorders>
              <w:tl2br w:val="nil"/>
              <w:tr2bl w:val="nil"/>
            </w:tcBorders>
            <w:shd w:val="clear" w:color="auto" w:fill="D7D7D7"/>
            <w:noWrap w:val="0"/>
            <w:vAlign w:val="center"/>
          </w:tcPr>
          <w:p w14:paraId="60CD4E8D">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 xml:space="preserve">序号 </w:t>
            </w:r>
          </w:p>
        </w:tc>
        <w:tc>
          <w:tcPr>
            <w:tcW w:w="1907" w:type="dxa"/>
            <w:tcBorders>
              <w:tl2br w:val="nil"/>
              <w:tr2bl w:val="nil"/>
            </w:tcBorders>
            <w:shd w:val="clear" w:color="auto" w:fill="D7D7D7"/>
            <w:noWrap w:val="0"/>
            <w:vAlign w:val="center"/>
          </w:tcPr>
          <w:p w14:paraId="72F91A05">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jc w:val="center"/>
              <w:textAlignment w:val="auto"/>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 xml:space="preserve">应知事项 </w:t>
            </w:r>
          </w:p>
        </w:tc>
        <w:tc>
          <w:tcPr>
            <w:tcW w:w="6994" w:type="dxa"/>
            <w:tcBorders>
              <w:tl2br w:val="nil"/>
              <w:tr2bl w:val="nil"/>
            </w:tcBorders>
            <w:shd w:val="clear" w:color="auto" w:fill="D7D7D7"/>
            <w:noWrap w:val="0"/>
            <w:vAlign w:val="center"/>
          </w:tcPr>
          <w:p w14:paraId="5B0B7248">
            <w:pPr>
              <w:pStyle w:val="50"/>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说明和要求</w:t>
            </w:r>
          </w:p>
        </w:tc>
      </w:tr>
      <w:tr w14:paraId="17DAA75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25" w:type="dxa"/>
            <w:tcBorders>
              <w:tl2br w:val="nil"/>
              <w:tr2bl w:val="nil"/>
            </w:tcBorders>
            <w:noWrap w:val="0"/>
            <w:vAlign w:val="center"/>
          </w:tcPr>
          <w:p w14:paraId="3675BDFD">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1</w:t>
            </w:r>
          </w:p>
        </w:tc>
        <w:tc>
          <w:tcPr>
            <w:tcW w:w="1907" w:type="dxa"/>
            <w:tcBorders>
              <w:tl2br w:val="nil"/>
              <w:tr2bl w:val="nil"/>
            </w:tcBorders>
            <w:noWrap w:val="0"/>
            <w:vAlign w:val="center"/>
          </w:tcPr>
          <w:p w14:paraId="118C908F">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采购预算</w:t>
            </w:r>
          </w:p>
          <w:p w14:paraId="4C3DC3E4">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（实质性要求）</w:t>
            </w:r>
          </w:p>
        </w:tc>
        <w:tc>
          <w:tcPr>
            <w:tcW w:w="6994" w:type="dxa"/>
            <w:tcBorders>
              <w:tl2br w:val="nil"/>
              <w:tr2bl w:val="nil"/>
            </w:tcBorders>
            <w:noWrap w:val="0"/>
            <w:vAlign w:val="top"/>
          </w:tcPr>
          <w:p w14:paraId="32D1A93E">
            <w:pPr>
              <w:pStyle w:val="50"/>
              <w:keepNext w:val="0"/>
              <w:keepLines w:val="0"/>
              <w:pageBreakBefore w:val="0"/>
              <w:widowControl w:val="0"/>
              <w:kinsoku/>
              <w:wordWrap/>
              <w:overflowPunct/>
              <w:topLinePunct w:val="0"/>
              <w:bidi w:val="0"/>
              <w:snapToGrid/>
              <w:spacing w:after="0" w:line="240" w:lineRule="auto"/>
              <w:ind w:right="0" w:rightChars="0" w:firstLine="240" w:firstLineChars="100"/>
              <w:jc w:val="both"/>
              <w:textAlignment w:val="auto"/>
              <w:outlineLvl w:val="9"/>
              <w:rPr>
                <w:rFonts w:hint="eastAsia" w:ascii="仿宋" w:hAnsi="仿宋" w:eastAsia="仿宋"/>
                <w:color w:val="auto"/>
                <w:sz w:val="24"/>
                <w:szCs w:val="24"/>
                <w:lang w:val="zh-CN"/>
              </w:rPr>
            </w:pPr>
            <w:r>
              <w:rPr>
                <w:rFonts w:hint="eastAsia" w:ascii="仿宋" w:hAnsi="仿宋" w:eastAsia="仿宋"/>
                <w:color w:val="auto"/>
                <w:sz w:val="24"/>
                <w:szCs w:val="24"/>
                <w:lang w:val="zh-CN"/>
              </w:rPr>
              <w:t>第1包采购预算：</w:t>
            </w:r>
            <w:r>
              <w:rPr>
                <w:rFonts w:hint="eastAsia" w:ascii="仿宋" w:hAnsi="仿宋" w:eastAsia="仿宋"/>
                <w:color w:val="auto"/>
                <w:sz w:val="24"/>
                <w:szCs w:val="24"/>
                <w:lang w:val="zh-CN" w:eastAsia="zh-CN"/>
              </w:rPr>
              <w:t>1,104,440.00元（壹佰壹拾万零肆仟肆佰肆拾元整）</w:t>
            </w:r>
            <w:r>
              <w:rPr>
                <w:rFonts w:hint="eastAsia" w:ascii="仿宋" w:hAnsi="仿宋" w:eastAsia="仿宋"/>
                <w:color w:val="auto"/>
                <w:sz w:val="24"/>
                <w:szCs w:val="24"/>
                <w:lang w:val="zh-CN"/>
              </w:rPr>
              <w:t>；</w:t>
            </w:r>
          </w:p>
          <w:p w14:paraId="1B497A15">
            <w:pPr>
              <w:pStyle w:val="50"/>
              <w:keepNext w:val="0"/>
              <w:keepLines w:val="0"/>
              <w:pageBreakBefore w:val="0"/>
              <w:widowControl w:val="0"/>
              <w:kinsoku/>
              <w:wordWrap/>
              <w:overflowPunct/>
              <w:topLinePunct w:val="0"/>
              <w:bidi w:val="0"/>
              <w:snapToGrid/>
              <w:spacing w:after="0" w:line="240" w:lineRule="auto"/>
              <w:ind w:right="0" w:rightChars="0" w:firstLine="240" w:firstLineChars="100"/>
              <w:jc w:val="both"/>
              <w:textAlignment w:val="auto"/>
              <w:outlineLvl w:val="9"/>
              <w:rPr>
                <w:rFonts w:hint="eastAsia" w:ascii="仿宋" w:hAnsi="仿宋" w:eastAsia="仿宋"/>
                <w:color w:val="auto"/>
                <w:sz w:val="24"/>
                <w:szCs w:val="24"/>
                <w:lang w:val="zh-CN"/>
              </w:rPr>
            </w:pPr>
            <w:r>
              <w:rPr>
                <w:rFonts w:hint="eastAsia" w:ascii="仿宋" w:hAnsi="仿宋" w:eastAsia="仿宋"/>
                <w:color w:val="auto"/>
                <w:sz w:val="24"/>
                <w:szCs w:val="24"/>
                <w:lang w:val="zh-CN"/>
              </w:rPr>
              <w:t>第2包采购预算：</w:t>
            </w:r>
            <w:r>
              <w:rPr>
                <w:rFonts w:hint="eastAsia" w:ascii="仿宋" w:hAnsi="仿宋" w:eastAsia="仿宋"/>
                <w:color w:val="auto"/>
                <w:sz w:val="24"/>
                <w:szCs w:val="24"/>
                <w:lang w:val="zh-CN" w:eastAsia="zh-CN"/>
              </w:rPr>
              <w:t>154,320.00元（壹拾伍万肆仟叁佰贰拾元整）</w:t>
            </w:r>
            <w:r>
              <w:rPr>
                <w:rFonts w:hint="eastAsia" w:ascii="仿宋" w:hAnsi="仿宋" w:eastAsia="仿宋"/>
                <w:color w:val="auto"/>
                <w:sz w:val="24"/>
                <w:szCs w:val="24"/>
                <w:lang w:val="zh-CN"/>
              </w:rPr>
              <w:t>；</w:t>
            </w:r>
          </w:p>
          <w:p w14:paraId="4F5BA736">
            <w:pPr>
              <w:pStyle w:val="50"/>
              <w:keepNext w:val="0"/>
              <w:keepLines w:val="0"/>
              <w:pageBreakBefore w:val="0"/>
              <w:widowControl w:val="0"/>
              <w:kinsoku/>
              <w:wordWrap/>
              <w:overflowPunct/>
              <w:topLinePunct w:val="0"/>
              <w:bidi w:val="0"/>
              <w:snapToGrid/>
              <w:spacing w:after="0" w:line="240" w:lineRule="auto"/>
              <w:ind w:right="0" w:rightChars="0" w:firstLine="240" w:firstLineChars="100"/>
              <w:jc w:val="both"/>
              <w:textAlignment w:val="auto"/>
              <w:outlineLvl w:val="9"/>
              <w:rPr>
                <w:rFonts w:hint="eastAsia" w:ascii="仿宋" w:hAnsi="仿宋" w:eastAsia="仿宋"/>
                <w:color w:val="auto"/>
                <w:sz w:val="24"/>
                <w:szCs w:val="24"/>
                <w:lang w:val="zh-CN"/>
              </w:rPr>
            </w:pPr>
            <w:r>
              <w:rPr>
                <w:rFonts w:hint="eastAsia" w:ascii="仿宋" w:hAnsi="仿宋" w:eastAsia="仿宋"/>
                <w:color w:val="auto"/>
                <w:sz w:val="24"/>
                <w:szCs w:val="24"/>
                <w:lang w:val="zh-CN"/>
              </w:rPr>
              <w:t>第</w:t>
            </w:r>
            <w:r>
              <w:rPr>
                <w:rFonts w:hint="eastAsia" w:ascii="仿宋" w:hAnsi="仿宋" w:eastAsia="仿宋"/>
                <w:color w:val="auto"/>
                <w:sz w:val="24"/>
                <w:szCs w:val="24"/>
                <w:lang w:val="en-US" w:eastAsia="zh-CN"/>
              </w:rPr>
              <w:t>3</w:t>
            </w:r>
            <w:r>
              <w:rPr>
                <w:rFonts w:hint="eastAsia" w:ascii="仿宋" w:hAnsi="仿宋" w:eastAsia="仿宋"/>
                <w:color w:val="auto"/>
                <w:sz w:val="24"/>
                <w:szCs w:val="24"/>
                <w:lang w:val="zh-CN"/>
              </w:rPr>
              <w:t>包采购预算</w:t>
            </w:r>
            <w:r>
              <w:rPr>
                <w:rFonts w:hint="eastAsia" w:ascii="仿宋" w:hAnsi="仿宋" w:eastAsia="仿宋"/>
                <w:color w:val="auto"/>
                <w:sz w:val="24"/>
                <w:szCs w:val="24"/>
                <w:lang w:val="zh-CN" w:eastAsia="zh-CN"/>
              </w:rPr>
              <w:t>：</w:t>
            </w:r>
            <w:r>
              <w:rPr>
                <w:rFonts w:hint="eastAsia" w:ascii="仿宋" w:hAnsi="仿宋" w:eastAsia="仿宋"/>
                <w:color w:val="auto"/>
                <w:sz w:val="24"/>
                <w:szCs w:val="24"/>
                <w:lang w:val="en-US" w:eastAsia="zh-CN"/>
              </w:rPr>
              <w:t>317,888.00元（叁拾壹万柒仟捌佰捌拾捌元整）</w:t>
            </w:r>
          </w:p>
          <w:p w14:paraId="427C7B76">
            <w:pPr>
              <w:pStyle w:val="50"/>
              <w:keepNext w:val="0"/>
              <w:keepLines w:val="0"/>
              <w:pageBreakBefore w:val="0"/>
              <w:widowControl w:val="0"/>
              <w:kinsoku/>
              <w:wordWrap/>
              <w:overflowPunct/>
              <w:topLinePunct w:val="0"/>
              <w:bidi w:val="0"/>
              <w:snapToGrid/>
              <w:spacing w:after="0" w:line="240" w:lineRule="auto"/>
              <w:ind w:right="0" w:righ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olor w:val="auto"/>
                <w:sz w:val="24"/>
                <w:szCs w:val="24"/>
                <w:lang w:val="zh-CN"/>
              </w:rPr>
              <w:t>超过采购预算的报价无效。</w:t>
            </w:r>
          </w:p>
        </w:tc>
      </w:tr>
      <w:tr w14:paraId="1C85F66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25" w:type="dxa"/>
            <w:tcBorders>
              <w:tl2br w:val="nil"/>
              <w:tr2bl w:val="nil"/>
            </w:tcBorders>
            <w:noWrap w:val="0"/>
            <w:vAlign w:val="center"/>
          </w:tcPr>
          <w:p w14:paraId="6F27608A">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2</w:t>
            </w:r>
          </w:p>
        </w:tc>
        <w:tc>
          <w:tcPr>
            <w:tcW w:w="1907" w:type="dxa"/>
            <w:tcBorders>
              <w:tl2br w:val="nil"/>
              <w:tr2bl w:val="nil"/>
            </w:tcBorders>
            <w:noWrap w:val="0"/>
            <w:vAlign w:val="center"/>
          </w:tcPr>
          <w:p w14:paraId="44EE8205">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最高限价</w:t>
            </w:r>
          </w:p>
          <w:p w14:paraId="4F7655B4">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（实质性要求）</w:t>
            </w:r>
          </w:p>
        </w:tc>
        <w:tc>
          <w:tcPr>
            <w:tcW w:w="6994" w:type="dxa"/>
            <w:tcBorders>
              <w:tl2br w:val="nil"/>
              <w:tr2bl w:val="nil"/>
            </w:tcBorders>
            <w:noWrap w:val="0"/>
            <w:vAlign w:val="center"/>
          </w:tcPr>
          <w:p w14:paraId="0DF9EB7D">
            <w:pPr>
              <w:pStyle w:val="50"/>
              <w:keepNext w:val="0"/>
              <w:keepLines w:val="0"/>
              <w:pageBreakBefore w:val="0"/>
              <w:widowControl w:val="0"/>
              <w:kinsoku/>
              <w:wordWrap/>
              <w:overflowPunct/>
              <w:topLinePunct w:val="0"/>
              <w:bidi w:val="0"/>
              <w:snapToGrid/>
              <w:spacing w:after="0" w:line="240" w:lineRule="auto"/>
              <w:ind w:right="0" w:rightChars="0" w:firstLine="240" w:firstLineChars="100"/>
              <w:jc w:val="both"/>
              <w:textAlignment w:val="auto"/>
              <w:outlineLvl w:val="9"/>
              <w:rPr>
                <w:rFonts w:hint="eastAsia" w:ascii="仿宋" w:hAnsi="仿宋" w:eastAsia="仿宋"/>
                <w:color w:val="auto"/>
                <w:sz w:val="24"/>
                <w:szCs w:val="24"/>
                <w:lang w:val="zh-CN"/>
              </w:rPr>
            </w:pPr>
            <w:r>
              <w:rPr>
                <w:rFonts w:hint="eastAsia" w:ascii="仿宋" w:hAnsi="仿宋" w:eastAsia="仿宋"/>
                <w:color w:val="auto"/>
                <w:sz w:val="24"/>
                <w:szCs w:val="24"/>
                <w:lang w:val="zh-CN"/>
              </w:rPr>
              <w:t>第1包</w:t>
            </w:r>
            <w:r>
              <w:rPr>
                <w:rFonts w:hint="eastAsia" w:ascii="仿宋" w:hAnsi="仿宋" w:eastAsia="仿宋"/>
                <w:color w:val="auto"/>
                <w:sz w:val="24"/>
                <w:szCs w:val="24"/>
                <w:lang w:val="en-US" w:eastAsia="zh-CN"/>
              </w:rPr>
              <w:t>最高限价</w:t>
            </w:r>
            <w:r>
              <w:rPr>
                <w:rFonts w:hint="eastAsia" w:ascii="仿宋" w:hAnsi="仿宋" w:eastAsia="仿宋"/>
                <w:color w:val="auto"/>
                <w:sz w:val="24"/>
                <w:szCs w:val="24"/>
                <w:lang w:val="zh-CN"/>
              </w:rPr>
              <w:t>：</w:t>
            </w:r>
            <w:r>
              <w:rPr>
                <w:rFonts w:hint="eastAsia" w:ascii="仿宋" w:hAnsi="仿宋" w:eastAsia="仿宋"/>
                <w:color w:val="auto"/>
                <w:sz w:val="24"/>
                <w:szCs w:val="24"/>
                <w:lang w:val="zh-CN" w:eastAsia="zh-CN"/>
              </w:rPr>
              <w:t>1,104,440.00元（壹佰壹拾万零肆仟肆佰肆拾元整）</w:t>
            </w:r>
            <w:r>
              <w:rPr>
                <w:rFonts w:hint="eastAsia" w:ascii="仿宋" w:hAnsi="仿宋" w:eastAsia="仿宋"/>
                <w:color w:val="auto"/>
                <w:sz w:val="24"/>
                <w:szCs w:val="24"/>
                <w:lang w:val="zh-CN"/>
              </w:rPr>
              <w:t>；</w:t>
            </w:r>
          </w:p>
          <w:p w14:paraId="4CA0A626">
            <w:pPr>
              <w:pStyle w:val="50"/>
              <w:keepNext w:val="0"/>
              <w:keepLines w:val="0"/>
              <w:pageBreakBefore w:val="0"/>
              <w:widowControl w:val="0"/>
              <w:kinsoku/>
              <w:wordWrap/>
              <w:overflowPunct/>
              <w:topLinePunct w:val="0"/>
              <w:bidi w:val="0"/>
              <w:snapToGrid/>
              <w:spacing w:after="0" w:line="240" w:lineRule="auto"/>
              <w:ind w:right="0" w:rightChars="0" w:firstLine="240" w:firstLineChars="100"/>
              <w:jc w:val="both"/>
              <w:textAlignment w:val="auto"/>
              <w:outlineLvl w:val="9"/>
              <w:rPr>
                <w:rFonts w:hint="eastAsia" w:ascii="仿宋" w:hAnsi="仿宋" w:eastAsia="仿宋"/>
                <w:color w:val="auto"/>
                <w:sz w:val="24"/>
                <w:szCs w:val="24"/>
                <w:lang w:val="zh-CN"/>
              </w:rPr>
            </w:pPr>
            <w:r>
              <w:rPr>
                <w:rFonts w:hint="eastAsia" w:ascii="仿宋" w:hAnsi="仿宋" w:eastAsia="仿宋"/>
                <w:color w:val="auto"/>
                <w:sz w:val="24"/>
                <w:szCs w:val="24"/>
                <w:lang w:val="zh-CN"/>
              </w:rPr>
              <w:t>第2包</w:t>
            </w:r>
            <w:r>
              <w:rPr>
                <w:rFonts w:hint="eastAsia" w:ascii="仿宋" w:hAnsi="仿宋" w:eastAsia="仿宋"/>
                <w:color w:val="auto"/>
                <w:sz w:val="24"/>
                <w:szCs w:val="24"/>
                <w:lang w:val="en-US" w:eastAsia="zh-CN"/>
              </w:rPr>
              <w:t>最高限价</w:t>
            </w:r>
            <w:r>
              <w:rPr>
                <w:rFonts w:hint="eastAsia" w:ascii="仿宋" w:hAnsi="仿宋" w:eastAsia="仿宋"/>
                <w:color w:val="auto"/>
                <w:sz w:val="24"/>
                <w:szCs w:val="24"/>
                <w:lang w:val="zh-CN"/>
              </w:rPr>
              <w:t>：</w:t>
            </w:r>
            <w:r>
              <w:rPr>
                <w:rFonts w:hint="eastAsia" w:ascii="仿宋" w:hAnsi="仿宋" w:eastAsia="仿宋"/>
                <w:color w:val="auto"/>
                <w:sz w:val="24"/>
                <w:szCs w:val="24"/>
                <w:lang w:val="zh-CN" w:eastAsia="zh-CN"/>
              </w:rPr>
              <w:t>154,320.00元（壹拾伍万肆仟叁佰贰拾元整）</w:t>
            </w:r>
            <w:r>
              <w:rPr>
                <w:rFonts w:hint="eastAsia" w:ascii="仿宋" w:hAnsi="仿宋" w:eastAsia="仿宋"/>
                <w:color w:val="auto"/>
                <w:sz w:val="24"/>
                <w:szCs w:val="24"/>
                <w:lang w:val="zh-CN"/>
              </w:rPr>
              <w:t>；</w:t>
            </w:r>
          </w:p>
          <w:p w14:paraId="05A0DF5D">
            <w:pPr>
              <w:pStyle w:val="50"/>
              <w:keepNext w:val="0"/>
              <w:keepLines w:val="0"/>
              <w:pageBreakBefore w:val="0"/>
              <w:widowControl w:val="0"/>
              <w:kinsoku/>
              <w:wordWrap/>
              <w:overflowPunct/>
              <w:topLinePunct w:val="0"/>
              <w:bidi w:val="0"/>
              <w:snapToGrid/>
              <w:spacing w:after="0" w:line="240" w:lineRule="auto"/>
              <w:ind w:right="0" w:rightChars="0" w:firstLine="240" w:firstLineChars="100"/>
              <w:jc w:val="both"/>
              <w:textAlignment w:val="auto"/>
              <w:outlineLvl w:val="9"/>
              <w:rPr>
                <w:rFonts w:hint="eastAsia" w:ascii="仿宋" w:hAnsi="仿宋" w:eastAsia="仿宋"/>
                <w:color w:val="auto"/>
                <w:sz w:val="24"/>
                <w:szCs w:val="24"/>
                <w:lang w:val="zh-CN"/>
              </w:rPr>
            </w:pPr>
            <w:r>
              <w:rPr>
                <w:rFonts w:hint="eastAsia" w:ascii="仿宋" w:hAnsi="仿宋" w:eastAsia="仿宋"/>
                <w:color w:val="auto"/>
                <w:sz w:val="24"/>
                <w:szCs w:val="24"/>
                <w:lang w:val="zh-CN"/>
              </w:rPr>
              <w:t>第</w:t>
            </w:r>
            <w:r>
              <w:rPr>
                <w:rFonts w:hint="eastAsia" w:ascii="仿宋" w:hAnsi="仿宋" w:eastAsia="仿宋"/>
                <w:color w:val="auto"/>
                <w:sz w:val="24"/>
                <w:szCs w:val="24"/>
                <w:lang w:val="en-US" w:eastAsia="zh-CN"/>
              </w:rPr>
              <w:t>3</w:t>
            </w:r>
            <w:r>
              <w:rPr>
                <w:rFonts w:hint="eastAsia" w:ascii="仿宋" w:hAnsi="仿宋" w:eastAsia="仿宋"/>
                <w:color w:val="auto"/>
                <w:sz w:val="24"/>
                <w:szCs w:val="24"/>
                <w:lang w:val="zh-CN"/>
              </w:rPr>
              <w:t>包</w:t>
            </w:r>
            <w:r>
              <w:rPr>
                <w:rFonts w:hint="eastAsia" w:ascii="仿宋" w:hAnsi="仿宋" w:eastAsia="仿宋"/>
                <w:color w:val="auto"/>
                <w:sz w:val="24"/>
                <w:szCs w:val="24"/>
                <w:lang w:val="en-US" w:eastAsia="zh-CN"/>
              </w:rPr>
              <w:t>最高限价</w:t>
            </w:r>
            <w:r>
              <w:rPr>
                <w:rFonts w:hint="eastAsia" w:ascii="仿宋" w:hAnsi="仿宋" w:eastAsia="仿宋"/>
                <w:color w:val="auto"/>
                <w:sz w:val="24"/>
                <w:szCs w:val="24"/>
                <w:lang w:val="zh-CN" w:eastAsia="zh-CN"/>
              </w:rPr>
              <w:t>：</w:t>
            </w:r>
            <w:r>
              <w:rPr>
                <w:rFonts w:hint="eastAsia" w:ascii="仿宋" w:hAnsi="仿宋" w:eastAsia="仿宋"/>
                <w:color w:val="auto"/>
                <w:sz w:val="24"/>
                <w:szCs w:val="24"/>
                <w:lang w:val="en-US" w:eastAsia="zh-CN"/>
              </w:rPr>
              <w:t>317,888.00元（叁拾壹万柒仟捌佰捌拾捌元整）</w:t>
            </w:r>
          </w:p>
          <w:p w14:paraId="055C3A69">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firstLine="240" w:firstLineChars="1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超过最高限价的报价无效。</w:t>
            </w:r>
          </w:p>
        </w:tc>
      </w:tr>
      <w:tr w14:paraId="7774B9E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76A1C396">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3</w:t>
            </w:r>
          </w:p>
        </w:tc>
        <w:tc>
          <w:tcPr>
            <w:tcW w:w="1907" w:type="dxa"/>
            <w:tcBorders>
              <w:tl2br w:val="nil"/>
              <w:tr2bl w:val="nil"/>
            </w:tcBorders>
            <w:noWrap w:val="0"/>
            <w:vAlign w:val="center"/>
          </w:tcPr>
          <w:p w14:paraId="489D78B7">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leftChars="0"/>
              <w:jc w:val="center"/>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是否允许联合体</w:t>
            </w:r>
          </w:p>
        </w:tc>
        <w:tc>
          <w:tcPr>
            <w:tcW w:w="6994" w:type="dxa"/>
            <w:tcBorders>
              <w:tl2br w:val="nil"/>
              <w:tr2bl w:val="nil"/>
            </w:tcBorders>
            <w:noWrap w:val="0"/>
            <w:vAlign w:val="center"/>
          </w:tcPr>
          <w:p w14:paraId="039FB7A4">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b w:val="0"/>
                <w:bCs w:val="0"/>
                <w:color w:val="auto"/>
                <w:sz w:val="24"/>
                <w:szCs w:val="24"/>
                <w:highlight w:val="none"/>
                <w:lang w:val="en-US" w:eastAsia="zh-CN"/>
              </w:rPr>
              <w:t>不允许</w:t>
            </w:r>
          </w:p>
        </w:tc>
      </w:tr>
      <w:tr w14:paraId="6511D12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3AFD82A1">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907" w:type="dxa"/>
            <w:tcBorders>
              <w:tl2br w:val="nil"/>
              <w:tr2bl w:val="nil"/>
            </w:tcBorders>
            <w:noWrap w:val="0"/>
            <w:vAlign w:val="center"/>
          </w:tcPr>
          <w:p w14:paraId="50BDC799">
            <w:pPr>
              <w:pStyle w:val="50"/>
              <w:keepNext w:val="0"/>
              <w:keepLines w:val="0"/>
              <w:pageBreakBefore w:val="0"/>
              <w:widowControl w:val="0"/>
              <w:kinsoku/>
              <w:wordWrap/>
              <w:overflowPunct/>
              <w:topLinePunct w:val="0"/>
              <w:bidi w:val="0"/>
              <w:snapToGrid/>
              <w:spacing w:line="240" w:lineRule="auto"/>
              <w:ind w:left="0"/>
              <w:jc w:val="center"/>
              <w:textAlignment w:val="auto"/>
              <w:outlineLvl w:val="9"/>
              <w:rPr>
                <w:rFonts w:hint="eastAsia" w:ascii="仿宋" w:hAnsi="仿宋" w:eastAsia="仿宋" w:cs="Times New Roman"/>
                <w:color w:val="auto"/>
                <w:kern w:val="2"/>
                <w:sz w:val="24"/>
                <w:szCs w:val="24"/>
                <w:lang w:val="zh-CN" w:eastAsia="zh-CN" w:bidi="ar-SA"/>
              </w:rPr>
            </w:pPr>
            <w:r>
              <w:rPr>
                <w:rFonts w:hint="eastAsia" w:ascii="仿宋" w:hAnsi="仿宋" w:eastAsia="仿宋" w:cs="仿宋"/>
                <w:color w:val="auto"/>
                <w:sz w:val="24"/>
                <w:szCs w:val="24"/>
                <w:highlight w:val="none"/>
              </w:rPr>
              <w:t>低于成本价不正当竞争预防措施</w:t>
            </w:r>
          </w:p>
        </w:tc>
        <w:tc>
          <w:tcPr>
            <w:tcW w:w="6994" w:type="dxa"/>
            <w:tcBorders>
              <w:tl2br w:val="nil"/>
              <w:tr2bl w:val="nil"/>
            </w:tcBorders>
            <w:noWrap w:val="0"/>
            <w:vAlign w:val="center"/>
          </w:tcPr>
          <w:p w14:paraId="0277408A">
            <w:pPr>
              <w:pStyle w:val="50"/>
              <w:keepNext w:val="0"/>
              <w:keepLines w:val="0"/>
              <w:pageBreakBefore w:val="0"/>
              <w:widowControl w:val="0"/>
              <w:kinsoku/>
              <w:wordWrap/>
              <w:overflowPunct/>
              <w:topLinePunct w:val="0"/>
              <w:bidi w:val="0"/>
              <w:snapToGrid/>
              <w:spacing w:after="0" w:line="240" w:lineRule="auto"/>
              <w:ind w:right="0" w:rightChars="0" w:firstLine="240" w:firstLineChars="100"/>
              <w:jc w:val="both"/>
              <w:textAlignment w:val="auto"/>
              <w:outlineLvl w:val="9"/>
              <w:rPr>
                <w:rFonts w:hint="eastAsia" w:ascii="仿宋" w:hAnsi="仿宋" w:eastAsia="仿宋"/>
                <w:color w:val="auto"/>
                <w:sz w:val="24"/>
                <w:szCs w:val="24"/>
                <w:lang w:val="zh-CN"/>
              </w:rPr>
            </w:pPr>
            <w:r>
              <w:rPr>
                <w:rFonts w:hint="eastAsia" w:ascii="仿宋" w:hAnsi="仿宋" w:eastAsia="仿宋"/>
                <w:color w:val="auto"/>
                <w:sz w:val="24"/>
                <w:szCs w:val="24"/>
                <w:lang w:val="en-US" w:eastAsia="zh-CN"/>
              </w:rPr>
              <w:t>1、</w:t>
            </w:r>
            <w:r>
              <w:rPr>
                <w:rFonts w:hint="eastAsia" w:ascii="仿宋" w:hAnsi="仿宋" w:eastAsia="仿宋"/>
                <w:color w:val="auto"/>
                <w:sz w:val="24"/>
                <w:szCs w:val="24"/>
                <w:lang w:val="zh-CN"/>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w:t>
            </w:r>
          </w:p>
          <w:p w14:paraId="28E58079">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zh-CN"/>
              </w:rPr>
            </w:pP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书面说明应当按照国家财务会计制度的规定要求，逐项就</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提供的货物、工程和服务的主营业务成本（应根据</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企业类型予以区别）、税金及附加、销售费用、管理费用、财务费用等成本构成事项详细陈述。</w:t>
            </w:r>
          </w:p>
          <w:p w14:paraId="446B0D28">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zh-CN"/>
              </w:rPr>
            </w:pPr>
            <w:r>
              <w:rPr>
                <w:rFonts w:hint="eastAsia" w:ascii="仿宋" w:hAnsi="仿宋" w:eastAsia="仿宋"/>
                <w:color w:val="auto"/>
                <w:sz w:val="24"/>
                <w:szCs w:val="24"/>
                <w:lang w:val="en-US" w:eastAsia="zh-CN"/>
              </w:rPr>
              <w:t>2、</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书面说明应当签字确认或者加盖公章，否则无效。书面说明的签字确认，</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为法人的，由其法定代表人或者代理人签字确认；</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为其他组织的，由其单位负责人或者代理人签字确认；</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为自然人的，由其本人或者代理人签字确认。</w:t>
            </w:r>
          </w:p>
          <w:p w14:paraId="1E34BFD8">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s="宋体"/>
                <w:color w:val="auto"/>
                <w:sz w:val="24"/>
                <w:szCs w:val="24"/>
                <w:lang w:val="zh-CN" w:eastAsia="zh-CN" w:bidi="ar-SA"/>
              </w:rPr>
            </w:pPr>
            <w:r>
              <w:rPr>
                <w:rFonts w:hint="eastAsia" w:ascii="仿宋" w:hAnsi="仿宋" w:eastAsia="仿宋"/>
                <w:color w:val="auto"/>
                <w:sz w:val="24"/>
                <w:szCs w:val="24"/>
                <w:lang w:val="en-US" w:eastAsia="zh-CN"/>
              </w:rPr>
              <w:t>3、</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提供书面说明后，评标委员会应当结合采购项目采购需求、专业实际情况、</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财务状况报告、与其他</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比较情况等就</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书面说明进行审查评价。</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拒绝或者变相拒绝提供有效书面说明或者书面说明不能证明其报价合理性的，评标委员会应当将其投标文件作为无效处理。</w:t>
            </w:r>
          </w:p>
        </w:tc>
      </w:tr>
      <w:tr w14:paraId="784149A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1A16B909">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907" w:type="dxa"/>
            <w:tcBorders>
              <w:tl2br w:val="nil"/>
              <w:tr2bl w:val="nil"/>
            </w:tcBorders>
            <w:noWrap w:val="0"/>
            <w:vAlign w:val="center"/>
          </w:tcPr>
          <w:p w14:paraId="7C4A7754">
            <w:pPr>
              <w:pStyle w:val="50"/>
              <w:keepNext w:val="0"/>
              <w:keepLines w:val="0"/>
              <w:pageBreakBefore w:val="0"/>
              <w:widowControl w:val="0"/>
              <w:kinsoku/>
              <w:wordWrap/>
              <w:overflowPunct/>
              <w:topLinePunct w:val="0"/>
              <w:bidi w:val="0"/>
              <w:snapToGrid/>
              <w:spacing w:line="240" w:lineRule="auto"/>
              <w:ind w:left="0" w:leftChars="0"/>
              <w:jc w:val="center"/>
              <w:textAlignment w:val="auto"/>
              <w:rPr>
                <w:rFonts w:hint="eastAsia" w:ascii="仿宋" w:hAnsi="仿宋" w:eastAsia="仿宋" w:cs="仿宋"/>
                <w:color w:val="auto"/>
                <w:sz w:val="24"/>
                <w:szCs w:val="24"/>
                <w:highlight w:val="none"/>
                <w:lang w:val="zh-CN" w:eastAsia="zh-CN" w:bidi="ar-SA"/>
              </w:rPr>
            </w:pPr>
            <w:r>
              <w:rPr>
                <w:rFonts w:hint="eastAsia" w:ascii="仿宋" w:hAnsi="仿宋" w:eastAsia="仿宋" w:cs="仿宋"/>
                <w:color w:val="auto"/>
                <w:sz w:val="24"/>
                <w:szCs w:val="24"/>
                <w:highlight w:val="none"/>
                <w:lang w:val="zh-CN" w:eastAsia="zh-CN"/>
              </w:rPr>
              <w:t>投标</w:t>
            </w:r>
            <w:r>
              <w:rPr>
                <w:rFonts w:hint="eastAsia" w:ascii="仿宋" w:hAnsi="仿宋" w:eastAsia="仿宋" w:cs="仿宋"/>
                <w:color w:val="auto"/>
                <w:sz w:val="24"/>
                <w:szCs w:val="24"/>
                <w:highlight w:val="none"/>
                <w:lang w:val="zh-CN"/>
              </w:rPr>
              <w:t>保证金</w:t>
            </w:r>
          </w:p>
        </w:tc>
        <w:tc>
          <w:tcPr>
            <w:tcW w:w="6994" w:type="dxa"/>
            <w:tcBorders>
              <w:tl2br w:val="nil"/>
              <w:tr2bl w:val="nil"/>
            </w:tcBorders>
            <w:noWrap w:val="0"/>
            <w:vAlign w:val="center"/>
          </w:tcPr>
          <w:p w14:paraId="518E71B5">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s="宋体"/>
                <w:color w:val="auto"/>
                <w:sz w:val="24"/>
                <w:szCs w:val="24"/>
                <w:lang w:val="zh-CN" w:eastAsia="zh-CN" w:bidi="ar-SA"/>
              </w:rPr>
            </w:pPr>
            <w:r>
              <w:rPr>
                <w:rFonts w:hint="eastAsia" w:ascii="仿宋" w:hAnsi="仿宋" w:eastAsia="仿宋" w:cs="仿宋"/>
                <w:color w:val="auto"/>
                <w:lang w:val="zh-CN"/>
              </w:rPr>
              <w:t>本项目</w:t>
            </w:r>
            <w:r>
              <w:rPr>
                <w:rFonts w:hint="eastAsia" w:ascii="仿宋" w:hAnsi="仿宋" w:eastAsia="仿宋" w:cs="仿宋"/>
                <w:b/>
                <w:bCs/>
                <w:color w:val="auto"/>
                <w:lang w:val="zh-CN"/>
              </w:rPr>
              <w:t>不收取</w:t>
            </w:r>
            <w:r>
              <w:rPr>
                <w:rFonts w:hint="eastAsia" w:ascii="仿宋" w:hAnsi="仿宋" w:eastAsia="仿宋" w:cs="仿宋"/>
                <w:color w:val="auto"/>
                <w:lang w:val="en-US" w:eastAsia="zh-CN"/>
              </w:rPr>
              <w:t>投标</w:t>
            </w:r>
            <w:r>
              <w:rPr>
                <w:rFonts w:hint="eastAsia" w:ascii="仿宋" w:hAnsi="仿宋" w:eastAsia="仿宋" w:cs="仿宋"/>
                <w:color w:val="auto"/>
                <w:lang w:val="zh-CN"/>
              </w:rPr>
              <w:t>保证金</w:t>
            </w:r>
          </w:p>
        </w:tc>
      </w:tr>
      <w:tr w14:paraId="1434EB5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12C9F47B">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907" w:type="dxa"/>
            <w:tcBorders>
              <w:tl2br w:val="nil"/>
              <w:tr2bl w:val="nil"/>
            </w:tcBorders>
            <w:noWrap w:val="0"/>
            <w:vAlign w:val="center"/>
          </w:tcPr>
          <w:p w14:paraId="3D1742CC">
            <w:pPr>
              <w:keepNext w:val="0"/>
              <w:keepLines w:val="0"/>
              <w:pageBreakBefore w:val="0"/>
              <w:widowControl w:val="0"/>
              <w:kinsoku/>
              <w:wordWrap/>
              <w:overflowPunct/>
              <w:topLinePunct w:val="0"/>
              <w:bidi w:val="0"/>
              <w:snapToGrid/>
              <w:spacing w:after="0" w:line="240" w:lineRule="auto"/>
              <w:ind w:left="0" w:leftChars="0" w:right="0" w:rightChars="0" w:firstLine="120" w:firstLineChars="50"/>
              <w:jc w:val="center"/>
              <w:textAlignment w:val="auto"/>
              <w:outlineLvl w:val="9"/>
              <w:rPr>
                <w:rFonts w:hint="eastAsia" w:ascii="仿宋" w:hAnsi="仿宋" w:eastAsia="仿宋"/>
                <w:color w:val="auto"/>
                <w:sz w:val="24"/>
                <w:szCs w:val="24"/>
              </w:rPr>
            </w:pPr>
            <w:r>
              <w:rPr>
                <w:rFonts w:hint="eastAsia" w:ascii="仿宋" w:hAnsi="仿宋" w:eastAsia="仿宋"/>
                <w:color w:val="auto"/>
                <w:sz w:val="24"/>
                <w:szCs w:val="24"/>
              </w:rPr>
              <w:t>履约保证金</w:t>
            </w:r>
          </w:p>
          <w:p w14:paraId="6C5A3A72">
            <w:pPr>
              <w:pStyle w:val="3"/>
              <w:rPr>
                <w:rFonts w:hint="eastAsia"/>
                <w:color w:val="auto"/>
                <w:lang w:val="zh-CN" w:eastAsia="zh-CN"/>
              </w:rPr>
            </w:pPr>
            <w:r>
              <w:rPr>
                <w:rFonts w:hint="eastAsia" w:ascii="仿宋" w:hAnsi="仿宋" w:eastAsia="仿宋" w:cs="仿宋"/>
                <w:b/>
                <w:bCs/>
                <w:color w:val="auto"/>
                <w:sz w:val="24"/>
                <w:szCs w:val="24"/>
                <w:highlight w:val="none"/>
                <w:lang w:val="zh-CN"/>
              </w:rPr>
              <w:t>（实质性要求）</w:t>
            </w:r>
          </w:p>
        </w:tc>
        <w:tc>
          <w:tcPr>
            <w:tcW w:w="6994" w:type="dxa"/>
            <w:tcBorders>
              <w:tl2br w:val="nil"/>
              <w:tr2bl w:val="nil"/>
            </w:tcBorders>
            <w:noWrap w:val="0"/>
            <w:vAlign w:val="center"/>
          </w:tcPr>
          <w:p w14:paraId="0B399EAB">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zh-CN" w:eastAsia="zh-CN"/>
              </w:rPr>
            </w:pPr>
            <w:r>
              <w:rPr>
                <w:rFonts w:hint="eastAsia" w:ascii="仿宋" w:hAnsi="仿宋" w:eastAsia="仿宋"/>
                <w:color w:val="auto"/>
                <w:sz w:val="24"/>
                <w:szCs w:val="24"/>
                <w:lang w:val="zh-CN" w:eastAsia="zh-CN"/>
              </w:rPr>
              <w:t>金额：中标金额的1%。</w:t>
            </w:r>
          </w:p>
          <w:p w14:paraId="61AE900A">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zh-CN" w:eastAsia="zh-CN"/>
              </w:rPr>
            </w:pPr>
            <w:r>
              <w:rPr>
                <w:rFonts w:hint="eastAsia" w:ascii="仿宋" w:hAnsi="仿宋" w:eastAsia="仿宋"/>
                <w:color w:val="auto"/>
                <w:sz w:val="24"/>
                <w:szCs w:val="24"/>
                <w:lang w:val="zh-CN" w:eastAsia="zh-CN"/>
              </w:rPr>
              <w:t>交款方式：☑支票/汇票/本票☑保函/保险向招标人缴纳。</w:t>
            </w:r>
          </w:p>
          <w:p w14:paraId="5C8592B1">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zh-CN" w:eastAsia="zh-CN"/>
              </w:rPr>
            </w:pPr>
            <w:r>
              <w:rPr>
                <w:rFonts w:hint="eastAsia" w:ascii="仿宋" w:hAnsi="仿宋" w:eastAsia="仿宋"/>
                <w:color w:val="auto"/>
                <w:sz w:val="24"/>
                <w:szCs w:val="24"/>
                <w:lang w:val="zh-CN" w:eastAsia="zh-CN"/>
              </w:rPr>
              <w:t>收款单位：富顺县中医医院</w:t>
            </w:r>
          </w:p>
          <w:p w14:paraId="3DF4C5BD">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zh-CN" w:eastAsia="zh-CN"/>
              </w:rPr>
            </w:pPr>
            <w:r>
              <w:rPr>
                <w:rFonts w:hint="eastAsia" w:ascii="仿宋" w:hAnsi="仿宋" w:eastAsia="仿宋"/>
                <w:color w:val="auto"/>
                <w:sz w:val="24"/>
                <w:szCs w:val="24"/>
                <w:lang w:val="zh-CN" w:eastAsia="zh-CN"/>
              </w:rPr>
              <w:t>开 户 行：四川富顺农村商业银行股份有限公司营业部</w:t>
            </w:r>
          </w:p>
          <w:p w14:paraId="3EF29ECC">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zh-CN" w:eastAsia="zh-CN"/>
              </w:rPr>
            </w:pPr>
            <w:r>
              <w:rPr>
                <w:rFonts w:hint="eastAsia" w:ascii="仿宋" w:hAnsi="仿宋" w:eastAsia="仿宋"/>
                <w:color w:val="auto"/>
                <w:sz w:val="24"/>
                <w:szCs w:val="24"/>
                <w:lang w:val="zh-CN" w:eastAsia="zh-CN"/>
              </w:rPr>
              <w:t>银行账号：11820120000037316</w:t>
            </w:r>
          </w:p>
          <w:p w14:paraId="278C7772">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zh-CN" w:eastAsia="zh-CN"/>
              </w:rPr>
            </w:pPr>
            <w:r>
              <w:rPr>
                <w:rFonts w:hint="eastAsia" w:ascii="仿宋" w:hAnsi="仿宋" w:eastAsia="仿宋"/>
                <w:color w:val="auto"/>
                <w:sz w:val="24"/>
                <w:szCs w:val="24"/>
                <w:lang w:val="zh-CN" w:eastAsia="zh-CN"/>
              </w:rPr>
              <w:t>交款时间：中标通知书发放后，采购合同签订前。</w:t>
            </w:r>
          </w:p>
          <w:p w14:paraId="04E3B933">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退还履约金流程：履约保证金退还：耗材供货后6个月，货物无任何质量问题且中标人履行了售后服务义务，招标人凭中标人提供的退还履约保证金申请无息退还履约保证金。</w:t>
            </w:r>
          </w:p>
          <w:p w14:paraId="07BA7EC7">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履约保证金不予退还情形：未按合同履约不退还。采用非保函形式缴纳的履约保证金在 15 个工作日内无息返还，采用保函形式缴纳的履约保证金在担保有效期后，担保责任终止。</w:t>
            </w:r>
          </w:p>
          <w:p w14:paraId="363BEFDC">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递交和退还保函原件时乙方须到甲方现场提供以下证明材料：</w:t>
            </w:r>
          </w:p>
          <w:p w14:paraId="070F3F26">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①法定代表人授权委托书原件；②委托代理人身份证复印件。</w:t>
            </w:r>
          </w:p>
        </w:tc>
      </w:tr>
      <w:tr w14:paraId="24BA32A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20383E2E">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907" w:type="dxa"/>
            <w:tcBorders>
              <w:tl2br w:val="nil"/>
              <w:tr2bl w:val="nil"/>
            </w:tcBorders>
            <w:noWrap w:val="0"/>
            <w:vAlign w:val="center"/>
          </w:tcPr>
          <w:p w14:paraId="29D6A7D6">
            <w:pPr>
              <w:pStyle w:val="50"/>
              <w:keepNext w:val="0"/>
              <w:keepLines w:val="0"/>
              <w:pageBreakBefore w:val="0"/>
              <w:widowControl w:val="0"/>
              <w:kinsoku/>
              <w:wordWrap/>
              <w:overflowPunct/>
              <w:topLinePunct w:val="0"/>
              <w:bidi w:val="0"/>
              <w:snapToGrid/>
              <w:spacing w:after="0" w:line="240" w:lineRule="auto"/>
              <w:ind w:left="0" w:leftChars="0" w:right="0" w:rightChars="0"/>
              <w:jc w:val="center"/>
              <w:textAlignment w:val="auto"/>
              <w:outlineLvl w:val="9"/>
              <w:rPr>
                <w:rFonts w:hint="eastAsia" w:ascii="仿宋" w:hAnsi="仿宋" w:eastAsia="仿宋" w:cs="Times New Roman"/>
                <w:color w:val="auto"/>
                <w:kern w:val="2"/>
                <w:sz w:val="24"/>
                <w:szCs w:val="24"/>
                <w:lang w:val="zh-CN" w:eastAsia="zh-CN" w:bidi="ar-SA"/>
              </w:rPr>
            </w:pPr>
            <w:r>
              <w:rPr>
                <w:rFonts w:hint="eastAsia" w:ascii="仿宋" w:hAnsi="仿宋" w:eastAsia="仿宋" w:cs="Times New Roman"/>
                <w:b w:val="0"/>
                <w:bCs w:val="0"/>
                <w:color w:val="auto"/>
                <w:kern w:val="2"/>
                <w:sz w:val="24"/>
                <w:szCs w:val="24"/>
                <w:lang w:eastAsia="zh-CN"/>
              </w:rPr>
              <w:t>招标</w:t>
            </w:r>
            <w:r>
              <w:rPr>
                <w:rFonts w:hint="eastAsia" w:ascii="仿宋" w:hAnsi="仿宋" w:eastAsia="仿宋" w:cs="Times New Roman"/>
                <w:b w:val="0"/>
                <w:bCs w:val="0"/>
                <w:color w:val="auto"/>
                <w:kern w:val="2"/>
                <w:sz w:val="24"/>
                <w:szCs w:val="24"/>
              </w:rPr>
              <w:t>文件咨询</w:t>
            </w:r>
          </w:p>
        </w:tc>
        <w:tc>
          <w:tcPr>
            <w:tcW w:w="6994" w:type="dxa"/>
            <w:tcBorders>
              <w:tl2br w:val="nil"/>
              <w:tr2bl w:val="nil"/>
            </w:tcBorders>
            <w:noWrap w:val="0"/>
            <w:vAlign w:val="center"/>
          </w:tcPr>
          <w:p w14:paraId="1A3BE948">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s="宋体"/>
                <w:color w:val="auto"/>
                <w:sz w:val="24"/>
                <w:szCs w:val="24"/>
                <w:lang w:val="zh-CN" w:eastAsia="zh-CN" w:bidi="ar-SA"/>
              </w:rPr>
            </w:pPr>
            <w:r>
              <w:rPr>
                <w:rFonts w:hint="eastAsia" w:ascii="仿宋" w:hAnsi="仿宋" w:eastAsia="仿宋" w:cs="宋体"/>
                <w:color w:val="auto"/>
                <w:sz w:val="24"/>
                <w:szCs w:val="24"/>
                <w:lang w:val="zh-CN" w:eastAsia="zh-CN" w:bidi="ar-SA"/>
              </w:rPr>
              <w:t>联系人：刘女士</w:t>
            </w:r>
          </w:p>
          <w:p w14:paraId="6C2C5B38">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s="宋体"/>
                <w:color w:val="auto"/>
                <w:sz w:val="24"/>
                <w:szCs w:val="24"/>
                <w:lang w:val="zh-CN" w:eastAsia="zh-CN" w:bidi="ar-SA"/>
              </w:rPr>
            </w:pPr>
            <w:r>
              <w:rPr>
                <w:rFonts w:hint="eastAsia" w:ascii="仿宋" w:hAnsi="仿宋" w:eastAsia="仿宋" w:cs="宋体"/>
                <w:color w:val="auto"/>
                <w:sz w:val="24"/>
                <w:szCs w:val="24"/>
                <w:lang w:val="zh-CN" w:eastAsia="zh-CN" w:bidi="ar-SA"/>
              </w:rPr>
              <w:t>电  话：0813-5500607</w:t>
            </w:r>
          </w:p>
        </w:tc>
      </w:tr>
      <w:tr w14:paraId="4DED8B3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7BB9183D">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907" w:type="dxa"/>
            <w:tcBorders>
              <w:tl2br w:val="nil"/>
              <w:tr2bl w:val="nil"/>
            </w:tcBorders>
            <w:noWrap w:val="0"/>
            <w:vAlign w:val="center"/>
          </w:tcPr>
          <w:p w14:paraId="24B080EC">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jc w:val="center"/>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招标过程、结果</w:t>
            </w:r>
          </w:p>
          <w:p w14:paraId="4C0E6D47">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leftChars="0" w:right="0" w:rightChars="0"/>
              <w:jc w:val="center"/>
              <w:textAlignment w:val="auto"/>
              <w:outlineLvl w:val="9"/>
              <w:rPr>
                <w:rFonts w:hint="eastAsia" w:ascii="仿宋" w:hAnsi="仿宋" w:eastAsia="仿宋" w:cs="Times New Roman"/>
                <w:color w:val="auto"/>
                <w:kern w:val="2"/>
                <w:sz w:val="24"/>
                <w:szCs w:val="24"/>
                <w:lang w:val="zh-CN" w:eastAsia="zh-CN" w:bidi="ar-SA"/>
              </w:rPr>
            </w:pPr>
            <w:r>
              <w:rPr>
                <w:rFonts w:hint="eastAsia" w:ascii="仿宋" w:hAnsi="仿宋" w:eastAsia="仿宋" w:cs="仿宋"/>
                <w:color w:val="auto"/>
                <w:sz w:val="24"/>
                <w:szCs w:val="24"/>
                <w:highlight w:val="none"/>
                <w:lang w:val="zh-CN"/>
              </w:rPr>
              <w:t>工作咨询</w:t>
            </w:r>
          </w:p>
        </w:tc>
        <w:tc>
          <w:tcPr>
            <w:tcW w:w="6994" w:type="dxa"/>
            <w:tcBorders>
              <w:tl2br w:val="nil"/>
              <w:tr2bl w:val="nil"/>
            </w:tcBorders>
            <w:noWrap w:val="0"/>
            <w:vAlign w:val="center"/>
          </w:tcPr>
          <w:p w14:paraId="5F4B1837">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s="宋体"/>
                <w:color w:val="auto"/>
                <w:sz w:val="24"/>
                <w:szCs w:val="24"/>
                <w:lang w:val="zh-CN" w:eastAsia="zh-CN" w:bidi="ar-SA"/>
              </w:rPr>
            </w:pPr>
            <w:r>
              <w:rPr>
                <w:rFonts w:hint="eastAsia" w:ascii="仿宋" w:hAnsi="仿宋" w:eastAsia="仿宋" w:cs="宋体"/>
                <w:color w:val="auto"/>
                <w:sz w:val="24"/>
                <w:szCs w:val="24"/>
                <w:lang w:val="zh-CN" w:eastAsia="zh-CN" w:bidi="ar-SA"/>
              </w:rPr>
              <w:t>联系人：刘女士</w:t>
            </w:r>
          </w:p>
          <w:p w14:paraId="7E1423B2">
            <w:pPr>
              <w:keepNext w:val="0"/>
              <w:keepLines w:val="0"/>
              <w:pageBreakBefore w:val="0"/>
              <w:widowControl w:val="0"/>
              <w:kinsoku/>
              <w:wordWrap/>
              <w:overflowPunct/>
              <w:topLinePunct w:val="0"/>
              <w:bidi w:val="0"/>
              <w:snapToGrid/>
              <w:spacing w:after="0" w:line="240" w:lineRule="auto"/>
              <w:ind w:left="0" w:leftChars="0" w:right="0" w:rightChars="0" w:firstLine="240" w:firstLineChars="100"/>
              <w:textAlignment w:val="auto"/>
              <w:outlineLvl w:val="9"/>
              <w:rPr>
                <w:rFonts w:hint="eastAsia" w:ascii="仿宋" w:hAnsi="仿宋" w:eastAsia="仿宋" w:cs="宋体"/>
                <w:color w:val="auto"/>
                <w:kern w:val="0"/>
                <w:sz w:val="24"/>
                <w:szCs w:val="24"/>
                <w:lang w:val="zh-CN" w:eastAsia="zh-CN" w:bidi="ar-SA"/>
              </w:rPr>
            </w:pPr>
            <w:r>
              <w:rPr>
                <w:rFonts w:hint="eastAsia" w:ascii="仿宋" w:hAnsi="仿宋" w:eastAsia="仿宋" w:cs="宋体"/>
                <w:color w:val="auto"/>
                <w:sz w:val="24"/>
                <w:szCs w:val="24"/>
                <w:lang w:val="zh-CN" w:eastAsia="zh-CN" w:bidi="ar-SA"/>
              </w:rPr>
              <w:t>电  话：0813-5500607</w:t>
            </w:r>
          </w:p>
        </w:tc>
      </w:tr>
      <w:tr w14:paraId="3F73B1B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3616445B">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907" w:type="dxa"/>
            <w:tcBorders>
              <w:tl2br w:val="nil"/>
              <w:tr2bl w:val="nil"/>
            </w:tcBorders>
            <w:noWrap w:val="0"/>
            <w:vAlign w:val="center"/>
          </w:tcPr>
          <w:p w14:paraId="7619A851">
            <w:pPr>
              <w:keepNext w:val="0"/>
              <w:keepLines w:val="0"/>
              <w:pageBreakBefore w:val="0"/>
              <w:widowControl w:val="0"/>
              <w:kinsoku/>
              <w:wordWrap/>
              <w:overflowPunct/>
              <w:topLinePunct w:val="0"/>
              <w:bidi w:val="0"/>
              <w:snapToGrid/>
              <w:spacing w:after="0" w:line="240" w:lineRule="auto"/>
              <w:ind w:left="0" w:leftChars="0" w:right="0" w:rightChars="0"/>
              <w:jc w:val="center"/>
              <w:textAlignment w:val="auto"/>
              <w:outlineLvl w:val="9"/>
              <w:rPr>
                <w:rFonts w:hint="eastAsia" w:ascii="仿宋" w:hAnsi="仿宋" w:eastAsia="仿宋" w:cs="Times New Roman"/>
                <w:color w:val="auto"/>
                <w:kern w:val="2"/>
                <w:sz w:val="24"/>
                <w:szCs w:val="24"/>
                <w:lang w:val="zh-CN" w:eastAsia="zh-CN" w:bidi="ar-SA"/>
              </w:rPr>
            </w:pPr>
            <w:r>
              <w:rPr>
                <w:rFonts w:hint="eastAsia" w:ascii="仿宋" w:hAnsi="仿宋" w:eastAsia="仿宋"/>
                <w:color w:val="auto"/>
                <w:sz w:val="24"/>
                <w:szCs w:val="24"/>
              </w:rPr>
              <w:t>中标通知书领取</w:t>
            </w:r>
          </w:p>
        </w:tc>
        <w:tc>
          <w:tcPr>
            <w:tcW w:w="6994" w:type="dxa"/>
            <w:tcBorders>
              <w:tl2br w:val="nil"/>
              <w:tr2bl w:val="nil"/>
            </w:tcBorders>
            <w:noWrap w:val="0"/>
            <w:vAlign w:val="center"/>
          </w:tcPr>
          <w:p w14:paraId="458ECB75">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ascii="仿宋" w:hAnsi="仿宋" w:eastAsia="仿宋"/>
                <w:color w:val="auto"/>
                <w:sz w:val="24"/>
                <w:szCs w:val="24"/>
              </w:rPr>
            </w:pPr>
            <w:r>
              <w:rPr>
                <w:rFonts w:hint="eastAsia" w:ascii="仿宋" w:hAnsi="仿宋" w:eastAsia="仿宋"/>
                <w:color w:val="auto"/>
                <w:sz w:val="24"/>
                <w:szCs w:val="24"/>
              </w:rPr>
              <w:t>招标结果公告在</w:t>
            </w:r>
            <w:r>
              <w:rPr>
                <w:rFonts w:hint="eastAsia" w:ascii="仿宋" w:hAnsi="仿宋" w:eastAsia="仿宋" w:cs="仿宋"/>
                <w:bCs/>
                <w:color w:val="auto"/>
              </w:rPr>
              <w:t>采购招标信息服务平台</w:t>
            </w:r>
            <w:r>
              <w:rPr>
                <w:rFonts w:hint="eastAsia" w:ascii="仿宋" w:hAnsi="仿宋" w:eastAsia="仿宋" w:cs="仿宋"/>
                <w:bCs/>
                <w:color w:val="auto"/>
                <w:lang w:eastAsia="zh-CN"/>
              </w:rPr>
              <w:t>、富顺县中医医院官网（http://www.fsxzyyy.com/）</w:t>
            </w:r>
            <w:r>
              <w:rPr>
                <w:rFonts w:hint="eastAsia" w:ascii="仿宋" w:hAnsi="仿宋" w:eastAsia="仿宋"/>
                <w:color w:val="auto"/>
                <w:sz w:val="24"/>
                <w:szCs w:val="24"/>
              </w:rPr>
              <w:t>发布后，请中标人凭有效身份证明证件到</w:t>
            </w:r>
            <w:r>
              <w:rPr>
                <w:rFonts w:hint="eastAsia" w:ascii="仿宋" w:hAnsi="仿宋" w:eastAsia="仿宋" w:cs="仿宋"/>
                <w:color w:val="auto"/>
                <w:sz w:val="24"/>
                <w:szCs w:val="24"/>
                <w:highlight w:val="none"/>
                <w:lang w:val="zh-CN" w:eastAsia="zh-CN"/>
              </w:rPr>
              <w:t>领取地址</w:t>
            </w:r>
            <w:r>
              <w:rPr>
                <w:rFonts w:hint="eastAsia" w:ascii="仿宋" w:hAnsi="仿宋" w:eastAsia="仿宋" w:cs="仿宋"/>
                <w:color w:val="auto"/>
                <w:sz w:val="24"/>
                <w:szCs w:val="24"/>
                <w:highlight w:val="none"/>
                <w:lang w:val="zh-CN"/>
              </w:rPr>
              <w:t>领取中标通知书。</w:t>
            </w:r>
          </w:p>
          <w:p w14:paraId="15628BAB">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default" w:ascii="仿宋" w:hAnsi="仿宋" w:eastAsia="仿宋"/>
                <w:color w:val="auto"/>
                <w:sz w:val="24"/>
                <w:szCs w:val="24"/>
                <w:lang w:val="en-US" w:eastAsia="zh-CN"/>
              </w:rPr>
            </w:pPr>
            <w:r>
              <w:rPr>
                <w:rFonts w:hint="default" w:ascii="仿宋" w:hAnsi="仿宋" w:eastAsia="仿宋"/>
                <w:color w:val="auto"/>
                <w:sz w:val="24"/>
                <w:szCs w:val="24"/>
                <w:lang w:val="en-US" w:eastAsia="zh-CN"/>
              </w:rPr>
              <w:t>联系电话：0813-8300999</w:t>
            </w:r>
          </w:p>
          <w:p w14:paraId="716EA4CC">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default" w:ascii="仿宋" w:hAnsi="仿宋" w:eastAsia="仿宋"/>
                <w:color w:val="auto"/>
                <w:sz w:val="24"/>
                <w:szCs w:val="24"/>
                <w:lang w:val="en-US" w:eastAsia="zh-CN"/>
              </w:rPr>
            </w:pPr>
            <w:r>
              <w:rPr>
                <w:rFonts w:hint="default" w:ascii="仿宋" w:hAnsi="仿宋" w:eastAsia="仿宋"/>
                <w:color w:val="auto"/>
                <w:sz w:val="24"/>
                <w:szCs w:val="24"/>
                <w:lang w:val="en-US" w:eastAsia="zh-CN"/>
              </w:rPr>
              <w:t>领取地址：自贡市自流井区普润产业博览城A5区四楼4-2号</w:t>
            </w:r>
          </w:p>
        </w:tc>
      </w:tr>
      <w:tr w14:paraId="2E80171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27D7D861">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907" w:type="dxa"/>
            <w:tcBorders>
              <w:tl2br w:val="nil"/>
              <w:tr2bl w:val="nil"/>
            </w:tcBorders>
            <w:noWrap w:val="0"/>
            <w:vAlign w:val="center"/>
          </w:tcPr>
          <w:p w14:paraId="6AC5E2D7">
            <w:pPr>
              <w:pStyle w:val="50"/>
              <w:keepNext w:val="0"/>
              <w:keepLines w:val="0"/>
              <w:pageBreakBefore w:val="0"/>
              <w:widowControl w:val="0"/>
              <w:kinsoku/>
              <w:wordWrap/>
              <w:overflowPunct/>
              <w:topLinePunct w:val="0"/>
              <w:bidi w:val="0"/>
              <w:snapToGrid/>
              <w:spacing w:after="0" w:line="240" w:lineRule="auto"/>
              <w:ind w:left="0" w:leftChars="0" w:right="0" w:rightChars="0"/>
              <w:jc w:val="center"/>
              <w:textAlignment w:val="auto"/>
              <w:outlineLvl w:val="9"/>
              <w:rPr>
                <w:rFonts w:hint="eastAsia" w:ascii="仿宋" w:hAnsi="仿宋" w:eastAsia="仿宋" w:cs="Times New Roman"/>
                <w:color w:val="auto"/>
                <w:kern w:val="2"/>
                <w:sz w:val="24"/>
                <w:szCs w:val="24"/>
                <w:lang w:val="zh-CN" w:eastAsia="zh-CN" w:bidi="ar-SA"/>
              </w:rPr>
            </w:pPr>
            <w:r>
              <w:rPr>
                <w:rFonts w:hint="eastAsia" w:ascii="仿宋" w:hAnsi="仿宋" w:eastAsia="仿宋" w:cs="Times New Roman"/>
                <w:color w:val="auto"/>
                <w:kern w:val="2"/>
                <w:sz w:val="24"/>
                <w:szCs w:val="24"/>
                <w:lang w:eastAsia="zh-CN"/>
              </w:rPr>
              <w:t>投标人</w:t>
            </w:r>
            <w:r>
              <w:rPr>
                <w:rFonts w:hint="eastAsia" w:ascii="仿宋" w:hAnsi="仿宋" w:eastAsia="仿宋" w:cs="Times New Roman"/>
                <w:color w:val="auto"/>
                <w:kern w:val="2"/>
                <w:sz w:val="24"/>
                <w:szCs w:val="24"/>
              </w:rPr>
              <w:t>询问</w:t>
            </w:r>
          </w:p>
        </w:tc>
        <w:tc>
          <w:tcPr>
            <w:tcW w:w="6994" w:type="dxa"/>
            <w:tcBorders>
              <w:tl2br w:val="nil"/>
              <w:tr2bl w:val="nil"/>
            </w:tcBorders>
            <w:noWrap w:val="0"/>
            <w:vAlign w:val="center"/>
          </w:tcPr>
          <w:p w14:paraId="7E68D4B7">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ascii="仿宋" w:hAnsi="仿宋" w:eastAsia="仿宋"/>
                <w:color w:val="auto"/>
                <w:sz w:val="24"/>
                <w:szCs w:val="24"/>
              </w:rPr>
            </w:pPr>
            <w:r>
              <w:rPr>
                <w:rFonts w:hint="eastAsia" w:ascii="仿宋" w:hAnsi="仿宋" w:eastAsia="仿宋"/>
                <w:color w:val="auto"/>
                <w:sz w:val="24"/>
                <w:szCs w:val="24"/>
              </w:rPr>
              <w:t>根据委托代理协议约定，投标人询问由</w:t>
            </w:r>
            <w:r>
              <w:rPr>
                <w:rFonts w:hint="eastAsia" w:ascii="仿宋" w:hAnsi="仿宋" w:eastAsia="仿宋"/>
                <w:color w:val="auto"/>
                <w:sz w:val="24"/>
                <w:szCs w:val="24"/>
                <w:lang w:eastAsia="zh-CN"/>
              </w:rPr>
              <w:t>四川虹采招标代理有限责任公司</w:t>
            </w:r>
            <w:r>
              <w:rPr>
                <w:rFonts w:hint="eastAsia" w:ascii="仿宋" w:hAnsi="仿宋" w:eastAsia="仿宋"/>
                <w:color w:val="auto"/>
                <w:sz w:val="24"/>
                <w:szCs w:val="24"/>
              </w:rPr>
              <w:t>负责答复。</w:t>
            </w:r>
          </w:p>
          <w:p w14:paraId="066FB97B">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s="宋体"/>
                <w:color w:val="auto"/>
                <w:sz w:val="24"/>
                <w:szCs w:val="24"/>
                <w:lang w:val="zh-CN" w:eastAsia="zh-CN" w:bidi="ar-SA"/>
              </w:rPr>
            </w:pPr>
            <w:r>
              <w:rPr>
                <w:rFonts w:hint="eastAsia" w:ascii="仿宋" w:hAnsi="仿宋" w:eastAsia="仿宋" w:cs="宋体"/>
                <w:color w:val="auto"/>
                <w:sz w:val="24"/>
                <w:szCs w:val="24"/>
                <w:lang w:val="zh-CN" w:eastAsia="zh-CN" w:bidi="ar-SA"/>
              </w:rPr>
              <w:t>联系人：刘女士</w:t>
            </w:r>
          </w:p>
          <w:p w14:paraId="3CB0C8B5">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s="宋体"/>
                <w:color w:val="auto"/>
                <w:sz w:val="24"/>
                <w:szCs w:val="24"/>
                <w:lang w:val="zh-CN" w:eastAsia="zh-CN" w:bidi="ar-SA"/>
              </w:rPr>
            </w:pPr>
            <w:r>
              <w:rPr>
                <w:rFonts w:hint="eastAsia" w:ascii="仿宋" w:hAnsi="仿宋" w:eastAsia="仿宋" w:cs="宋体"/>
                <w:color w:val="auto"/>
                <w:sz w:val="24"/>
                <w:szCs w:val="24"/>
                <w:lang w:val="zh-CN" w:eastAsia="zh-CN" w:bidi="ar-SA"/>
              </w:rPr>
              <w:t>电  话：0813-5500607</w:t>
            </w:r>
          </w:p>
        </w:tc>
      </w:tr>
      <w:tr w14:paraId="4763B81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2A65F105">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907" w:type="dxa"/>
            <w:tcBorders>
              <w:tl2br w:val="nil"/>
              <w:tr2bl w:val="nil"/>
            </w:tcBorders>
            <w:noWrap w:val="0"/>
            <w:vAlign w:val="center"/>
          </w:tcPr>
          <w:p w14:paraId="3FFA706F">
            <w:pPr>
              <w:keepNext w:val="0"/>
              <w:keepLines w:val="0"/>
              <w:pageBreakBefore w:val="0"/>
              <w:widowControl w:val="0"/>
              <w:kinsoku/>
              <w:wordWrap/>
              <w:overflowPunct/>
              <w:topLinePunct w:val="0"/>
              <w:bidi w:val="0"/>
              <w:snapToGrid/>
              <w:spacing w:after="0" w:line="240" w:lineRule="auto"/>
              <w:ind w:left="0" w:leftChars="0" w:right="0" w:rightChars="0" w:firstLine="120" w:firstLineChars="50"/>
              <w:jc w:val="center"/>
              <w:textAlignment w:val="auto"/>
              <w:outlineLvl w:val="9"/>
              <w:rPr>
                <w:rFonts w:hint="eastAsia" w:ascii="仿宋" w:hAnsi="仿宋" w:eastAsia="仿宋" w:cs="Times New Roman"/>
                <w:color w:val="auto"/>
                <w:kern w:val="2"/>
                <w:sz w:val="24"/>
                <w:szCs w:val="24"/>
                <w:lang w:val="zh-CN" w:eastAsia="zh-CN" w:bidi="ar-SA"/>
              </w:rPr>
            </w:pP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代理服务费</w:t>
            </w:r>
          </w:p>
        </w:tc>
        <w:tc>
          <w:tcPr>
            <w:tcW w:w="6994" w:type="dxa"/>
            <w:tcBorders>
              <w:tl2br w:val="nil"/>
              <w:tr2bl w:val="nil"/>
            </w:tcBorders>
            <w:noWrap w:val="0"/>
            <w:vAlign w:val="center"/>
          </w:tcPr>
          <w:p w14:paraId="30ECE0B5">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olor w:val="auto"/>
                <w:sz w:val="24"/>
                <w:szCs w:val="24"/>
                <w:lang w:val="en-US" w:eastAsia="zh-CN"/>
              </w:rPr>
              <w:t xml:space="preserve"> </w:t>
            </w:r>
            <w:r>
              <w:rPr>
                <w:rFonts w:hint="eastAsia" w:ascii="仿宋" w:hAnsi="仿宋" w:eastAsia="仿宋" w:cs="仿宋"/>
                <w:color w:val="auto"/>
                <w:sz w:val="24"/>
                <w:szCs w:val="24"/>
                <w:highlight w:val="none"/>
                <w:lang w:val="zh-CN"/>
              </w:rPr>
              <w:t>1、代理服务费收费金额：</w:t>
            </w:r>
          </w:p>
          <w:p w14:paraId="59460519">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第一包：以中标金额作为计算基数，按差额定率累进法进行计算，并参照国家发改委【2011】534号文件规定执行，计算后下浮 30%，代理费不足3000.00元的按3000.00元收取。超过 30000.00 按 30000.00 收取。</w:t>
            </w:r>
          </w:p>
          <w:p w14:paraId="35AC3ABC">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第二包：以中标金额作为计算基数，按差额定率累进法进行计算，并参照国家发改委【2011】534号文件规定执行，计算后下浮 30%，代理费不足3000.00元的按3000.00元收取。超过 30000.00 按 30000.00 收取。</w:t>
            </w:r>
          </w:p>
          <w:p w14:paraId="65A7104C">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第三包：以中标金额作为计算基数，按差额定率累进法进行计算，并参照国家发改委【2011】534号文件规定执行，计算后下浮 30%，代理费不足3000.00元的按3000.00元收取。超过 30000.00 按 30000.00 收取。</w:t>
            </w:r>
          </w:p>
          <w:p w14:paraId="2BCEF3F9">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2、收款账号：</w:t>
            </w:r>
          </w:p>
          <w:p w14:paraId="6084E6C9">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名称：四川虹采招标代理有限责任公司</w:t>
            </w:r>
          </w:p>
          <w:p w14:paraId="3D42F834">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开户行：四川银行股份有限公司成都高新支行</w:t>
            </w:r>
          </w:p>
          <w:p w14:paraId="50C555DB">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账号：7822 0100 0392 67783</w:t>
            </w:r>
          </w:p>
          <w:p w14:paraId="0AB784BE">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（转账时请备注项目名称或项目编号代理服务费）</w:t>
            </w:r>
          </w:p>
          <w:p w14:paraId="4673ADA0">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3、代理服务费开票流程：</w:t>
            </w:r>
          </w:p>
          <w:p w14:paraId="7A2C0EC9">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s="宋体"/>
                <w:color w:val="auto"/>
                <w:sz w:val="24"/>
                <w:szCs w:val="24"/>
                <w:lang w:val="zh-CN" w:eastAsia="zh-CN" w:bidi="ar-SA"/>
              </w:rPr>
            </w:pPr>
            <w:r>
              <w:rPr>
                <w:rFonts w:hint="eastAsia" w:ascii="仿宋" w:hAnsi="仿宋" w:eastAsia="仿宋" w:cs="仿宋"/>
                <w:color w:val="auto"/>
                <w:sz w:val="24"/>
                <w:szCs w:val="24"/>
                <w:highlight w:val="none"/>
                <w:lang w:val="zh-CN"/>
              </w:rPr>
              <w:t>中标人若须开具代理服务费发票的请将以下信息发至schc12345678@163.com邮箱中：项目名称、项目编号、开票金额、开票信息、专票（普票）、邮寄地址。（请中标人在交完代理费后再申请开票并将通知书邮寄地址一并发送至邮箱）</w:t>
            </w:r>
          </w:p>
        </w:tc>
      </w:tr>
      <w:tr w14:paraId="300B5EF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0C8F9D30">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907" w:type="dxa"/>
            <w:tcBorders>
              <w:tl2br w:val="nil"/>
              <w:tr2bl w:val="nil"/>
            </w:tcBorders>
            <w:noWrap w:val="0"/>
            <w:vAlign w:val="center"/>
          </w:tcPr>
          <w:p w14:paraId="2D888CBA">
            <w:pPr>
              <w:pStyle w:val="61"/>
              <w:keepNext w:val="0"/>
              <w:keepLines w:val="0"/>
              <w:pageBreakBefore w:val="0"/>
              <w:widowControl w:val="0"/>
              <w:kinsoku/>
              <w:wordWrap/>
              <w:overflowPunct/>
              <w:topLinePunct w:val="0"/>
              <w:bidi w:val="0"/>
              <w:snapToGrid/>
              <w:spacing w:after="0" w:line="240" w:lineRule="auto"/>
              <w:ind w:left="0" w:leftChars="0" w:right="0" w:rightChars="0"/>
              <w:jc w:val="center"/>
              <w:textAlignment w:val="auto"/>
              <w:rPr>
                <w:rFonts w:hint="eastAsia" w:ascii="仿宋" w:hAnsi="仿宋" w:eastAsia="仿宋" w:cs="Times New Roman"/>
                <w:color w:val="auto"/>
                <w:kern w:val="2"/>
                <w:sz w:val="24"/>
                <w:szCs w:val="24"/>
                <w:lang w:val="zh-CN" w:eastAsia="zh-CN" w:bidi="ar-SA"/>
              </w:rPr>
            </w:pPr>
            <w:r>
              <w:rPr>
                <w:rFonts w:hint="eastAsia" w:ascii="仿宋" w:hAnsi="仿宋" w:eastAsia="仿宋" w:cs="仿宋"/>
                <w:color w:val="auto"/>
                <w:sz w:val="24"/>
                <w:highlight w:val="none"/>
              </w:rPr>
              <w:t>投标文件数量</w:t>
            </w:r>
          </w:p>
        </w:tc>
        <w:tc>
          <w:tcPr>
            <w:tcW w:w="6994" w:type="dxa"/>
            <w:tcBorders>
              <w:tl2br w:val="nil"/>
              <w:tr2bl w:val="nil"/>
            </w:tcBorders>
            <w:noWrap w:val="0"/>
            <w:vAlign w:val="center"/>
          </w:tcPr>
          <w:p w14:paraId="566FB83D">
            <w:pPr>
              <w:pStyle w:val="61"/>
              <w:keepNext w:val="0"/>
              <w:keepLines w:val="0"/>
              <w:pageBreakBefore w:val="0"/>
              <w:widowControl w:val="0"/>
              <w:kinsoku/>
              <w:wordWrap/>
              <w:overflowPunct/>
              <w:topLinePunct w:val="0"/>
              <w:bidi w:val="0"/>
              <w:snapToGrid/>
              <w:spacing w:after="0" w:line="240" w:lineRule="auto"/>
              <w:ind w:left="0" w:leftChars="0" w:right="0" w:rightChars="0"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1、资格</w:t>
            </w:r>
            <w:r>
              <w:rPr>
                <w:rFonts w:hint="eastAsia" w:ascii="仿宋" w:hAnsi="仿宋" w:eastAsia="仿宋" w:cs="仿宋"/>
                <w:color w:val="auto"/>
                <w:sz w:val="24"/>
                <w:lang w:eastAsia="zh-CN"/>
              </w:rPr>
              <w:t>技术投标</w:t>
            </w:r>
            <w:r>
              <w:rPr>
                <w:rFonts w:hint="eastAsia" w:ascii="仿宋" w:hAnsi="仿宋" w:eastAsia="仿宋" w:cs="仿宋"/>
                <w:color w:val="auto"/>
                <w:sz w:val="24"/>
              </w:rPr>
              <w:t xml:space="preserve">文件：正本 1 份，副本 </w:t>
            </w:r>
            <w:r>
              <w:rPr>
                <w:rFonts w:hint="eastAsia" w:ascii="仿宋" w:hAnsi="仿宋" w:eastAsia="仿宋" w:cs="仿宋"/>
                <w:color w:val="auto"/>
                <w:sz w:val="24"/>
                <w:lang w:val="en-US" w:eastAsia="zh-CN"/>
              </w:rPr>
              <w:t>4</w:t>
            </w:r>
            <w:r>
              <w:rPr>
                <w:rFonts w:hint="eastAsia" w:ascii="仿宋" w:hAnsi="仿宋" w:eastAsia="仿宋" w:cs="仿宋"/>
                <w:color w:val="auto"/>
                <w:sz w:val="24"/>
              </w:rPr>
              <w:t>份；</w:t>
            </w:r>
          </w:p>
          <w:p w14:paraId="4CF033FA">
            <w:pPr>
              <w:pStyle w:val="61"/>
              <w:keepNext w:val="0"/>
              <w:keepLines w:val="0"/>
              <w:pageBreakBefore w:val="0"/>
              <w:widowControl w:val="0"/>
              <w:kinsoku/>
              <w:wordWrap/>
              <w:overflowPunct/>
              <w:topLinePunct w:val="0"/>
              <w:bidi w:val="0"/>
              <w:snapToGrid/>
              <w:spacing w:after="0" w:line="240" w:lineRule="auto"/>
              <w:ind w:left="0" w:leftChars="0" w:right="0" w:rightChars="0" w:firstLine="240" w:firstLineChars="100"/>
              <w:textAlignment w:val="auto"/>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2</w:t>
            </w:r>
            <w:r>
              <w:rPr>
                <w:rFonts w:hint="eastAsia" w:ascii="仿宋" w:hAnsi="仿宋" w:eastAsia="仿宋" w:cs="仿宋"/>
                <w:color w:val="auto"/>
                <w:sz w:val="24"/>
              </w:rPr>
              <w:t>、</w:t>
            </w:r>
            <w:r>
              <w:rPr>
                <w:rFonts w:hint="eastAsia" w:ascii="仿宋" w:hAnsi="仿宋" w:eastAsia="仿宋" w:cs="仿宋"/>
                <w:color w:val="auto"/>
                <w:sz w:val="24"/>
                <w:lang w:eastAsia="zh-CN"/>
              </w:rPr>
              <w:t>开标一览表</w:t>
            </w:r>
            <w:r>
              <w:rPr>
                <w:rFonts w:hint="eastAsia" w:ascii="仿宋" w:hAnsi="仿宋" w:eastAsia="仿宋" w:cs="仿宋"/>
                <w:color w:val="auto"/>
                <w:sz w:val="24"/>
              </w:rPr>
              <w:t>：1份</w:t>
            </w:r>
            <w:r>
              <w:rPr>
                <w:rFonts w:hint="eastAsia" w:ascii="仿宋" w:hAnsi="仿宋" w:eastAsia="仿宋" w:cs="仿宋"/>
                <w:color w:val="auto"/>
                <w:sz w:val="24"/>
                <w:lang w:eastAsia="zh-CN"/>
              </w:rPr>
              <w:t>。</w:t>
            </w:r>
          </w:p>
          <w:p w14:paraId="49A32F33">
            <w:pPr>
              <w:pStyle w:val="61"/>
              <w:keepNext w:val="0"/>
              <w:keepLines w:val="0"/>
              <w:pageBreakBefore w:val="0"/>
              <w:widowControl w:val="0"/>
              <w:kinsoku/>
              <w:wordWrap/>
              <w:overflowPunct/>
              <w:topLinePunct w:val="0"/>
              <w:bidi w:val="0"/>
              <w:snapToGrid/>
              <w:spacing w:after="0" w:line="240" w:lineRule="auto"/>
              <w:ind w:left="0" w:leftChars="0" w:right="0" w:rightChars="0" w:firstLine="240" w:firstLineChars="10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3、</w:t>
            </w:r>
            <w:r>
              <w:rPr>
                <w:rFonts w:hint="eastAsia" w:ascii="仿宋" w:hAnsi="仿宋" w:eastAsia="仿宋" w:cs="仿宋"/>
                <w:color w:val="auto"/>
                <w:sz w:val="24"/>
                <w:lang w:eastAsia="zh-CN"/>
              </w:rPr>
              <w:t>投标</w:t>
            </w:r>
            <w:r>
              <w:rPr>
                <w:rFonts w:hint="eastAsia" w:ascii="仿宋" w:hAnsi="仿宋" w:eastAsia="仿宋" w:cs="仿宋"/>
                <w:color w:val="auto"/>
                <w:sz w:val="24"/>
              </w:rPr>
              <w:t>文件电子档：1 份。</w:t>
            </w:r>
          </w:p>
          <w:p w14:paraId="39818774">
            <w:pPr>
              <w:pStyle w:val="50"/>
              <w:keepNext w:val="0"/>
              <w:keepLines w:val="0"/>
              <w:pageBreakBefore w:val="0"/>
              <w:widowControl w:val="0"/>
              <w:kinsoku/>
              <w:wordWrap/>
              <w:overflowPunct/>
              <w:topLinePunct w:val="0"/>
              <w:bidi w:val="0"/>
              <w:snapToGrid/>
              <w:spacing w:after="0" w:line="240" w:lineRule="auto"/>
              <w:ind w:left="0" w:leftChars="0" w:right="0" w:rightChars="0" w:firstLine="241" w:firstLineChars="100"/>
              <w:jc w:val="both"/>
              <w:textAlignment w:val="auto"/>
              <w:rPr>
                <w:rFonts w:hint="eastAsia" w:ascii="仿宋" w:hAnsi="仿宋" w:eastAsia="仿宋" w:cs="宋体"/>
                <w:color w:val="auto"/>
                <w:sz w:val="24"/>
                <w:szCs w:val="24"/>
                <w:lang w:val="zh-CN" w:eastAsia="zh-CN" w:bidi="ar-SA"/>
              </w:rPr>
            </w:pPr>
            <w:r>
              <w:rPr>
                <w:rFonts w:hint="eastAsia" w:ascii="仿宋" w:hAnsi="仿宋" w:eastAsia="仿宋" w:cs="仿宋"/>
                <w:b/>
                <w:bCs w:val="0"/>
                <w:color w:val="auto"/>
                <w:sz w:val="24"/>
                <w:szCs w:val="24"/>
                <w:highlight w:val="none"/>
                <w:lang w:eastAsia="zh-CN"/>
              </w:rPr>
              <w:t>注：采购项目分包的，各包须按以上要求分别提供。</w:t>
            </w:r>
          </w:p>
        </w:tc>
      </w:tr>
      <w:tr w14:paraId="5337A71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7D72CA34">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907" w:type="dxa"/>
            <w:tcBorders>
              <w:tl2br w:val="nil"/>
              <w:tr2bl w:val="nil"/>
            </w:tcBorders>
            <w:noWrap w:val="0"/>
            <w:vAlign w:val="center"/>
          </w:tcPr>
          <w:p w14:paraId="690B7730">
            <w:pPr>
              <w:pStyle w:val="61"/>
              <w:keepNext w:val="0"/>
              <w:keepLines w:val="0"/>
              <w:pageBreakBefore w:val="0"/>
              <w:widowControl w:val="0"/>
              <w:kinsoku/>
              <w:wordWrap/>
              <w:overflowPunct/>
              <w:topLinePunct w:val="0"/>
              <w:bidi w:val="0"/>
              <w:snapToGrid/>
              <w:spacing w:beforeLines="0" w:afterLines="0" w:line="240" w:lineRule="auto"/>
              <w:ind w:left="0" w:leftChars="0" w:firstLine="0" w:firstLineChars="0"/>
              <w:jc w:val="center"/>
              <w:textAlignment w:val="auto"/>
              <w:outlineLvl w:val="9"/>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sz w:val="24"/>
                <w:szCs w:val="24"/>
                <w:lang w:eastAsia="zh-CN"/>
              </w:rPr>
              <w:t>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明</w:t>
            </w:r>
          </w:p>
        </w:tc>
        <w:tc>
          <w:tcPr>
            <w:tcW w:w="6994" w:type="dxa"/>
            <w:tcBorders>
              <w:tl2br w:val="nil"/>
              <w:tr2bl w:val="nil"/>
            </w:tcBorders>
            <w:noWrap w:val="0"/>
            <w:vAlign w:val="center"/>
          </w:tcPr>
          <w:p w14:paraId="083CAD6C">
            <w:pPr>
              <w:pStyle w:val="61"/>
              <w:keepNext w:val="0"/>
              <w:keepLines w:val="0"/>
              <w:pageBreakBefore w:val="0"/>
              <w:widowControl w:val="0"/>
              <w:numPr>
                <w:ilvl w:val="0"/>
                <w:numId w:val="0"/>
              </w:numPr>
              <w:kinsoku/>
              <w:wordWrap/>
              <w:overflowPunct/>
              <w:topLinePunct w:val="0"/>
              <w:bidi w:val="0"/>
              <w:snapToGrid/>
              <w:spacing w:line="240" w:lineRule="auto"/>
              <w:ind w:left="210" w:leftChars="100" w:firstLine="0" w:firstLineChars="0"/>
              <w:jc w:val="both"/>
              <w:textAlignment w:val="auto"/>
              <w:outlineLvl w:val="9"/>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lang w:val="en-US" w:eastAsia="zh-CN" w:bidi="ar"/>
              </w:rPr>
              <w:t>1、</w:t>
            </w:r>
            <w:r>
              <w:rPr>
                <w:rFonts w:hint="eastAsia" w:ascii="仿宋" w:hAnsi="仿宋" w:eastAsia="仿宋" w:cs="仿宋"/>
                <w:color w:val="auto"/>
                <w:sz w:val="24"/>
                <w:szCs w:val="24"/>
                <w:highlight w:val="none"/>
                <w:lang w:val="en-US" w:eastAsia="zh-CN"/>
              </w:rPr>
              <w:t>本招标文件中“以上”均包含本数。</w:t>
            </w:r>
          </w:p>
        </w:tc>
      </w:tr>
    </w:tbl>
    <w:p w14:paraId="52012A07">
      <w:pPr>
        <w:pageBreakBefore w:val="0"/>
        <w:widowControl w:val="0"/>
        <w:kinsoku/>
        <w:wordWrap/>
        <w:overflowPunct/>
        <w:topLinePunct w:val="0"/>
        <w:bidi w:val="0"/>
        <w:snapToGrid/>
        <w:rPr>
          <w:rFonts w:hint="eastAsia" w:ascii="仿宋" w:hAnsi="仿宋" w:eastAsia="仿宋" w:cs="仿宋"/>
          <w:b/>
          <w:bCs/>
          <w:color w:val="auto"/>
          <w:highlight w:val="none"/>
        </w:rPr>
      </w:pPr>
    </w:p>
    <w:p w14:paraId="5A7FD013">
      <w:pPr>
        <w:pStyle w:val="2"/>
        <w:pageBreakBefore w:val="0"/>
        <w:widowControl w:val="0"/>
        <w:kinsoku/>
        <w:wordWrap/>
        <w:overflowPunct/>
        <w:topLinePunct w:val="0"/>
        <w:bidi w:val="0"/>
        <w:snapToGrid/>
        <w:rPr>
          <w:rFonts w:hint="eastAsia" w:ascii="仿宋" w:hAnsi="仿宋" w:eastAsia="仿宋" w:cs="仿宋"/>
          <w:b/>
          <w:bCs/>
          <w:color w:val="auto"/>
          <w:highlight w:val="none"/>
        </w:rPr>
      </w:pPr>
    </w:p>
    <w:p w14:paraId="6574F0D7">
      <w:pPr>
        <w:pStyle w:val="3"/>
        <w:pageBreakBefore w:val="0"/>
        <w:widowControl w:val="0"/>
        <w:kinsoku/>
        <w:wordWrap/>
        <w:overflowPunct/>
        <w:topLinePunct w:val="0"/>
        <w:bidi w:val="0"/>
        <w:snapToGrid/>
        <w:rPr>
          <w:rFonts w:hint="eastAsia"/>
          <w:color w:val="auto"/>
        </w:rPr>
      </w:pPr>
    </w:p>
    <w:bookmarkEnd w:id="10"/>
    <w:bookmarkEnd w:id="11"/>
    <w:bookmarkEnd w:id="12"/>
    <w:bookmarkEnd w:id="13"/>
    <w:bookmarkEnd w:id="14"/>
    <w:p w14:paraId="56E77606">
      <w:pPr>
        <w:pStyle w:val="51"/>
        <w:pageBreakBefore w:val="0"/>
        <w:widowControl w:val="0"/>
        <w:kinsoku/>
        <w:wordWrap/>
        <w:overflowPunct/>
        <w:topLinePunct w:val="0"/>
        <w:bidi w:val="0"/>
        <w:snapToGrid/>
        <w:spacing w:line="420" w:lineRule="exact"/>
        <w:ind w:firstLine="1260" w:firstLineChars="525"/>
        <w:outlineLvl w:val="9"/>
        <w:rPr>
          <w:rFonts w:ascii="仿宋" w:hAnsi="仿宋" w:cs="仿宋"/>
          <w:color w:val="auto"/>
        </w:rPr>
      </w:pPr>
    </w:p>
    <w:p w14:paraId="1FCA463D">
      <w:pPr>
        <w:pageBreakBefore w:val="0"/>
        <w:widowControl w:val="0"/>
        <w:kinsoku/>
        <w:wordWrap/>
        <w:overflowPunct/>
        <w:topLinePunct w:val="0"/>
        <w:bidi w:val="0"/>
        <w:snapToGrid/>
        <w:spacing w:after="0" w:line="240" w:lineRule="auto"/>
        <w:jc w:val="left"/>
        <w:outlineLvl w:val="9"/>
        <w:rPr>
          <w:rFonts w:ascii="仿宋" w:hAnsi="仿宋" w:eastAsia="仿宋"/>
          <w:color w:val="auto"/>
        </w:rPr>
      </w:pPr>
      <w:r>
        <w:rPr>
          <w:rFonts w:ascii="仿宋" w:hAnsi="仿宋" w:eastAsia="仿宋"/>
          <w:color w:val="auto"/>
        </w:rPr>
        <w:br w:type="page"/>
      </w:r>
    </w:p>
    <w:p w14:paraId="63CDB4A1">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highlight w:val="none"/>
        </w:rPr>
      </w:pPr>
      <w:bookmarkStart w:id="21" w:name="_Toc79959161"/>
      <w:bookmarkStart w:id="22" w:name="_Toc32351"/>
      <w:bookmarkStart w:id="23" w:name="_Toc22701"/>
      <w:r>
        <w:rPr>
          <w:rFonts w:hint="eastAsia" w:ascii="仿宋" w:hAnsi="仿宋" w:eastAsia="仿宋" w:cs="仿宋"/>
          <w:b/>
          <w:bCs/>
          <w:color w:val="auto"/>
          <w:highlight w:val="none"/>
        </w:rPr>
        <w:t>二、总  则</w:t>
      </w:r>
      <w:bookmarkEnd w:id="21"/>
      <w:bookmarkEnd w:id="22"/>
      <w:bookmarkEnd w:id="23"/>
    </w:p>
    <w:p w14:paraId="1C323716">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
          <w:bCs/>
          <w:color w:val="auto"/>
          <w:sz w:val="24"/>
          <w:szCs w:val="24"/>
        </w:rPr>
      </w:pPr>
      <w:bookmarkStart w:id="24" w:name="_Toc183682342"/>
      <w:bookmarkStart w:id="25" w:name="_Toc183582205"/>
      <w:bookmarkStart w:id="26" w:name="_Toc79959162"/>
      <w:bookmarkStart w:id="27" w:name="_Toc217446034"/>
      <w:r>
        <w:rPr>
          <w:rFonts w:hint="eastAsia" w:ascii="仿宋" w:hAnsi="仿宋" w:eastAsia="仿宋"/>
          <w:b/>
          <w:bCs/>
          <w:color w:val="auto"/>
          <w:sz w:val="24"/>
          <w:szCs w:val="24"/>
        </w:rPr>
        <w:t>1</w:t>
      </w:r>
      <w:bookmarkEnd w:id="24"/>
      <w:bookmarkEnd w:id="25"/>
      <w:r>
        <w:rPr>
          <w:rFonts w:hint="eastAsia" w:ascii="仿宋" w:hAnsi="仿宋" w:eastAsia="仿宋"/>
          <w:b/>
          <w:bCs/>
          <w:color w:val="auto"/>
          <w:sz w:val="24"/>
          <w:szCs w:val="24"/>
          <w:lang w:val="en-US" w:eastAsia="zh-CN"/>
        </w:rPr>
        <w:t>.</w:t>
      </w:r>
      <w:r>
        <w:rPr>
          <w:rFonts w:hint="eastAsia" w:ascii="仿宋" w:hAnsi="仿宋" w:eastAsia="仿宋"/>
          <w:b/>
          <w:bCs/>
          <w:color w:val="auto"/>
          <w:sz w:val="24"/>
          <w:szCs w:val="24"/>
        </w:rPr>
        <w:t>适用范围</w:t>
      </w:r>
      <w:bookmarkEnd w:id="26"/>
      <w:bookmarkEnd w:id="27"/>
    </w:p>
    <w:p w14:paraId="5408AFA9">
      <w:pPr>
        <w:keepNext w:val="0"/>
        <w:keepLines w:val="0"/>
        <w:pageBreakBefore w:val="0"/>
        <w:widowControl w:val="0"/>
        <w:kinsoku/>
        <w:wordWrap/>
        <w:overflowPunct/>
        <w:topLinePunct w:val="0"/>
        <w:autoSpaceDE/>
        <w:autoSpaceDN/>
        <w:bidi w:val="0"/>
        <w:snapToGrid/>
        <w:spacing w:after="0" w:line="360" w:lineRule="auto"/>
        <w:ind w:firstLine="480" w:firstLineChars="200"/>
        <w:outlineLvl w:val="9"/>
        <w:rPr>
          <w:rFonts w:hint="eastAsia" w:ascii="仿宋" w:hAnsi="仿宋" w:eastAsia="仿宋"/>
          <w:b w:val="0"/>
          <w:bCs w:val="0"/>
          <w:color w:val="auto"/>
          <w:sz w:val="24"/>
        </w:rPr>
      </w:pPr>
      <w:bookmarkStart w:id="28" w:name="_Toc183682343"/>
      <w:bookmarkStart w:id="29" w:name="_Toc183582206"/>
      <w:bookmarkStart w:id="30" w:name="_Toc217446035"/>
      <w:bookmarkStart w:id="31" w:name="_Toc79959163"/>
      <w:r>
        <w:rPr>
          <w:rFonts w:hint="eastAsia" w:ascii="仿宋" w:hAnsi="仿宋" w:eastAsia="仿宋"/>
          <w:b w:val="0"/>
          <w:bCs w:val="0"/>
          <w:color w:val="auto"/>
          <w:sz w:val="24"/>
        </w:rPr>
        <w:t>1.1 本招标文件仅适用于本次招标所叙述的</w:t>
      </w:r>
      <w:r>
        <w:rPr>
          <w:rFonts w:hint="eastAsia" w:ascii="仿宋" w:hAnsi="仿宋" w:eastAsia="仿宋" w:cs="仿宋"/>
          <w:color w:val="auto"/>
          <w:sz w:val="24"/>
          <w:szCs w:val="24"/>
          <w:highlight w:val="none"/>
          <w:u w:val="single"/>
          <w:lang w:eastAsia="zh-CN"/>
        </w:rPr>
        <w:t>货物</w:t>
      </w:r>
      <w:r>
        <w:rPr>
          <w:rFonts w:hint="eastAsia" w:ascii="仿宋" w:hAnsi="仿宋" w:eastAsia="仿宋"/>
          <w:b w:val="0"/>
          <w:bCs w:val="0"/>
          <w:color w:val="auto"/>
          <w:sz w:val="24"/>
        </w:rPr>
        <w:t>采购。</w:t>
      </w:r>
    </w:p>
    <w:p w14:paraId="0B40CF26">
      <w:pPr>
        <w:keepNext w:val="0"/>
        <w:keepLines w:val="0"/>
        <w:pageBreakBefore w:val="0"/>
        <w:widowControl w:val="0"/>
        <w:kinsoku/>
        <w:wordWrap/>
        <w:overflowPunct/>
        <w:topLinePunct w:val="0"/>
        <w:autoSpaceDE/>
        <w:autoSpaceDN/>
        <w:bidi w:val="0"/>
        <w:snapToGrid/>
        <w:spacing w:after="0" w:line="360" w:lineRule="auto"/>
        <w:ind w:firstLine="480" w:firstLineChars="200"/>
        <w:outlineLvl w:val="9"/>
        <w:rPr>
          <w:rFonts w:hint="eastAsia" w:ascii="仿宋" w:hAnsi="仿宋" w:eastAsia="仿宋"/>
          <w:b w:val="0"/>
          <w:bCs w:val="0"/>
          <w:color w:val="auto"/>
          <w:sz w:val="24"/>
        </w:rPr>
      </w:pPr>
      <w:r>
        <w:rPr>
          <w:rFonts w:hint="eastAsia" w:ascii="仿宋" w:hAnsi="仿宋" w:eastAsia="仿宋"/>
          <w:b w:val="0"/>
          <w:bCs w:val="0"/>
          <w:color w:val="auto"/>
          <w:sz w:val="24"/>
        </w:rPr>
        <w:t>1.2 本招标文件的解释权归招标人和招标代理机构所有。</w:t>
      </w:r>
    </w:p>
    <w:p w14:paraId="35056E7C">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
          <w:bCs/>
          <w:color w:val="auto"/>
          <w:sz w:val="24"/>
        </w:rPr>
      </w:pPr>
      <w:r>
        <w:rPr>
          <w:rFonts w:hint="eastAsia" w:ascii="仿宋" w:hAnsi="仿宋" w:eastAsia="仿宋"/>
          <w:b/>
          <w:bCs/>
          <w:color w:val="auto"/>
          <w:sz w:val="24"/>
        </w:rPr>
        <w:t>2</w:t>
      </w:r>
      <w:bookmarkEnd w:id="28"/>
      <w:bookmarkEnd w:id="29"/>
      <w:r>
        <w:rPr>
          <w:rFonts w:hint="eastAsia" w:ascii="仿宋" w:hAnsi="仿宋" w:eastAsia="仿宋"/>
          <w:b/>
          <w:bCs/>
          <w:color w:val="auto"/>
          <w:sz w:val="24"/>
          <w:lang w:val="en-US" w:eastAsia="zh-CN"/>
        </w:rPr>
        <w:t>.</w:t>
      </w:r>
      <w:r>
        <w:rPr>
          <w:rFonts w:hint="eastAsia" w:ascii="仿宋" w:hAnsi="仿宋" w:eastAsia="仿宋"/>
          <w:b/>
          <w:bCs/>
          <w:color w:val="auto"/>
          <w:sz w:val="24"/>
        </w:rPr>
        <w:t>有关</w:t>
      </w:r>
      <w:r>
        <w:rPr>
          <w:rFonts w:hint="eastAsia" w:ascii="仿宋" w:hAnsi="仿宋" w:eastAsia="仿宋"/>
          <w:b/>
          <w:bCs/>
          <w:color w:val="auto"/>
          <w:sz w:val="24"/>
          <w:szCs w:val="24"/>
        </w:rPr>
        <w:t>定义</w:t>
      </w:r>
      <w:bookmarkEnd w:id="30"/>
      <w:bookmarkEnd w:id="31"/>
      <w:bookmarkStart w:id="32" w:name="PO_默认文件内容_19"/>
    </w:p>
    <w:bookmarkEnd w:id="32"/>
    <w:p w14:paraId="267C54B0">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hint="eastAsia" w:ascii="仿宋" w:hAnsi="仿宋" w:eastAsia="仿宋" w:cs="Times New Roman"/>
          <w:color w:val="auto"/>
          <w:sz w:val="24"/>
        </w:rPr>
      </w:pPr>
      <w:bookmarkStart w:id="33" w:name="_Toc183682344"/>
      <w:bookmarkStart w:id="34" w:name="_Toc79959164"/>
      <w:bookmarkStart w:id="35" w:name="_Toc217446036"/>
      <w:bookmarkStart w:id="36" w:name="_Toc217390843"/>
      <w:bookmarkStart w:id="37" w:name="_Toc183582207"/>
      <w:bookmarkStart w:id="38" w:name="PO_默认文件内容_20"/>
      <w:r>
        <w:rPr>
          <w:rFonts w:hint="eastAsia" w:ascii="仿宋" w:hAnsi="仿宋" w:eastAsia="仿宋" w:cs="Times New Roman"/>
          <w:color w:val="auto"/>
          <w:sz w:val="24"/>
        </w:rPr>
        <w:t>2.1本次</w:t>
      </w:r>
      <w:r>
        <w:rPr>
          <w:rFonts w:hint="eastAsia" w:ascii="仿宋" w:hAnsi="仿宋" w:eastAsia="仿宋" w:cs="Times New Roman"/>
          <w:color w:val="auto"/>
          <w:sz w:val="24"/>
          <w:lang w:eastAsia="zh-CN"/>
        </w:rPr>
        <w:t>招标</w:t>
      </w:r>
      <w:r>
        <w:rPr>
          <w:rFonts w:hint="eastAsia" w:ascii="仿宋" w:hAnsi="仿宋" w:eastAsia="仿宋" w:cs="Times New Roman"/>
          <w:color w:val="auto"/>
          <w:sz w:val="24"/>
        </w:rPr>
        <w:t>的</w:t>
      </w:r>
      <w:r>
        <w:rPr>
          <w:rFonts w:hint="eastAsia" w:ascii="仿宋" w:hAnsi="仿宋" w:eastAsia="仿宋" w:cs="Times New Roman"/>
          <w:color w:val="auto"/>
          <w:sz w:val="24"/>
          <w:lang w:eastAsia="zh-CN"/>
        </w:rPr>
        <w:t>招标人</w:t>
      </w:r>
      <w:r>
        <w:rPr>
          <w:rFonts w:hint="eastAsia" w:ascii="仿宋" w:hAnsi="仿宋" w:eastAsia="仿宋" w:cs="Times New Roman"/>
          <w:color w:val="auto"/>
          <w:sz w:val="24"/>
        </w:rPr>
        <w:t>是</w:t>
      </w:r>
      <w:r>
        <w:rPr>
          <w:rFonts w:hint="eastAsia" w:ascii="仿宋" w:hAnsi="仿宋" w:eastAsia="仿宋"/>
          <w:b/>
          <w:bCs/>
          <w:color w:val="auto"/>
          <w:sz w:val="24"/>
          <w:u w:val="single"/>
          <w:lang w:val="en-US" w:eastAsia="zh-CN"/>
        </w:rPr>
        <w:t>富顺县中医医院</w:t>
      </w:r>
      <w:r>
        <w:rPr>
          <w:rFonts w:hint="eastAsia" w:ascii="仿宋" w:hAnsi="仿宋" w:eastAsia="仿宋"/>
          <w:color w:val="auto"/>
          <w:sz w:val="24"/>
        </w:rPr>
        <w:t>。</w:t>
      </w:r>
    </w:p>
    <w:p w14:paraId="32119280">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hint="eastAsia" w:ascii="仿宋" w:hAnsi="仿宋" w:eastAsia="仿宋" w:cs="Times New Roman"/>
          <w:color w:val="auto"/>
          <w:sz w:val="24"/>
        </w:rPr>
      </w:pPr>
      <w:r>
        <w:rPr>
          <w:rFonts w:hint="eastAsia" w:ascii="仿宋" w:hAnsi="仿宋" w:eastAsia="仿宋" w:cs="Times New Roman"/>
          <w:color w:val="auto"/>
          <w:sz w:val="24"/>
        </w:rPr>
        <w:t>2.2本次</w:t>
      </w:r>
      <w:r>
        <w:rPr>
          <w:rFonts w:hint="eastAsia" w:ascii="仿宋" w:hAnsi="仿宋" w:eastAsia="仿宋" w:cs="Times New Roman"/>
          <w:color w:val="auto"/>
          <w:sz w:val="24"/>
          <w:lang w:eastAsia="zh-CN"/>
        </w:rPr>
        <w:t>招标</w:t>
      </w:r>
      <w:r>
        <w:rPr>
          <w:rFonts w:hint="eastAsia" w:ascii="仿宋" w:hAnsi="仿宋" w:eastAsia="仿宋" w:cs="Times New Roman"/>
          <w:color w:val="auto"/>
          <w:sz w:val="24"/>
        </w:rPr>
        <w:t>的</w:t>
      </w:r>
      <w:r>
        <w:rPr>
          <w:rFonts w:hint="eastAsia" w:ascii="仿宋" w:hAnsi="仿宋" w:eastAsia="仿宋" w:cs="Times New Roman"/>
          <w:color w:val="auto"/>
          <w:sz w:val="24"/>
          <w:lang w:eastAsia="zh-CN"/>
        </w:rPr>
        <w:t>招标代理机构</w:t>
      </w:r>
      <w:r>
        <w:rPr>
          <w:rFonts w:hint="eastAsia" w:ascii="仿宋" w:hAnsi="仿宋" w:eastAsia="仿宋" w:cs="Times New Roman"/>
          <w:color w:val="auto"/>
          <w:sz w:val="24"/>
        </w:rPr>
        <w:t>是</w:t>
      </w:r>
      <w:r>
        <w:rPr>
          <w:rFonts w:hint="eastAsia" w:ascii="仿宋" w:hAnsi="仿宋" w:eastAsia="仿宋"/>
          <w:b/>
          <w:bCs/>
          <w:color w:val="auto"/>
          <w:sz w:val="24"/>
          <w:u w:val="single"/>
          <w:lang w:eastAsia="zh-CN"/>
        </w:rPr>
        <w:t>四川虹采招标代理有限责任公司</w:t>
      </w:r>
      <w:r>
        <w:rPr>
          <w:rFonts w:hint="eastAsia" w:ascii="仿宋" w:hAnsi="仿宋" w:eastAsia="仿宋"/>
          <w:color w:val="auto"/>
          <w:sz w:val="24"/>
        </w:rPr>
        <w:t>。</w:t>
      </w:r>
    </w:p>
    <w:p w14:paraId="6CEF7E7B">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hint="eastAsia" w:ascii="仿宋" w:hAnsi="仿宋" w:eastAsia="仿宋"/>
          <w:b/>
          <w:bCs/>
          <w:color w:val="auto"/>
          <w:sz w:val="24"/>
          <w:lang w:eastAsia="zh-CN"/>
        </w:rPr>
      </w:pPr>
      <w:r>
        <w:rPr>
          <w:rFonts w:hint="eastAsia" w:ascii="仿宋" w:hAnsi="仿宋" w:eastAsia="仿宋"/>
          <w:b/>
          <w:bCs/>
          <w:color w:val="auto"/>
          <w:sz w:val="24"/>
        </w:rPr>
        <w:t>3</w:t>
      </w:r>
      <w:r>
        <w:rPr>
          <w:rFonts w:hint="eastAsia" w:ascii="仿宋" w:hAnsi="仿宋" w:eastAsia="仿宋"/>
          <w:b/>
          <w:bCs/>
          <w:color w:val="auto"/>
          <w:sz w:val="24"/>
          <w:lang w:val="en-US" w:eastAsia="zh-CN"/>
        </w:rPr>
        <w:t>.</w:t>
      </w:r>
      <w:r>
        <w:rPr>
          <w:rFonts w:hint="eastAsia" w:ascii="仿宋" w:hAnsi="仿宋" w:eastAsia="仿宋"/>
          <w:b/>
          <w:bCs/>
          <w:color w:val="auto"/>
          <w:sz w:val="24"/>
        </w:rPr>
        <w:t>合格的投标人</w:t>
      </w:r>
      <w:bookmarkEnd w:id="33"/>
      <w:bookmarkEnd w:id="34"/>
      <w:bookmarkEnd w:id="35"/>
      <w:bookmarkEnd w:id="36"/>
      <w:bookmarkEnd w:id="37"/>
      <w:r>
        <w:rPr>
          <w:rFonts w:hint="eastAsia" w:ascii="仿宋" w:hAnsi="仿宋" w:eastAsia="仿宋"/>
          <w:b/>
          <w:bCs/>
          <w:color w:val="auto"/>
          <w:sz w:val="24"/>
          <w:lang w:eastAsia="zh-CN"/>
        </w:rPr>
        <w:t>（实质性要求）</w:t>
      </w:r>
    </w:p>
    <w:p w14:paraId="7F745D0B">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合格的投标人应具备以下条件：</w:t>
      </w:r>
    </w:p>
    <w:p w14:paraId="7C0B196A">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pacing w:val="-4"/>
          <w:sz w:val="24"/>
        </w:rPr>
      </w:pPr>
      <w:r>
        <w:rPr>
          <w:rFonts w:hint="eastAsia" w:ascii="仿宋" w:hAnsi="仿宋" w:eastAsia="仿宋"/>
          <w:color w:val="auto"/>
          <w:sz w:val="24"/>
          <w:lang w:val="en-US" w:eastAsia="zh-CN"/>
        </w:rPr>
        <w:t>3.1</w:t>
      </w:r>
      <w:r>
        <w:rPr>
          <w:rFonts w:hint="eastAsia" w:ascii="仿宋" w:hAnsi="仿宋" w:eastAsia="仿宋"/>
          <w:color w:val="auto"/>
          <w:sz w:val="24"/>
        </w:rPr>
        <w:t>本招标文件规定的</w:t>
      </w:r>
      <w:r>
        <w:rPr>
          <w:rFonts w:hint="eastAsia" w:ascii="仿宋" w:hAnsi="仿宋" w:eastAsia="仿宋"/>
          <w:color w:val="auto"/>
          <w:sz w:val="24"/>
          <w:lang w:eastAsia="zh-CN"/>
        </w:rPr>
        <w:t>投标人</w:t>
      </w:r>
      <w:r>
        <w:rPr>
          <w:rFonts w:hint="eastAsia" w:ascii="仿宋" w:hAnsi="仿宋" w:eastAsia="仿宋"/>
          <w:color w:val="auto"/>
          <w:sz w:val="24"/>
        </w:rPr>
        <w:t>资格条件</w:t>
      </w:r>
      <w:r>
        <w:rPr>
          <w:rFonts w:hint="eastAsia" w:ascii="仿宋" w:hAnsi="仿宋" w:eastAsia="仿宋"/>
          <w:color w:val="auto"/>
          <w:spacing w:val="-4"/>
          <w:sz w:val="24"/>
        </w:rPr>
        <w:t>；</w:t>
      </w:r>
    </w:p>
    <w:p w14:paraId="51DF12D2">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lang w:val="en-US" w:eastAsia="zh-CN"/>
        </w:rPr>
        <w:t>3.2</w:t>
      </w:r>
      <w:bookmarkEnd w:id="38"/>
      <w:r>
        <w:rPr>
          <w:rFonts w:hint="eastAsia" w:ascii="仿宋" w:hAnsi="仿宋" w:eastAsia="仿宋" w:cs="仿宋"/>
          <w:color w:val="auto"/>
          <w:spacing w:val="-4"/>
          <w:sz w:val="24"/>
          <w:szCs w:val="24"/>
          <w:highlight w:val="none"/>
        </w:rPr>
        <w:t>按照规定</w:t>
      </w:r>
      <w:r>
        <w:rPr>
          <w:rFonts w:hint="eastAsia" w:ascii="仿宋" w:hAnsi="仿宋" w:eastAsia="仿宋" w:cs="仿宋"/>
          <w:color w:val="auto"/>
          <w:sz w:val="24"/>
          <w:szCs w:val="24"/>
          <w:highlight w:val="none"/>
        </w:rPr>
        <w:t>获取了</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文件，属于实质性参加采购活动的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w:t>
      </w:r>
    </w:p>
    <w:p w14:paraId="33181F9B">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color w:val="auto"/>
          <w:sz w:val="24"/>
        </w:rPr>
      </w:pPr>
      <w:bookmarkStart w:id="39" w:name="_Toc217446037"/>
      <w:bookmarkStart w:id="40" w:name="_Toc183682345"/>
      <w:bookmarkStart w:id="41" w:name="_Toc183582208"/>
      <w:bookmarkStart w:id="42" w:name="_Toc79959165"/>
      <w:bookmarkStart w:id="43" w:name="PO_默认文件内容_16"/>
      <w:r>
        <w:rPr>
          <w:rFonts w:hint="eastAsia" w:ascii="仿宋" w:hAnsi="仿宋" w:eastAsia="仿宋"/>
          <w:b/>
          <w:bCs/>
          <w:color w:val="auto"/>
          <w:sz w:val="24"/>
        </w:rPr>
        <w:t>4.投标费用</w:t>
      </w:r>
      <w:bookmarkEnd w:id="39"/>
      <w:bookmarkEnd w:id="40"/>
      <w:bookmarkEnd w:id="41"/>
      <w:r>
        <w:rPr>
          <w:rFonts w:hint="eastAsia" w:ascii="仿宋" w:hAnsi="仿宋" w:eastAsia="仿宋"/>
          <w:b/>
          <w:bCs/>
          <w:color w:val="auto"/>
          <w:sz w:val="24"/>
          <w:szCs w:val="24"/>
        </w:rPr>
        <w:t>（实质性要求）</w:t>
      </w:r>
      <w:bookmarkEnd w:id="42"/>
    </w:p>
    <w:p w14:paraId="27CC3F6C">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outlineLvl w:val="9"/>
        <w:rPr>
          <w:rFonts w:ascii="仿宋" w:hAnsi="仿宋" w:eastAsia="仿宋"/>
          <w:color w:val="auto"/>
          <w:sz w:val="24"/>
        </w:rPr>
      </w:pPr>
      <w:r>
        <w:rPr>
          <w:rFonts w:hint="eastAsia" w:ascii="仿宋" w:hAnsi="仿宋" w:eastAsia="仿宋"/>
          <w:color w:val="auto"/>
          <w:sz w:val="24"/>
        </w:rPr>
        <w:t>投标人参加投标的有关费用由投标人自行承担。</w:t>
      </w:r>
    </w:p>
    <w:p w14:paraId="6B3DB300">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color w:val="auto"/>
          <w:sz w:val="24"/>
        </w:rPr>
      </w:pPr>
      <w:bookmarkStart w:id="44" w:name="_Toc79959166"/>
      <w:r>
        <w:rPr>
          <w:rFonts w:hint="eastAsia" w:ascii="仿宋" w:hAnsi="仿宋" w:eastAsia="仿宋"/>
          <w:b/>
          <w:bCs/>
          <w:color w:val="auto"/>
          <w:sz w:val="24"/>
        </w:rPr>
        <w:t>5</w:t>
      </w:r>
      <w:r>
        <w:rPr>
          <w:rFonts w:hint="eastAsia" w:ascii="仿宋" w:hAnsi="仿宋" w:eastAsia="仿宋"/>
          <w:b/>
          <w:bCs/>
          <w:color w:val="auto"/>
          <w:sz w:val="24"/>
          <w:lang w:val="en-US" w:eastAsia="zh-CN"/>
        </w:rPr>
        <w:t>.</w:t>
      </w:r>
      <w:r>
        <w:rPr>
          <w:rFonts w:hint="eastAsia" w:ascii="仿宋" w:hAnsi="仿宋" w:eastAsia="仿宋"/>
          <w:b/>
          <w:bCs/>
          <w:color w:val="auto"/>
          <w:sz w:val="24"/>
        </w:rPr>
        <w:t>充分、公平竞争保障措施</w:t>
      </w:r>
      <w:bookmarkEnd w:id="44"/>
      <w:r>
        <w:rPr>
          <w:rFonts w:hint="eastAsia" w:ascii="仿宋" w:hAnsi="仿宋" w:eastAsia="仿宋"/>
          <w:b/>
          <w:bCs/>
          <w:color w:val="auto"/>
          <w:sz w:val="24"/>
          <w:lang w:eastAsia="zh-CN"/>
        </w:rPr>
        <w:t>（实质性要求）</w:t>
      </w:r>
    </w:p>
    <w:p w14:paraId="5A964809">
      <w:pPr>
        <w:pStyle w:val="48"/>
        <w:keepNext w:val="0"/>
        <w:keepLines w:val="0"/>
        <w:pageBreakBefore w:val="0"/>
        <w:widowControl w:val="0"/>
        <w:kinsoku/>
        <w:wordWrap/>
        <w:overflowPunct/>
        <w:topLinePunct w:val="0"/>
        <w:autoSpaceDE/>
        <w:autoSpaceDN/>
        <w:bidi w:val="0"/>
        <w:adjustRightInd w:val="0"/>
        <w:snapToGrid/>
        <w:spacing w:after="0" w:line="360" w:lineRule="auto"/>
        <w:ind w:left="0" w:firstLine="482" w:firstLineChars="200"/>
        <w:textAlignment w:val="baseline"/>
        <w:outlineLvl w:val="9"/>
        <w:rPr>
          <w:rFonts w:ascii="仿宋" w:hAnsi="仿宋" w:eastAsia="仿宋"/>
          <w:color w:val="auto"/>
          <w:sz w:val="24"/>
          <w:highlight w:val="none"/>
        </w:rPr>
      </w:pPr>
      <w:bookmarkStart w:id="45" w:name="_Toc183582209"/>
      <w:bookmarkStart w:id="46" w:name="_Toc79959167"/>
      <w:bookmarkStart w:id="47" w:name="_Toc183682346"/>
      <w:bookmarkStart w:id="48" w:name="_Toc217446038"/>
      <w:bookmarkStart w:id="49" w:name="_Toc77400779"/>
      <w:bookmarkStart w:id="50" w:name="_Toc89075875"/>
      <w:r>
        <w:rPr>
          <w:rFonts w:hint="eastAsia" w:ascii="仿宋" w:hAnsi="仿宋" w:eastAsia="仿宋"/>
          <w:b/>
          <w:color w:val="auto"/>
          <w:sz w:val="24"/>
          <w:highlight w:val="none"/>
        </w:rPr>
        <w:t>5.</w:t>
      </w:r>
      <w:r>
        <w:rPr>
          <w:rFonts w:hint="eastAsia" w:ascii="仿宋" w:hAnsi="仿宋" w:eastAsia="仿宋"/>
          <w:b/>
          <w:color w:val="auto"/>
          <w:sz w:val="24"/>
          <w:highlight w:val="none"/>
          <w:lang w:val="en-US" w:eastAsia="zh-CN"/>
        </w:rPr>
        <w:t>1</w:t>
      </w:r>
      <w:r>
        <w:rPr>
          <w:rFonts w:hint="eastAsia" w:ascii="仿宋" w:hAnsi="仿宋" w:eastAsia="仿宋"/>
          <w:b/>
          <w:color w:val="auto"/>
          <w:sz w:val="24"/>
          <w:highlight w:val="none"/>
        </w:rPr>
        <w:t xml:space="preserve"> 利害关系</w:t>
      </w:r>
      <w:r>
        <w:rPr>
          <w:rFonts w:hint="eastAsia" w:ascii="仿宋" w:hAnsi="仿宋" w:eastAsia="仿宋"/>
          <w:b/>
          <w:color w:val="auto"/>
          <w:sz w:val="24"/>
          <w:highlight w:val="none"/>
          <w:lang w:eastAsia="zh-CN"/>
        </w:rPr>
        <w:t>投标人</w:t>
      </w:r>
      <w:r>
        <w:rPr>
          <w:rFonts w:hint="eastAsia" w:ascii="仿宋" w:hAnsi="仿宋" w:eastAsia="仿宋"/>
          <w:b/>
          <w:color w:val="auto"/>
          <w:sz w:val="24"/>
          <w:highlight w:val="none"/>
        </w:rPr>
        <w:t>处理。</w:t>
      </w:r>
      <w:r>
        <w:rPr>
          <w:rFonts w:hint="eastAsia" w:ascii="仿宋" w:hAnsi="仿宋" w:eastAsia="仿宋"/>
          <w:color w:val="auto"/>
          <w:sz w:val="24"/>
          <w:highlight w:val="none"/>
        </w:rPr>
        <w:t>单位负责人为同一人或者存在直接控股、管理关系的不同</w:t>
      </w:r>
      <w:r>
        <w:rPr>
          <w:rFonts w:hint="eastAsia" w:ascii="仿宋" w:hAnsi="仿宋" w:eastAsia="仿宋"/>
          <w:color w:val="auto"/>
          <w:sz w:val="24"/>
          <w:highlight w:val="none"/>
          <w:lang w:eastAsia="zh-CN"/>
        </w:rPr>
        <w:t>投标人</w:t>
      </w:r>
      <w:r>
        <w:rPr>
          <w:rFonts w:hint="eastAsia" w:ascii="仿宋" w:hAnsi="仿宋" w:eastAsia="仿宋"/>
          <w:color w:val="auto"/>
          <w:sz w:val="24"/>
          <w:highlight w:val="none"/>
        </w:rPr>
        <w:t>不得参加同一合同项下的采购活动。</w:t>
      </w:r>
    </w:p>
    <w:p w14:paraId="06E3AC8C">
      <w:pPr>
        <w:pStyle w:val="48"/>
        <w:keepNext w:val="0"/>
        <w:keepLines w:val="0"/>
        <w:pageBreakBefore w:val="0"/>
        <w:widowControl w:val="0"/>
        <w:kinsoku/>
        <w:wordWrap/>
        <w:overflowPunct/>
        <w:topLinePunct w:val="0"/>
        <w:autoSpaceDE/>
        <w:autoSpaceDN/>
        <w:bidi w:val="0"/>
        <w:adjustRightInd w:val="0"/>
        <w:snapToGrid/>
        <w:spacing w:after="0" w:line="360" w:lineRule="auto"/>
        <w:ind w:left="0" w:firstLine="482" w:firstLineChars="200"/>
        <w:textAlignment w:val="baseline"/>
        <w:outlineLvl w:val="9"/>
        <w:rPr>
          <w:rFonts w:ascii="仿宋" w:hAnsi="仿宋" w:eastAsia="仿宋"/>
          <w:color w:val="auto"/>
          <w:sz w:val="24"/>
          <w:highlight w:val="none"/>
        </w:rPr>
      </w:pPr>
      <w:r>
        <w:rPr>
          <w:rFonts w:hint="eastAsia" w:ascii="仿宋" w:hAnsi="仿宋" w:eastAsia="仿宋"/>
          <w:b/>
          <w:color w:val="auto"/>
          <w:sz w:val="24"/>
          <w:highlight w:val="none"/>
        </w:rPr>
        <w:t>5.</w:t>
      </w:r>
      <w:r>
        <w:rPr>
          <w:rFonts w:hint="eastAsia" w:ascii="仿宋" w:hAnsi="仿宋" w:eastAsia="仿宋"/>
          <w:b/>
          <w:color w:val="auto"/>
          <w:sz w:val="24"/>
          <w:highlight w:val="none"/>
          <w:lang w:val="en-US" w:eastAsia="zh-CN"/>
        </w:rPr>
        <w:t>2</w:t>
      </w:r>
      <w:r>
        <w:rPr>
          <w:rFonts w:hint="eastAsia" w:ascii="仿宋" w:hAnsi="仿宋" w:eastAsia="仿宋"/>
          <w:b/>
          <w:color w:val="auto"/>
          <w:sz w:val="24"/>
          <w:highlight w:val="none"/>
        </w:rPr>
        <w:t xml:space="preserve"> 前期参与</w:t>
      </w:r>
      <w:r>
        <w:rPr>
          <w:rFonts w:hint="eastAsia" w:ascii="仿宋" w:hAnsi="仿宋" w:eastAsia="仿宋"/>
          <w:b/>
          <w:color w:val="auto"/>
          <w:sz w:val="24"/>
          <w:highlight w:val="none"/>
          <w:lang w:eastAsia="zh-CN"/>
        </w:rPr>
        <w:t>投标人</w:t>
      </w:r>
      <w:r>
        <w:rPr>
          <w:rFonts w:hint="eastAsia" w:ascii="仿宋" w:hAnsi="仿宋" w:eastAsia="仿宋"/>
          <w:b/>
          <w:color w:val="auto"/>
          <w:sz w:val="24"/>
          <w:highlight w:val="none"/>
        </w:rPr>
        <w:t>处理。</w:t>
      </w:r>
      <w:r>
        <w:rPr>
          <w:rFonts w:hint="eastAsia" w:ascii="仿宋" w:hAnsi="仿宋" w:eastAsia="仿宋"/>
          <w:color w:val="auto"/>
          <w:sz w:val="24"/>
          <w:highlight w:val="none"/>
        </w:rPr>
        <w:t>为采购项目提供整体设计、规范编制或者项目管理、监理、检测等服务的</w:t>
      </w:r>
      <w:r>
        <w:rPr>
          <w:rFonts w:hint="eastAsia" w:ascii="仿宋" w:hAnsi="仿宋" w:eastAsia="仿宋"/>
          <w:color w:val="auto"/>
          <w:sz w:val="24"/>
          <w:highlight w:val="none"/>
          <w:lang w:eastAsia="zh-CN"/>
        </w:rPr>
        <w:t>投标人</w:t>
      </w:r>
      <w:r>
        <w:rPr>
          <w:rFonts w:hint="eastAsia" w:ascii="仿宋" w:hAnsi="仿宋" w:eastAsia="仿宋"/>
          <w:color w:val="auto"/>
          <w:sz w:val="24"/>
          <w:highlight w:val="none"/>
        </w:rPr>
        <w:t>，不得再参加该采购项目的其他采购活动。</w:t>
      </w:r>
      <w:r>
        <w:rPr>
          <w:rFonts w:hint="eastAsia" w:ascii="仿宋" w:hAnsi="仿宋" w:eastAsia="仿宋"/>
          <w:color w:val="auto"/>
          <w:sz w:val="24"/>
          <w:highlight w:val="none"/>
          <w:lang w:eastAsia="zh-CN"/>
        </w:rPr>
        <w:t>投标人</w:t>
      </w:r>
      <w:r>
        <w:rPr>
          <w:rFonts w:hint="eastAsia" w:ascii="仿宋" w:hAnsi="仿宋" w:eastAsia="仿宋"/>
          <w:color w:val="auto"/>
          <w:sz w:val="24"/>
          <w:highlight w:val="none"/>
        </w:rPr>
        <w:t>为</w:t>
      </w:r>
      <w:r>
        <w:rPr>
          <w:rFonts w:hint="eastAsia" w:ascii="仿宋" w:hAnsi="仿宋" w:eastAsia="仿宋"/>
          <w:color w:val="auto"/>
          <w:sz w:val="24"/>
          <w:highlight w:val="none"/>
          <w:lang w:eastAsia="zh-CN"/>
        </w:rPr>
        <w:t>招标人</w:t>
      </w:r>
      <w:r>
        <w:rPr>
          <w:rFonts w:hint="eastAsia" w:ascii="仿宋" w:hAnsi="仿宋" w:eastAsia="仿宋"/>
          <w:color w:val="auto"/>
          <w:sz w:val="24"/>
          <w:highlight w:val="none"/>
        </w:rPr>
        <w:t>、</w:t>
      </w:r>
      <w:r>
        <w:rPr>
          <w:rFonts w:hint="eastAsia" w:ascii="仿宋" w:hAnsi="仿宋" w:eastAsia="仿宋"/>
          <w:color w:val="auto"/>
          <w:sz w:val="24"/>
          <w:highlight w:val="none"/>
          <w:lang w:eastAsia="zh-CN"/>
        </w:rPr>
        <w:t>招标代理机构</w:t>
      </w:r>
      <w:r>
        <w:rPr>
          <w:rFonts w:hint="eastAsia" w:ascii="仿宋" w:hAnsi="仿宋" w:eastAsia="仿宋"/>
          <w:color w:val="auto"/>
          <w:sz w:val="24"/>
          <w:highlight w:val="none"/>
        </w:rPr>
        <w:t>在确定采购需求、编制</w:t>
      </w:r>
      <w:r>
        <w:rPr>
          <w:rFonts w:hint="eastAsia" w:ascii="仿宋" w:hAnsi="仿宋" w:eastAsia="仿宋"/>
          <w:color w:val="auto"/>
          <w:sz w:val="24"/>
          <w:highlight w:val="none"/>
          <w:lang w:eastAsia="zh-CN"/>
        </w:rPr>
        <w:t>招标文件</w:t>
      </w:r>
      <w:r>
        <w:rPr>
          <w:rFonts w:hint="eastAsia" w:ascii="仿宋" w:hAnsi="仿宋" w:eastAsia="仿宋"/>
          <w:color w:val="auto"/>
          <w:sz w:val="24"/>
          <w:highlight w:val="none"/>
        </w:rPr>
        <w:t>过程中提供咨询论证，其提供的咨询论证意见成为</w:t>
      </w:r>
      <w:r>
        <w:rPr>
          <w:rFonts w:hint="eastAsia" w:ascii="仿宋" w:hAnsi="仿宋" w:eastAsia="仿宋"/>
          <w:color w:val="auto"/>
          <w:sz w:val="24"/>
          <w:highlight w:val="none"/>
          <w:lang w:eastAsia="zh-CN"/>
        </w:rPr>
        <w:t>招标文件</w:t>
      </w:r>
      <w:r>
        <w:rPr>
          <w:rFonts w:hint="eastAsia" w:ascii="仿宋" w:hAnsi="仿宋" w:eastAsia="仿宋"/>
          <w:color w:val="auto"/>
          <w:sz w:val="24"/>
          <w:highlight w:val="none"/>
        </w:rPr>
        <w:t>中规定的</w:t>
      </w:r>
      <w:r>
        <w:rPr>
          <w:rFonts w:hint="eastAsia" w:ascii="仿宋" w:hAnsi="仿宋" w:eastAsia="仿宋"/>
          <w:color w:val="auto"/>
          <w:sz w:val="24"/>
          <w:highlight w:val="none"/>
          <w:lang w:eastAsia="zh-CN"/>
        </w:rPr>
        <w:t>投标人</w:t>
      </w:r>
      <w:r>
        <w:rPr>
          <w:rFonts w:hint="eastAsia" w:ascii="仿宋" w:hAnsi="仿宋" w:eastAsia="仿宋"/>
          <w:color w:val="auto"/>
          <w:sz w:val="24"/>
          <w:highlight w:val="none"/>
        </w:rPr>
        <w:t>资格条件、技术服务商务要求、评标因素和标准、采购合同等实质性内容条款的，视同为采购项目提供规范编制。</w:t>
      </w:r>
    </w:p>
    <w:p w14:paraId="337E3F61">
      <w:pPr>
        <w:pStyle w:val="65"/>
        <w:keepNext w:val="0"/>
        <w:keepLines w:val="0"/>
        <w:pageBreakBefore w:val="0"/>
        <w:widowControl w:val="0"/>
        <w:kinsoku/>
        <w:wordWrap/>
        <w:overflowPunct/>
        <w:topLinePunct w:val="0"/>
        <w:autoSpaceDE/>
        <w:autoSpaceDN/>
        <w:bidi w:val="0"/>
        <w:adjustRightInd w:val="0"/>
        <w:snapToGrid/>
        <w:spacing w:line="360" w:lineRule="auto"/>
        <w:ind w:left="0" w:right="0" w:rightChars="0" w:firstLine="482" w:firstLineChars="200"/>
        <w:jc w:val="both"/>
        <w:textAlignment w:val="baseline"/>
        <w:outlineLvl w:val="9"/>
        <w:rPr>
          <w:rFonts w:hint="eastAsia" w:ascii="仿宋" w:hAnsi="仿宋" w:eastAsia="仿宋" w:cs="仿宋"/>
          <w:color w:val="auto"/>
          <w:highlight w:val="none"/>
        </w:rPr>
      </w:pPr>
      <w:r>
        <w:rPr>
          <w:rFonts w:hint="eastAsia" w:ascii="仿宋" w:hAnsi="仿宋" w:eastAsia="仿宋"/>
          <w:b/>
          <w:color w:val="auto"/>
          <w:sz w:val="24"/>
          <w:highlight w:val="none"/>
        </w:rPr>
        <w:t>5.</w:t>
      </w:r>
      <w:r>
        <w:rPr>
          <w:rFonts w:hint="eastAsia" w:ascii="仿宋" w:hAnsi="仿宋" w:eastAsia="仿宋"/>
          <w:b/>
          <w:color w:val="auto"/>
          <w:sz w:val="24"/>
          <w:highlight w:val="none"/>
          <w:lang w:val="en-US" w:eastAsia="zh-CN"/>
        </w:rPr>
        <w:t>3</w:t>
      </w:r>
      <w:r>
        <w:rPr>
          <w:rFonts w:hint="eastAsia" w:ascii="仿宋" w:hAnsi="仿宋" w:eastAsia="仿宋"/>
          <w:b/>
          <w:color w:val="auto"/>
          <w:sz w:val="24"/>
          <w:highlight w:val="none"/>
        </w:rPr>
        <w:t xml:space="preserve"> 利害关系代理人处理。</w:t>
      </w:r>
      <w:r>
        <w:rPr>
          <w:rFonts w:hint="eastAsia" w:ascii="仿宋" w:hAnsi="仿宋" w:eastAsia="仿宋"/>
          <w:color w:val="auto"/>
          <w:sz w:val="24"/>
          <w:highlight w:val="none"/>
          <w:lang w:eastAsia="zh-CN"/>
        </w:rPr>
        <w:t>两</w:t>
      </w:r>
      <w:r>
        <w:rPr>
          <w:rFonts w:hint="eastAsia" w:ascii="仿宋" w:hAnsi="仿宋" w:eastAsia="仿宋"/>
          <w:color w:val="auto"/>
          <w:sz w:val="24"/>
          <w:highlight w:val="none"/>
        </w:rPr>
        <w:t>家以上的</w:t>
      </w:r>
      <w:r>
        <w:rPr>
          <w:rFonts w:hint="eastAsia" w:ascii="仿宋" w:hAnsi="仿宋" w:eastAsia="仿宋"/>
          <w:color w:val="auto"/>
          <w:sz w:val="24"/>
          <w:highlight w:val="none"/>
          <w:lang w:eastAsia="zh-CN"/>
        </w:rPr>
        <w:t>投标人</w:t>
      </w:r>
      <w:r>
        <w:rPr>
          <w:rFonts w:hint="eastAsia" w:ascii="仿宋" w:hAnsi="仿宋" w:eastAsia="仿宋"/>
          <w:color w:val="auto"/>
          <w:sz w:val="24"/>
          <w:highlight w:val="none"/>
        </w:rPr>
        <w:t>不得在同一合同项下的采购项目中，同时委托同一个自然人、同一家庭的人员、同一单位的人员作为其代理人，否则，其投标文件作为无效处理。</w:t>
      </w:r>
    </w:p>
    <w:p w14:paraId="409C39A3">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highlight w:val="none"/>
        </w:rPr>
      </w:pPr>
      <w:bookmarkStart w:id="51" w:name="_Toc26876"/>
      <w:bookmarkStart w:id="52" w:name="_Toc3614"/>
      <w:r>
        <w:rPr>
          <w:rFonts w:hint="eastAsia" w:ascii="仿宋" w:hAnsi="仿宋" w:eastAsia="仿宋" w:cs="仿宋"/>
          <w:b/>
          <w:bCs/>
          <w:color w:val="auto"/>
          <w:highlight w:val="none"/>
        </w:rPr>
        <w:t>三、招标文件</w:t>
      </w:r>
      <w:bookmarkEnd w:id="45"/>
      <w:bookmarkEnd w:id="46"/>
      <w:bookmarkEnd w:id="47"/>
      <w:bookmarkEnd w:id="48"/>
      <w:bookmarkEnd w:id="49"/>
      <w:bookmarkEnd w:id="50"/>
      <w:bookmarkEnd w:id="51"/>
      <w:bookmarkEnd w:id="52"/>
    </w:p>
    <w:p w14:paraId="612266AB">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
          <w:bCs/>
          <w:color w:val="auto"/>
          <w:sz w:val="24"/>
        </w:rPr>
      </w:pPr>
      <w:bookmarkStart w:id="53" w:name="_Toc183582210"/>
      <w:bookmarkStart w:id="54" w:name="_Toc79959168"/>
      <w:bookmarkStart w:id="55" w:name="_Toc183682347"/>
      <w:bookmarkStart w:id="56" w:name="_Toc217446039"/>
      <w:r>
        <w:rPr>
          <w:rFonts w:hint="eastAsia" w:ascii="仿宋" w:hAnsi="仿宋" w:eastAsia="仿宋"/>
          <w:b/>
          <w:bCs/>
          <w:color w:val="auto"/>
          <w:sz w:val="24"/>
        </w:rPr>
        <w:t>6．招标文件的构成</w:t>
      </w:r>
      <w:bookmarkEnd w:id="53"/>
      <w:bookmarkEnd w:id="54"/>
      <w:bookmarkEnd w:id="55"/>
      <w:bookmarkEnd w:id="56"/>
    </w:p>
    <w:p w14:paraId="0F5F0CE3">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ascii="仿宋" w:hAnsi="仿宋" w:eastAsia="仿宋"/>
          <w:color w:val="auto"/>
          <w:kern w:val="0"/>
          <w:sz w:val="24"/>
          <w:szCs w:val="22"/>
        </w:rPr>
      </w:pPr>
      <w:r>
        <w:rPr>
          <w:rFonts w:hint="eastAsia" w:ascii="仿宋" w:hAnsi="仿宋" w:eastAsia="仿宋"/>
          <w:color w:val="auto"/>
          <w:kern w:val="0"/>
          <w:sz w:val="24"/>
          <w:szCs w:val="22"/>
        </w:rPr>
        <w:t>招标文件是</w:t>
      </w:r>
      <w:r>
        <w:rPr>
          <w:rFonts w:hint="eastAsia" w:ascii="仿宋" w:hAnsi="仿宋" w:eastAsia="仿宋"/>
          <w:color w:val="auto"/>
          <w:kern w:val="0"/>
          <w:sz w:val="24"/>
          <w:szCs w:val="22"/>
          <w:lang w:eastAsia="zh-CN"/>
        </w:rPr>
        <w:t>投标人</w:t>
      </w:r>
      <w:r>
        <w:rPr>
          <w:rFonts w:hint="eastAsia" w:ascii="仿宋" w:hAnsi="仿宋" w:eastAsia="仿宋"/>
          <w:color w:val="auto"/>
          <w:kern w:val="0"/>
          <w:sz w:val="24"/>
          <w:szCs w:val="22"/>
        </w:rPr>
        <w:t>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14:paraId="1CEDBC31">
      <w:pPr>
        <w:keepNext w:val="0"/>
        <w:keepLines w:val="0"/>
        <w:pageBreakBefore w:val="0"/>
        <w:widowControl w:val="0"/>
        <w:tabs>
          <w:tab w:val="left" w:pos="720"/>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kern w:val="0"/>
          <w:sz w:val="24"/>
          <w:szCs w:val="22"/>
        </w:rPr>
        <w:t>（一）投标</w:t>
      </w:r>
      <w:r>
        <w:rPr>
          <w:rFonts w:hint="eastAsia" w:ascii="仿宋" w:hAnsi="仿宋" w:eastAsia="仿宋"/>
          <w:color w:val="auto"/>
          <w:sz w:val="24"/>
        </w:rPr>
        <w:t>邀请</w:t>
      </w:r>
    </w:p>
    <w:p w14:paraId="64B93179">
      <w:pPr>
        <w:keepNext w:val="0"/>
        <w:keepLines w:val="0"/>
        <w:pageBreakBefore w:val="0"/>
        <w:widowControl w:val="0"/>
        <w:tabs>
          <w:tab w:val="left" w:pos="720"/>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（二）投标人须知</w:t>
      </w:r>
    </w:p>
    <w:p w14:paraId="62DC8AD2">
      <w:pPr>
        <w:keepNext w:val="0"/>
        <w:keepLines w:val="0"/>
        <w:pageBreakBefore w:val="0"/>
        <w:widowControl w:val="0"/>
        <w:tabs>
          <w:tab w:val="left" w:pos="720"/>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（三）投标文件格式</w:t>
      </w:r>
    </w:p>
    <w:p w14:paraId="545D03D3">
      <w:pPr>
        <w:keepNext w:val="0"/>
        <w:keepLines w:val="0"/>
        <w:pageBreakBefore w:val="0"/>
        <w:widowControl w:val="0"/>
        <w:tabs>
          <w:tab w:val="left" w:pos="720"/>
        </w:tabs>
        <w:kinsoku/>
        <w:wordWrap/>
        <w:overflowPunct/>
        <w:topLinePunct w:val="0"/>
        <w:autoSpaceDE/>
        <w:autoSpaceDN/>
        <w:bidi w:val="0"/>
        <w:snapToGrid/>
        <w:spacing w:after="0" w:line="360" w:lineRule="auto"/>
        <w:ind w:firstLine="480" w:firstLineChars="200"/>
        <w:outlineLvl w:val="9"/>
        <w:rPr>
          <w:rFonts w:hint="eastAsia" w:ascii="仿宋" w:hAnsi="仿宋" w:eastAsia="仿宋"/>
          <w:color w:val="auto"/>
          <w:sz w:val="24"/>
          <w:lang w:eastAsia="zh-CN"/>
        </w:rPr>
      </w:pPr>
      <w:r>
        <w:rPr>
          <w:rFonts w:hint="eastAsia" w:ascii="仿宋" w:hAnsi="仿宋" w:eastAsia="仿宋"/>
          <w:color w:val="auto"/>
          <w:sz w:val="24"/>
        </w:rPr>
        <w:t>（四）</w:t>
      </w:r>
      <w:r>
        <w:rPr>
          <w:rFonts w:hint="eastAsia" w:ascii="仿宋" w:hAnsi="仿宋" w:eastAsia="仿宋" w:cs="仿宋"/>
          <w:color w:val="auto"/>
          <w:sz w:val="24"/>
          <w:highlight w:val="none"/>
        </w:rPr>
        <w:t>投标人的资格、资质性及其他类似效力要求</w:t>
      </w:r>
    </w:p>
    <w:p w14:paraId="67B9F953">
      <w:pPr>
        <w:keepNext w:val="0"/>
        <w:keepLines w:val="0"/>
        <w:pageBreakBefore w:val="0"/>
        <w:widowControl w:val="0"/>
        <w:tabs>
          <w:tab w:val="left" w:pos="720"/>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（五）</w:t>
      </w:r>
      <w:r>
        <w:rPr>
          <w:rFonts w:hint="eastAsia" w:ascii="仿宋" w:hAnsi="仿宋" w:eastAsia="仿宋" w:cs="仿宋"/>
          <w:color w:val="auto"/>
          <w:sz w:val="24"/>
          <w:highlight w:val="none"/>
        </w:rPr>
        <w:t>投标人应当提供的资格、资质性及其他类似效力要求的相关证明材料</w:t>
      </w:r>
    </w:p>
    <w:p w14:paraId="5E4F34B4">
      <w:pPr>
        <w:keepNext w:val="0"/>
        <w:keepLines w:val="0"/>
        <w:pageBreakBefore w:val="0"/>
        <w:widowControl w:val="0"/>
        <w:tabs>
          <w:tab w:val="left" w:pos="720"/>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（六）</w:t>
      </w:r>
      <w:r>
        <w:rPr>
          <w:rFonts w:hint="eastAsia" w:ascii="仿宋" w:hAnsi="仿宋" w:eastAsia="仿宋" w:cs="仿宋"/>
          <w:color w:val="auto"/>
          <w:sz w:val="24"/>
          <w:highlight w:val="none"/>
        </w:rPr>
        <w:t>招标项目技术、服务、采购合同内容条款及其他商务要求</w:t>
      </w:r>
    </w:p>
    <w:p w14:paraId="35DFE1EE">
      <w:pPr>
        <w:keepNext w:val="0"/>
        <w:keepLines w:val="0"/>
        <w:pageBreakBefore w:val="0"/>
        <w:widowControl w:val="0"/>
        <w:tabs>
          <w:tab w:val="left" w:pos="720"/>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（七）评标办法</w:t>
      </w:r>
    </w:p>
    <w:p w14:paraId="11E2BE3D">
      <w:pPr>
        <w:keepNext w:val="0"/>
        <w:keepLines w:val="0"/>
        <w:pageBreakBefore w:val="0"/>
        <w:widowControl w:val="0"/>
        <w:tabs>
          <w:tab w:val="left" w:pos="720"/>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（八）</w:t>
      </w:r>
      <w:r>
        <w:rPr>
          <w:rFonts w:hint="eastAsia" w:ascii="仿宋" w:hAnsi="仿宋" w:eastAsia="仿宋"/>
          <w:color w:val="auto"/>
          <w:sz w:val="24"/>
          <w:lang w:eastAsia="zh-CN"/>
        </w:rPr>
        <w:t>采购</w:t>
      </w:r>
      <w:r>
        <w:rPr>
          <w:rFonts w:hint="eastAsia" w:ascii="仿宋" w:hAnsi="仿宋" w:eastAsia="仿宋"/>
          <w:color w:val="auto"/>
          <w:sz w:val="24"/>
        </w:rPr>
        <w:t>合同</w:t>
      </w:r>
    </w:p>
    <w:p w14:paraId="0AA62425">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
          <w:bCs/>
          <w:color w:val="auto"/>
          <w:sz w:val="24"/>
        </w:rPr>
      </w:pPr>
      <w:bookmarkStart w:id="57" w:name="_Toc183682348"/>
      <w:bookmarkStart w:id="58" w:name="_Toc183582211"/>
      <w:bookmarkStart w:id="59" w:name="_Toc217446040"/>
      <w:bookmarkStart w:id="60" w:name="_Toc79959169"/>
      <w:r>
        <w:rPr>
          <w:rFonts w:hint="eastAsia" w:ascii="仿宋" w:hAnsi="仿宋" w:eastAsia="仿宋"/>
          <w:b/>
          <w:bCs/>
          <w:color w:val="auto"/>
          <w:sz w:val="24"/>
        </w:rPr>
        <w:t>7. 招标文件的澄清</w:t>
      </w:r>
      <w:bookmarkEnd w:id="57"/>
      <w:bookmarkEnd w:id="58"/>
      <w:r>
        <w:rPr>
          <w:rFonts w:hint="eastAsia" w:ascii="仿宋" w:hAnsi="仿宋" w:eastAsia="仿宋"/>
          <w:b/>
          <w:bCs/>
          <w:color w:val="auto"/>
          <w:sz w:val="24"/>
        </w:rPr>
        <w:t>和修改</w:t>
      </w:r>
      <w:bookmarkEnd w:id="59"/>
      <w:bookmarkEnd w:id="60"/>
    </w:p>
    <w:p w14:paraId="47C55772">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7.1 招标采购单位可以依法对招标文件进行澄清或者修改。</w:t>
      </w:r>
    </w:p>
    <w:p w14:paraId="48176193">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7.2 招标采购单位对已发出的招标文件进行澄清或者修改，应当以书面形式将澄清或者修改的内容通知所有购买了招标文件的</w:t>
      </w:r>
      <w:r>
        <w:rPr>
          <w:rFonts w:hint="eastAsia" w:ascii="仿宋" w:hAnsi="仿宋" w:eastAsia="仿宋"/>
          <w:color w:val="auto"/>
          <w:sz w:val="24"/>
          <w:lang w:eastAsia="zh-CN"/>
        </w:rPr>
        <w:t>投标人</w:t>
      </w:r>
      <w:r>
        <w:rPr>
          <w:rFonts w:hint="eastAsia" w:ascii="仿宋" w:hAnsi="仿宋" w:eastAsia="仿宋"/>
          <w:color w:val="auto"/>
          <w:sz w:val="24"/>
        </w:rPr>
        <w:t>，同时在采购招标信息服务平台</w:t>
      </w:r>
      <w:r>
        <w:rPr>
          <w:rFonts w:hint="eastAsia" w:ascii="仿宋" w:hAnsi="仿宋" w:eastAsia="仿宋"/>
          <w:color w:val="auto"/>
          <w:sz w:val="24"/>
          <w:lang w:eastAsia="zh-CN"/>
        </w:rPr>
        <w:t>、富顺县中医医院官网（http://www.fsxzyyy.com/）</w:t>
      </w:r>
      <w:r>
        <w:rPr>
          <w:rFonts w:hint="eastAsia" w:ascii="仿宋" w:hAnsi="仿宋" w:eastAsia="仿宋"/>
          <w:color w:val="auto"/>
          <w:sz w:val="24"/>
        </w:rPr>
        <w:t>上发布更正公告。该澄清或者修改的内容为招标文件的组成部分，澄清或者修改的内容可能影响投标文件编制的，</w:t>
      </w:r>
      <w:r>
        <w:rPr>
          <w:rFonts w:hint="eastAsia" w:ascii="仿宋" w:hAnsi="仿宋" w:eastAsia="仿宋"/>
          <w:color w:val="auto"/>
          <w:sz w:val="24"/>
          <w:lang w:eastAsia="zh-CN"/>
        </w:rPr>
        <w:t>招标人</w:t>
      </w:r>
      <w:r>
        <w:rPr>
          <w:rFonts w:hint="eastAsia" w:ascii="仿宋" w:hAnsi="仿宋" w:eastAsia="仿宋"/>
          <w:color w:val="auto"/>
          <w:sz w:val="24"/>
        </w:rPr>
        <w:t>或者</w:t>
      </w:r>
      <w:r>
        <w:rPr>
          <w:rFonts w:hint="eastAsia" w:ascii="仿宋" w:hAnsi="仿宋" w:eastAsia="仿宋"/>
          <w:color w:val="auto"/>
          <w:sz w:val="24"/>
          <w:lang w:eastAsia="zh-CN"/>
        </w:rPr>
        <w:t>招标代理机构</w:t>
      </w:r>
      <w:r>
        <w:rPr>
          <w:rFonts w:hint="eastAsia" w:ascii="仿宋" w:hAnsi="仿宋" w:eastAsia="仿宋"/>
          <w:color w:val="auto"/>
          <w:sz w:val="24"/>
        </w:rPr>
        <w:t>发布公告并书面通知</w:t>
      </w:r>
      <w:r>
        <w:rPr>
          <w:rFonts w:hint="eastAsia" w:ascii="仿宋" w:hAnsi="仿宋" w:eastAsia="仿宋"/>
          <w:color w:val="auto"/>
          <w:sz w:val="24"/>
          <w:lang w:eastAsia="zh-CN"/>
        </w:rPr>
        <w:t>投标人</w:t>
      </w:r>
      <w:r>
        <w:rPr>
          <w:rFonts w:hint="eastAsia" w:ascii="仿宋" w:hAnsi="仿宋" w:eastAsia="仿宋"/>
          <w:color w:val="auto"/>
          <w:sz w:val="24"/>
        </w:rPr>
        <w:t>的时间，应当在投标截止时间至少１５日前；不足上述时间的，应当顺延提交投标文件的截止时间。</w:t>
      </w:r>
    </w:p>
    <w:p w14:paraId="35DD44B7">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 xml:space="preserve">7.3 </w:t>
      </w:r>
      <w:r>
        <w:rPr>
          <w:rFonts w:hint="eastAsia" w:ascii="仿宋" w:hAnsi="仿宋" w:eastAsia="仿宋"/>
          <w:color w:val="auto"/>
          <w:sz w:val="24"/>
          <w:lang w:eastAsia="zh-CN"/>
        </w:rPr>
        <w:t>投标人</w:t>
      </w:r>
      <w:r>
        <w:rPr>
          <w:rFonts w:hint="eastAsia" w:ascii="仿宋" w:hAnsi="仿宋" w:eastAsia="仿宋"/>
          <w:color w:val="auto"/>
          <w:sz w:val="24"/>
        </w:rPr>
        <w:t>应于投标文件递交截止时间之前在采购招标信息服务平台</w:t>
      </w:r>
      <w:r>
        <w:rPr>
          <w:rFonts w:hint="eastAsia" w:ascii="仿宋" w:hAnsi="仿宋" w:eastAsia="仿宋"/>
          <w:color w:val="auto"/>
          <w:sz w:val="24"/>
          <w:lang w:eastAsia="zh-CN"/>
        </w:rPr>
        <w:t>、富顺县中医医院官网（http://www.fsxzyyy.com/）</w:t>
      </w:r>
      <w:r>
        <w:rPr>
          <w:rFonts w:hint="eastAsia" w:ascii="仿宋" w:hAnsi="仿宋" w:eastAsia="仿宋"/>
          <w:color w:val="auto"/>
          <w:sz w:val="24"/>
        </w:rPr>
        <w:t>查询本项目的更正公告，以保证其对招标文件做出正确的响应。</w:t>
      </w:r>
      <w:r>
        <w:rPr>
          <w:rFonts w:hint="eastAsia" w:ascii="仿宋" w:hAnsi="仿宋" w:eastAsia="仿宋"/>
          <w:color w:val="auto"/>
          <w:sz w:val="24"/>
          <w:lang w:eastAsia="zh-CN"/>
        </w:rPr>
        <w:t>投标人</w:t>
      </w:r>
      <w:r>
        <w:rPr>
          <w:rFonts w:hint="eastAsia" w:ascii="仿宋" w:hAnsi="仿宋" w:eastAsia="仿宋"/>
          <w:color w:val="auto"/>
          <w:sz w:val="24"/>
        </w:rPr>
        <w:t>未按要求下载相关文件，或由于未及时关注更正公告的信息造成的后果，其责任由</w:t>
      </w:r>
      <w:r>
        <w:rPr>
          <w:rFonts w:hint="eastAsia" w:ascii="仿宋" w:hAnsi="仿宋" w:eastAsia="仿宋"/>
          <w:color w:val="auto"/>
          <w:sz w:val="24"/>
          <w:lang w:eastAsia="zh-CN"/>
        </w:rPr>
        <w:t>投标人</w:t>
      </w:r>
      <w:r>
        <w:rPr>
          <w:rFonts w:hint="eastAsia" w:ascii="仿宋" w:hAnsi="仿宋" w:eastAsia="仿宋"/>
          <w:color w:val="auto"/>
          <w:sz w:val="24"/>
        </w:rPr>
        <w:t>自行负责。</w:t>
      </w:r>
    </w:p>
    <w:p w14:paraId="68B55EEE">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
          <w:bCs/>
          <w:color w:val="auto"/>
          <w:sz w:val="24"/>
        </w:rPr>
      </w:pPr>
      <w:bookmarkStart w:id="61" w:name="_Toc79959170"/>
      <w:bookmarkStart w:id="62" w:name="_Toc208848971"/>
      <w:bookmarkStart w:id="63" w:name="_Toc217446041"/>
      <w:r>
        <w:rPr>
          <w:rFonts w:hint="eastAsia" w:ascii="仿宋" w:hAnsi="仿宋" w:eastAsia="仿宋"/>
          <w:b/>
          <w:bCs/>
          <w:color w:val="auto"/>
          <w:sz w:val="24"/>
        </w:rPr>
        <w:t>8. 答疑会和现场考察</w:t>
      </w:r>
      <w:bookmarkEnd w:id="61"/>
      <w:bookmarkEnd w:id="62"/>
      <w:bookmarkEnd w:id="63"/>
    </w:p>
    <w:bookmarkEnd w:id="43"/>
    <w:p w14:paraId="6736D702">
      <w:pPr>
        <w:keepNext w:val="0"/>
        <w:keepLines w:val="0"/>
        <w:pageBreakBefore w:val="0"/>
        <w:widowControl w:val="0"/>
        <w:tabs>
          <w:tab w:val="left" w:pos="7665"/>
        </w:tabs>
        <w:kinsoku/>
        <w:wordWrap/>
        <w:overflowPunct/>
        <w:topLinePunct w:val="0"/>
        <w:autoSpaceDE/>
        <w:autoSpaceDN/>
        <w:bidi w:val="0"/>
        <w:adjustRightInd/>
        <w:snapToGrid/>
        <w:spacing w:after="0" w:line="360" w:lineRule="auto"/>
        <w:ind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64" w:name="_Toc89075876"/>
      <w:bookmarkStart w:id="65" w:name="_Toc2793"/>
      <w:bookmarkStart w:id="66" w:name="_Toc183582214"/>
      <w:bookmarkStart w:id="67" w:name="_Toc79959171"/>
      <w:bookmarkStart w:id="68" w:name="_Toc183682351"/>
      <w:bookmarkStart w:id="69" w:name="_Toc77400780"/>
      <w:bookmarkStart w:id="70" w:name="_Toc217446042"/>
      <w:bookmarkStart w:id="71" w:name="PO_默认文件内容_18"/>
      <w:r>
        <w:rPr>
          <w:rFonts w:hint="eastAsia" w:ascii="仿宋" w:hAnsi="仿宋" w:eastAsia="仿宋" w:cs="仿宋"/>
          <w:b/>
          <w:bCs/>
          <w:color w:val="auto"/>
          <w:kern w:val="2"/>
          <w:sz w:val="24"/>
          <w:szCs w:val="24"/>
          <w:highlight w:val="none"/>
          <w:lang w:val="en-US" w:eastAsia="zh-CN" w:bidi="ar-SA"/>
        </w:rPr>
        <w:t>本项目不组织答疑会和现场考察，但投标人自行考察现场所发生的一切费用由投标人自己承担。</w:t>
      </w:r>
    </w:p>
    <w:p w14:paraId="2AEDE0DA">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highlight w:val="none"/>
        </w:rPr>
      </w:pPr>
      <w:bookmarkStart w:id="72" w:name="_Toc26576"/>
      <w:r>
        <w:rPr>
          <w:rFonts w:hint="eastAsia" w:ascii="仿宋" w:hAnsi="仿宋" w:eastAsia="仿宋" w:cs="仿宋"/>
          <w:b/>
          <w:bCs/>
          <w:color w:val="auto"/>
          <w:highlight w:val="none"/>
        </w:rPr>
        <w:t>四、投标文件</w:t>
      </w:r>
      <w:bookmarkEnd w:id="64"/>
      <w:bookmarkEnd w:id="65"/>
      <w:bookmarkEnd w:id="66"/>
      <w:bookmarkEnd w:id="67"/>
      <w:bookmarkEnd w:id="68"/>
      <w:bookmarkEnd w:id="69"/>
      <w:bookmarkEnd w:id="70"/>
      <w:bookmarkEnd w:id="72"/>
    </w:p>
    <w:p w14:paraId="20175434">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Cs w:val="0"/>
          <w:color w:val="auto"/>
          <w:sz w:val="24"/>
        </w:rPr>
      </w:pPr>
      <w:bookmarkStart w:id="73" w:name="_Toc217446043"/>
      <w:bookmarkStart w:id="74" w:name="_Toc183682352"/>
      <w:bookmarkStart w:id="75" w:name="_Toc183582215"/>
      <w:bookmarkStart w:id="76" w:name="_Toc79959172"/>
      <w:r>
        <w:rPr>
          <w:rFonts w:hint="eastAsia" w:ascii="仿宋" w:hAnsi="仿宋" w:eastAsia="仿宋"/>
          <w:b/>
          <w:bCs/>
          <w:color w:val="auto"/>
          <w:sz w:val="24"/>
        </w:rPr>
        <w:t>9．投标文件的语言</w:t>
      </w:r>
      <w:bookmarkEnd w:id="73"/>
      <w:bookmarkEnd w:id="74"/>
      <w:bookmarkEnd w:id="75"/>
      <w:r>
        <w:rPr>
          <w:rFonts w:hint="eastAsia" w:ascii="仿宋" w:hAnsi="仿宋" w:eastAsia="仿宋"/>
          <w:b/>
          <w:bCs/>
          <w:color w:val="auto"/>
          <w:sz w:val="24"/>
          <w:szCs w:val="24"/>
        </w:rPr>
        <w:t>（实质性要求）</w:t>
      </w:r>
      <w:bookmarkEnd w:id="76"/>
    </w:p>
    <w:p w14:paraId="21E6531F">
      <w:pPr>
        <w:keepNext w:val="0"/>
        <w:keepLines w:val="0"/>
        <w:pageBreakBefore w:val="0"/>
        <w:widowControl w:val="0"/>
        <w:tabs>
          <w:tab w:val="left" w:pos="1134"/>
        </w:tabs>
        <w:kinsoku/>
        <w:wordWrap/>
        <w:overflowPunct/>
        <w:topLinePunct w:val="0"/>
        <w:autoSpaceDE/>
        <w:autoSpaceDN/>
        <w:bidi w:val="0"/>
        <w:snapToGrid/>
        <w:spacing w:after="0" w:line="360" w:lineRule="auto"/>
        <w:ind w:firstLine="480" w:firstLineChars="200"/>
        <w:jc w:val="left"/>
        <w:outlineLvl w:val="9"/>
        <w:rPr>
          <w:rFonts w:hint="eastAsia" w:ascii="仿宋" w:hAnsi="仿宋" w:eastAsia="仿宋"/>
          <w:color w:val="auto"/>
          <w:sz w:val="24"/>
          <w:lang w:eastAsia="zh-CN"/>
        </w:rPr>
      </w:pPr>
      <w:bookmarkStart w:id="77" w:name="_Toc183582216"/>
      <w:bookmarkStart w:id="78" w:name="_Toc183682353"/>
      <w:bookmarkStart w:id="79" w:name="_Toc217446044"/>
      <w:r>
        <w:rPr>
          <w:rFonts w:hint="eastAsia" w:ascii="仿宋" w:hAnsi="仿宋" w:eastAsia="仿宋"/>
          <w:color w:val="auto"/>
          <w:sz w:val="24"/>
        </w:rPr>
        <w:t>9.1 投标人提交的投标文件以及投标人与招标采购单位就有关投标的所有来往书面文件均须使用中文</w:t>
      </w:r>
      <w:r>
        <w:rPr>
          <w:rFonts w:hint="eastAsia" w:ascii="仿宋" w:hAnsi="仿宋" w:eastAsia="仿宋"/>
          <w:color w:val="auto"/>
          <w:sz w:val="24"/>
          <w:lang w:eastAsia="zh-CN"/>
        </w:rPr>
        <w:t>，</w:t>
      </w:r>
      <w:r>
        <w:rPr>
          <w:rFonts w:hint="eastAsia" w:ascii="仿宋" w:hAnsi="仿宋" w:eastAsia="仿宋" w:cs="仿宋"/>
          <w:b w:val="0"/>
          <w:bCs w:val="0"/>
          <w:color w:val="auto"/>
          <w:kern w:val="2"/>
          <w:sz w:val="24"/>
          <w:szCs w:val="24"/>
          <w:highlight w:val="none"/>
          <w:lang w:val="en-US" w:eastAsia="zh-CN" w:bidi="ar-SA"/>
        </w:rPr>
        <w:t>除对于一些行业标准、国家标准、国际标准等需要以非中文表述且不宜翻译为中文的以外。</w:t>
      </w:r>
      <w:r>
        <w:rPr>
          <w:rFonts w:hint="eastAsia" w:ascii="仿宋" w:hAnsi="仿宋" w:eastAsia="仿宋" w:cs="仿宋"/>
          <w:b w:val="0"/>
          <w:bCs w:val="0"/>
          <w:color w:val="auto"/>
          <w:kern w:val="2"/>
          <w:sz w:val="24"/>
          <w:szCs w:val="24"/>
          <w:highlight w:val="none"/>
          <w:lang w:val="en-US" w:eastAsia="zh-CN" w:bidi="ar-SA"/>
        </w:rPr>
        <w:t>投标文件中如附有外文资料，必须逐一对应翻译成中文并加盖投标人单位公章后附在相关外文资料后面，否则，所提供的外文资料将可能被视为无效材料。（说明：投标人的法定代表人为外籍人士的，法定代表人的签字和护照除外。）</w:t>
      </w:r>
    </w:p>
    <w:p w14:paraId="11D0D025">
      <w:pPr>
        <w:keepNext w:val="0"/>
        <w:keepLines w:val="0"/>
        <w:pageBreakBefore w:val="0"/>
        <w:widowControl w:val="0"/>
        <w:tabs>
          <w:tab w:val="left" w:pos="1134"/>
        </w:tabs>
        <w:kinsoku/>
        <w:wordWrap/>
        <w:overflowPunct/>
        <w:topLinePunct w:val="0"/>
        <w:autoSpaceDE/>
        <w:autoSpaceDN/>
        <w:bidi w:val="0"/>
        <w:snapToGrid/>
        <w:spacing w:after="0" w:line="360" w:lineRule="auto"/>
        <w:ind w:firstLine="480" w:firstLineChars="200"/>
        <w:jc w:val="left"/>
        <w:outlineLvl w:val="9"/>
        <w:rPr>
          <w:rFonts w:ascii="仿宋" w:hAnsi="仿宋" w:eastAsia="仿宋"/>
          <w:color w:val="auto"/>
          <w:sz w:val="24"/>
        </w:rPr>
      </w:pPr>
      <w:r>
        <w:rPr>
          <w:rFonts w:hint="eastAsia" w:ascii="仿宋" w:hAnsi="仿宋" w:eastAsia="仿宋"/>
          <w:color w:val="auto"/>
          <w:sz w:val="24"/>
        </w:rPr>
        <w:t>9.2 翻译的中文资料与外文资料如果出现差异和矛盾时，以中文为准。涉嫌虚假响应的按照相关法律法规处理。</w:t>
      </w:r>
    </w:p>
    <w:p w14:paraId="1BBCE10A">
      <w:pPr>
        <w:keepNext w:val="0"/>
        <w:keepLines w:val="0"/>
        <w:pageBreakBefore w:val="0"/>
        <w:widowControl w:val="0"/>
        <w:kinsoku/>
        <w:wordWrap/>
        <w:overflowPunct/>
        <w:topLinePunct w:val="0"/>
        <w:autoSpaceDE/>
        <w:autoSpaceDN/>
        <w:bidi w:val="0"/>
        <w:snapToGrid/>
        <w:spacing w:after="0" w:line="360" w:lineRule="auto"/>
        <w:ind w:firstLine="480" w:firstLineChars="200"/>
        <w:outlineLvl w:val="9"/>
        <w:rPr>
          <w:rFonts w:ascii="仿宋" w:hAnsi="仿宋" w:eastAsia="仿宋" w:cs="宋体"/>
          <w:color w:val="auto"/>
          <w:sz w:val="24"/>
        </w:rPr>
      </w:pPr>
      <w:r>
        <w:rPr>
          <w:rFonts w:hint="eastAsia" w:ascii="仿宋" w:hAnsi="仿宋" w:eastAsia="仿宋" w:cs="宋体"/>
          <w:color w:val="auto"/>
          <w:sz w:val="24"/>
        </w:rPr>
        <w:t>9.3 如因未翻译而造成的废标，由投标人承担。</w:t>
      </w:r>
    </w:p>
    <w:p w14:paraId="4A48F3B3">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color w:val="auto"/>
          <w:sz w:val="24"/>
        </w:rPr>
      </w:pPr>
      <w:bookmarkStart w:id="80" w:name="_Toc79959173"/>
      <w:r>
        <w:rPr>
          <w:rFonts w:hint="eastAsia" w:ascii="仿宋" w:hAnsi="仿宋" w:eastAsia="仿宋"/>
          <w:b/>
          <w:bCs/>
          <w:color w:val="auto"/>
          <w:sz w:val="24"/>
        </w:rPr>
        <w:t>10．计量单位</w:t>
      </w:r>
      <w:bookmarkEnd w:id="77"/>
      <w:bookmarkEnd w:id="78"/>
      <w:bookmarkEnd w:id="79"/>
      <w:r>
        <w:rPr>
          <w:rFonts w:hint="eastAsia" w:ascii="仿宋" w:hAnsi="仿宋" w:eastAsia="仿宋"/>
          <w:b/>
          <w:bCs/>
          <w:color w:val="auto"/>
          <w:sz w:val="24"/>
          <w:szCs w:val="24"/>
        </w:rPr>
        <w:t>（实质性要求）</w:t>
      </w:r>
      <w:bookmarkEnd w:id="80"/>
    </w:p>
    <w:p w14:paraId="6A7D88BF">
      <w:pPr>
        <w:keepNext w:val="0"/>
        <w:keepLines w:val="0"/>
        <w:pageBreakBefore w:val="0"/>
        <w:widowControl w:val="0"/>
        <w:kinsoku/>
        <w:wordWrap/>
        <w:overflowPunct/>
        <w:topLinePunct w:val="0"/>
        <w:autoSpaceDE/>
        <w:autoSpaceDN/>
        <w:bidi w:val="0"/>
        <w:snapToGrid/>
        <w:spacing w:after="0" w:line="360" w:lineRule="auto"/>
        <w:ind w:firstLine="470" w:firstLineChars="196"/>
        <w:outlineLvl w:val="9"/>
        <w:rPr>
          <w:rFonts w:ascii="仿宋" w:hAnsi="仿宋" w:eastAsia="仿宋"/>
          <w:color w:val="auto"/>
          <w:sz w:val="24"/>
        </w:rPr>
      </w:pPr>
      <w:r>
        <w:rPr>
          <w:rFonts w:hint="eastAsia" w:ascii="仿宋" w:hAnsi="仿宋" w:eastAsia="仿宋"/>
          <w:color w:val="auto"/>
          <w:sz w:val="24"/>
        </w:rPr>
        <w:t>除招标文件中另有规定外，本次采购项目所有合同项下的投标均采用国家法定的计量单位。</w:t>
      </w:r>
    </w:p>
    <w:p w14:paraId="1F5935E9">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color w:val="auto"/>
          <w:sz w:val="24"/>
        </w:rPr>
      </w:pPr>
      <w:bookmarkStart w:id="81" w:name="_Toc217446045"/>
      <w:bookmarkStart w:id="82" w:name="_Toc79959174"/>
      <w:r>
        <w:rPr>
          <w:rFonts w:hint="eastAsia" w:ascii="仿宋" w:hAnsi="仿宋" w:eastAsia="仿宋"/>
          <w:b/>
          <w:bCs/>
          <w:color w:val="auto"/>
          <w:sz w:val="24"/>
        </w:rPr>
        <w:t>11. 投标货币</w:t>
      </w:r>
      <w:bookmarkEnd w:id="81"/>
      <w:r>
        <w:rPr>
          <w:rFonts w:hint="eastAsia" w:ascii="仿宋" w:hAnsi="仿宋" w:eastAsia="仿宋"/>
          <w:b/>
          <w:bCs/>
          <w:color w:val="auto"/>
          <w:sz w:val="24"/>
        </w:rPr>
        <w:t>（实质性要求）</w:t>
      </w:r>
      <w:bookmarkEnd w:id="82"/>
    </w:p>
    <w:p w14:paraId="63B16A0C">
      <w:pPr>
        <w:keepNext w:val="0"/>
        <w:keepLines w:val="0"/>
        <w:pageBreakBefore w:val="0"/>
        <w:widowControl w:val="0"/>
        <w:kinsoku/>
        <w:wordWrap/>
        <w:overflowPunct/>
        <w:topLinePunct w:val="0"/>
        <w:autoSpaceDE/>
        <w:autoSpaceDN/>
        <w:bidi w:val="0"/>
        <w:snapToGrid/>
        <w:spacing w:after="0" w:line="360" w:lineRule="auto"/>
        <w:ind w:firstLine="470" w:firstLineChars="196"/>
        <w:outlineLvl w:val="9"/>
        <w:rPr>
          <w:rFonts w:ascii="仿宋" w:hAnsi="仿宋" w:eastAsia="仿宋"/>
          <w:color w:val="auto"/>
          <w:sz w:val="24"/>
        </w:rPr>
      </w:pPr>
      <w:r>
        <w:rPr>
          <w:rFonts w:hint="eastAsia" w:ascii="仿宋" w:hAnsi="仿宋" w:eastAsia="仿宋"/>
          <w:color w:val="auto"/>
          <w:sz w:val="24"/>
        </w:rPr>
        <w:t>本次招标项目的投标均以人民币报价。</w:t>
      </w:r>
    </w:p>
    <w:p w14:paraId="2FC206B6">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
          <w:bCs/>
          <w:color w:val="auto"/>
          <w:sz w:val="24"/>
        </w:rPr>
      </w:pPr>
      <w:bookmarkStart w:id="83" w:name="_Toc79959175"/>
      <w:bookmarkStart w:id="84" w:name="_Toc217446046"/>
      <w:r>
        <w:rPr>
          <w:rFonts w:hint="eastAsia" w:ascii="仿宋" w:hAnsi="仿宋" w:eastAsia="仿宋"/>
          <w:b/>
          <w:bCs/>
          <w:color w:val="auto"/>
          <w:sz w:val="24"/>
        </w:rPr>
        <w:t>12. 联</w:t>
      </w:r>
      <w:r>
        <w:rPr>
          <w:rFonts w:hint="eastAsia" w:ascii="仿宋" w:hAnsi="仿宋" w:eastAsia="仿宋"/>
          <w:b/>
          <w:bCs/>
          <w:color w:val="auto"/>
          <w:sz w:val="24"/>
        </w:rPr>
        <w:t>合体</w:t>
      </w:r>
      <w:bookmarkEnd w:id="83"/>
      <w:bookmarkEnd w:id="84"/>
      <w:r>
        <w:rPr>
          <w:rFonts w:hint="eastAsia" w:ascii="仿宋" w:hAnsi="仿宋" w:eastAsia="仿宋" w:cs="仿宋"/>
          <w:b/>
          <w:bCs/>
          <w:color w:val="auto"/>
          <w:kern w:val="2"/>
          <w:sz w:val="24"/>
          <w:szCs w:val="24"/>
          <w:highlight w:val="none"/>
          <w:lang w:val="en-US" w:eastAsia="zh-CN" w:bidi="ar-SA"/>
        </w:rPr>
        <w:t>（实质性要求）</w:t>
      </w:r>
    </w:p>
    <w:p w14:paraId="2BD786B0">
      <w:pPr>
        <w:keepNext w:val="0"/>
        <w:keepLines w:val="0"/>
        <w:pageBreakBefore w:val="0"/>
        <w:widowControl w:val="0"/>
        <w:kinsoku/>
        <w:wordWrap/>
        <w:overflowPunct/>
        <w:topLinePunct w:val="0"/>
        <w:autoSpaceDE/>
        <w:autoSpaceDN/>
        <w:bidi w:val="0"/>
        <w:snapToGrid/>
        <w:spacing w:after="0" w:line="360" w:lineRule="auto"/>
        <w:ind w:firstLine="470" w:firstLineChars="196"/>
        <w:outlineLvl w:val="9"/>
        <w:rPr>
          <w:rFonts w:hint="eastAsia" w:ascii="仿宋" w:hAnsi="仿宋" w:eastAsia="仿宋"/>
          <w:color w:val="auto"/>
          <w:sz w:val="24"/>
          <w:lang w:val="en-US" w:eastAsia="zh-CN"/>
        </w:rPr>
      </w:pPr>
      <w:bookmarkStart w:id="85" w:name="_Toc308164797"/>
      <w:bookmarkStart w:id="86" w:name="_Toc217446047"/>
      <w:bookmarkStart w:id="87" w:name="_Toc79959176"/>
      <w:r>
        <w:rPr>
          <w:rFonts w:hint="eastAsia" w:ascii="仿宋" w:hAnsi="仿宋" w:eastAsia="仿宋"/>
          <w:color w:val="auto"/>
          <w:sz w:val="24"/>
          <w:lang w:val="en-US" w:eastAsia="zh-CN"/>
        </w:rPr>
        <w:t>本次招标活动</w:t>
      </w:r>
      <w:r>
        <w:rPr>
          <w:rFonts w:hint="eastAsia" w:ascii="仿宋" w:hAnsi="仿宋" w:eastAsia="仿宋"/>
          <w:b/>
          <w:bCs/>
          <w:color w:val="auto"/>
          <w:sz w:val="24"/>
          <w:lang w:val="en-US" w:eastAsia="zh-CN"/>
        </w:rPr>
        <w:t>不允许</w:t>
      </w:r>
      <w:r>
        <w:rPr>
          <w:rFonts w:hint="eastAsia" w:ascii="仿宋" w:hAnsi="仿宋" w:eastAsia="仿宋"/>
          <w:color w:val="auto"/>
          <w:sz w:val="24"/>
          <w:lang w:val="en-US" w:eastAsia="zh-CN"/>
        </w:rPr>
        <w:t>联合体投标。</w:t>
      </w:r>
    </w:p>
    <w:p w14:paraId="0F6C2066">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color w:val="auto"/>
          <w:sz w:val="24"/>
        </w:rPr>
      </w:pPr>
      <w:r>
        <w:rPr>
          <w:rFonts w:hint="eastAsia" w:ascii="仿宋" w:hAnsi="仿宋" w:eastAsia="仿宋"/>
          <w:b/>
          <w:bCs/>
          <w:color w:val="auto"/>
          <w:sz w:val="24"/>
        </w:rPr>
        <w:t>13. 知识产权</w:t>
      </w:r>
      <w:bookmarkEnd w:id="85"/>
      <w:bookmarkEnd w:id="86"/>
      <w:bookmarkEnd w:id="87"/>
      <w:r>
        <w:rPr>
          <w:rFonts w:hint="eastAsia" w:ascii="仿宋" w:hAnsi="仿宋" w:eastAsia="仿宋"/>
          <w:b/>
          <w:bCs/>
          <w:color w:val="auto"/>
          <w:sz w:val="24"/>
          <w:lang w:eastAsia="zh-CN"/>
        </w:rPr>
        <w:t>（实质性要求）</w:t>
      </w:r>
    </w:p>
    <w:p w14:paraId="6D2046A9">
      <w:pPr>
        <w:pStyle w:val="11"/>
        <w:keepNext w:val="0"/>
        <w:keepLines w:val="0"/>
        <w:pageBreakBefore w:val="0"/>
        <w:widowControl w:val="0"/>
        <w:kinsoku/>
        <w:wordWrap/>
        <w:overflowPunct/>
        <w:topLinePunct w:val="0"/>
        <w:autoSpaceDE/>
        <w:autoSpaceDN/>
        <w:bidi w:val="0"/>
        <w:snapToGrid/>
        <w:spacing w:before="0" w:after="0" w:line="360" w:lineRule="auto"/>
        <w:ind w:firstLine="480" w:firstLineChars="200"/>
        <w:outlineLvl w:val="9"/>
        <w:rPr>
          <w:rFonts w:ascii="仿宋" w:hAnsi="仿宋" w:eastAsia="仿宋"/>
          <w:color w:val="auto"/>
          <w:szCs w:val="24"/>
        </w:rPr>
      </w:pPr>
      <w:r>
        <w:rPr>
          <w:rFonts w:hint="eastAsia" w:ascii="仿宋" w:hAnsi="仿宋" w:eastAsia="仿宋"/>
          <w:color w:val="auto"/>
          <w:szCs w:val="24"/>
        </w:rPr>
        <w:t>13.1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5809E02C">
      <w:pPr>
        <w:keepNext w:val="0"/>
        <w:keepLines w:val="0"/>
        <w:pageBreakBefore w:val="0"/>
        <w:widowControl w:val="0"/>
        <w:kinsoku/>
        <w:wordWrap/>
        <w:overflowPunct/>
        <w:topLinePunct w:val="0"/>
        <w:autoSpaceDE/>
        <w:autoSpaceDN/>
        <w:bidi w:val="0"/>
        <w:snapToGrid/>
        <w:spacing w:after="0" w:line="360" w:lineRule="auto"/>
        <w:ind w:firstLine="480" w:firstLineChars="200"/>
        <w:outlineLvl w:val="9"/>
        <w:rPr>
          <w:rFonts w:hint="eastAsia" w:ascii="仿宋" w:hAnsi="仿宋" w:eastAsia="仿宋"/>
          <w:color w:val="auto"/>
          <w:sz w:val="24"/>
        </w:rPr>
      </w:pPr>
      <w:r>
        <w:rPr>
          <w:rFonts w:hint="eastAsia" w:ascii="仿宋" w:hAnsi="仿宋" w:eastAsia="仿宋"/>
          <w:color w:val="auto"/>
          <w:sz w:val="24"/>
        </w:rPr>
        <w:t>13.2 招标人享有本项目实施过程中产生的知识成果及知识产权。</w:t>
      </w:r>
    </w:p>
    <w:p w14:paraId="0C1E25CC">
      <w:pPr>
        <w:keepNext w:val="0"/>
        <w:keepLines w:val="0"/>
        <w:pageBreakBefore w:val="0"/>
        <w:widowControl w:val="0"/>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13.</w:t>
      </w:r>
      <w:r>
        <w:rPr>
          <w:rFonts w:hint="eastAsia" w:ascii="仿宋" w:hAnsi="仿宋" w:eastAsia="仿宋"/>
          <w:color w:val="auto"/>
          <w:sz w:val="24"/>
          <w:lang w:val="en-US" w:eastAsia="zh-CN"/>
        </w:rPr>
        <w:t>3</w:t>
      </w:r>
      <w:r>
        <w:rPr>
          <w:rFonts w:hint="eastAsia" w:ascii="仿宋" w:hAnsi="仿宋" w:eastAsia="仿宋"/>
          <w:color w:val="auto"/>
          <w:sz w:val="24"/>
        </w:rPr>
        <w:t xml:space="preserve"> </w:t>
      </w:r>
      <w:r>
        <w:rPr>
          <w:rFonts w:hint="eastAsia" w:ascii="仿宋" w:hAnsi="仿宋" w:eastAsia="仿宋" w:cs="仿宋"/>
          <w:b w:val="0"/>
          <w:bCs w:val="0"/>
          <w:color w:val="auto"/>
          <w:kern w:val="2"/>
          <w:sz w:val="24"/>
          <w:szCs w:val="24"/>
          <w:highlight w:val="none"/>
          <w:lang w:val="en-US" w:eastAsia="zh-CN" w:bidi="ar-SA"/>
        </w:rPr>
        <w:t>投标人如欲在项目实施过程中采用自有知识成果，需在投标文件中声明，并提供相关知识产权证明文件。使用该知识成果后，投标人需提供开发接口和开发手册等技术文档，并承诺提供无限期技术支持，招标人享有永久使用权（含招标人委托第三方在该项目后续开发的使用权）。</w:t>
      </w:r>
    </w:p>
    <w:p w14:paraId="54E1B477">
      <w:pPr>
        <w:keepNext w:val="0"/>
        <w:keepLines w:val="0"/>
        <w:pageBreakBefore w:val="0"/>
        <w:widowControl w:val="0"/>
        <w:kinsoku/>
        <w:wordWrap/>
        <w:overflowPunct/>
        <w:topLinePunct w:val="0"/>
        <w:autoSpaceDE/>
        <w:autoSpaceDN/>
        <w:bidi w:val="0"/>
        <w:snapToGrid/>
        <w:spacing w:after="0" w:line="360" w:lineRule="auto"/>
        <w:ind w:firstLine="460" w:firstLineChars="192"/>
        <w:outlineLvl w:val="9"/>
        <w:rPr>
          <w:rFonts w:ascii="仿宋" w:hAnsi="仿宋" w:eastAsia="仿宋"/>
          <w:color w:val="auto"/>
          <w:sz w:val="24"/>
        </w:rPr>
      </w:pPr>
      <w:r>
        <w:rPr>
          <w:rFonts w:hint="eastAsia" w:ascii="仿宋" w:hAnsi="仿宋" w:eastAsia="仿宋"/>
          <w:color w:val="auto"/>
          <w:sz w:val="24"/>
        </w:rPr>
        <w:t>13.</w:t>
      </w:r>
      <w:r>
        <w:rPr>
          <w:rFonts w:hint="eastAsia" w:ascii="仿宋" w:hAnsi="仿宋" w:eastAsia="仿宋"/>
          <w:color w:val="auto"/>
          <w:sz w:val="24"/>
          <w:lang w:val="en-US" w:eastAsia="zh-CN"/>
        </w:rPr>
        <w:t>4</w:t>
      </w:r>
      <w:r>
        <w:rPr>
          <w:rFonts w:hint="eastAsia" w:ascii="仿宋" w:hAnsi="仿宋" w:eastAsia="仿宋"/>
          <w:color w:val="auto"/>
          <w:sz w:val="24"/>
        </w:rPr>
        <w:t xml:space="preserve">如采用投标人所不拥有的知识产权，则在投标报价中必须包括合法获取该知识产权的相关费用。 </w:t>
      </w:r>
    </w:p>
    <w:p w14:paraId="05FDF00A">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
          <w:bCs/>
          <w:color w:val="auto"/>
          <w:sz w:val="24"/>
        </w:rPr>
      </w:pPr>
      <w:bookmarkStart w:id="88" w:name="_Toc217446048"/>
      <w:bookmarkStart w:id="89" w:name="_Toc183682354"/>
      <w:bookmarkStart w:id="90" w:name="_Toc308164798"/>
      <w:bookmarkStart w:id="91" w:name="_Toc183582217"/>
      <w:bookmarkStart w:id="92" w:name="_Toc79959177"/>
      <w:r>
        <w:rPr>
          <w:rFonts w:hint="eastAsia" w:ascii="仿宋" w:hAnsi="仿宋" w:eastAsia="仿宋"/>
          <w:b/>
          <w:bCs/>
          <w:color w:val="auto"/>
          <w:sz w:val="24"/>
        </w:rPr>
        <w:t>14．投标文件的组成</w:t>
      </w:r>
      <w:bookmarkEnd w:id="88"/>
      <w:bookmarkEnd w:id="89"/>
      <w:bookmarkEnd w:id="90"/>
      <w:bookmarkEnd w:id="91"/>
      <w:bookmarkEnd w:id="92"/>
    </w:p>
    <w:p w14:paraId="5A0F6DB1">
      <w:pPr>
        <w:keepNext w:val="0"/>
        <w:keepLines w:val="0"/>
        <w:pageBreakBefore w:val="0"/>
        <w:widowControl w:val="0"/>
        <w:kinsoku/>
        <w:wordWrap/>
        <w:overflowPunct/>
        <w:topLinePunct w:val="0"/>
        <w:autoSpaceDE/>
        <w:autoSpaceDN/>
        <w:bidi w:val="0"/>
        <w:snapToGrid/>
        <w:spacing w:after="0" w:line="360" w:lineRule="auto"/>
        <w:ind w:firstLine="480" w:firstLineChars="200"/>
        <w:outlineLvl w:val="9"/>
        <w:rPr>
          <w:rFonts w:hint="eastAsia" w:ascii="仿宋" w:hAnsi="仿宋" w:eastAsia="仿宋"/>
          <w:color w:val="auto"/>
          <w:sz w:val="24"/>
          <w:lang w:eastAsia="zh-CN"/>
        </w:rPr>
      </w:pPr>
      <w:r>
        <w:rPr>
          <w:rFonts w:hint="eastAsia" w:ascii="仿宋" w:hAnsi="仿宋" w:eastAsia="仿宋"/>
          <w:color w:val="auto"/>
          <w:sz w:val="24"/>
        </w:rPr>
        <w:t>投标人应按照招标文件的规定和要求编制投标文件。投标人编写的投标文件应至少包括：</w:t>
      </w:r>
      <w:r>
        <w:rPr>
          <w:rFonts w:hint="eastAsia" w:ascii="仿宋" w:hAnsi="仿宋" w:eastAsia="仿宋"/>
          <w:b/>
          <w:bCs/>
          <w:color w:val="auto"/>
          <w:sz w:val="24"/>
          <w:lang w:eastAsia="zh-CN"/>
        </w:rPr>
        <w:t>资格技术投标文件、开标一览表、投标文件电子档。</w:t>
      </w:r>
    </w:p>
    <w:p w14:paraId="7AD6F0A5">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hint="eastAsia" w:ascii="仿宋" w:hAnsi="仿宋" w:eastAsia="仿宋"/>
          <w:b/>
          <w:color w:val="auto"/>
          <w:sz w:val="24"/>
          <w:lang w:eastAsia="zh-CN"/>
        </w:rPr>
      </w:pPr>
      <w:r>
        <w:rPr>
          <w:rFonts w:hint="eastAsia" w:ascii="仿宋" w:hAnsi="仿宋" w:eastAsia="仿宋"/>
          <w:b/>
          <w:color w:val="auto"/>
          <w:sz w:val="24"/>
          <w:lang w:val="en-US" w:eastAsia="zh-CN"/>
        </w:rPr>
        <w:t>14.1</w:t>
      </w:r>
      <w:r>
        <w:rPr>
          <w:rFonts w:hint="eastAsia" w:ascii="仿宋" w:hAnsi="仿宋" w:eastAsia="仿宋"/>
          <w:b/>
          <w:color w:val="auto"/>
          <w:sz w:val="24"/>
        </w:rPr>
        <w:t>文件一：</w:t>
      </w:r>
      <w:r>
        <w:rPr>
          <w:rFonts w:hint="eastAsia" w:ascii="仿宋" w:hAnsi="仿宋" w:eastAsia="仿宋"/>
          <w:b/>
          <w:color w:val="auto"/>
          <w:sz w:val="24"/>
          <w:lang w:eastAsia="zh-CN"/>
        </w:rPr>
        <w:t>资格技术</w:t>
      </w:r>
      <w:r>
        <w:rPr>
          <w:rFonts w:hint="eastAsia" w:ascii="仿宋" w:hAnsi="仿宋" w:eastAsia="仿宋"/>
          <w:b/>
          <w:color w:val="auto"/>
          <w:sz w:val="24"/>
        </w:rPr>
        <w:t>投标文件</w:t>
      </w:r>
      <w:r>
        <w:rPr>
          <w:rFonts w:hint="eastAsia" w:ascii="仿宋" w:hAnsi="仿宋" w:eastAsia="仿宋"/>
          <w:b/>
          <w:color w:val="auto"/>
          <w:sz w:val="24"/>
          <w:lang w:eastAsia="zh-CN"/>
        </w:rPr>
        <w:t>（实质性要求）</w:t>
      </w:r>
    </w:p>
    <w:p w14:paraId="3A1761D9">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color w:val="auto"/>
          <w:sz w:val="24"/>
        </w:rPr>
      </w:pPr>
      <w:r>
        <w:rPr>
          <w:rFonts w:hint="eastAsia" w:ascii="仿宋" w:hAnsi="仿宋" w:eastAsia="仿宋"/>
          <w:b/>
          <w:bCs/>
          <w:color w:val="auto"/>
          <w:sz w:val="24"/>
          <w:lang w:eastAsia="zh-CN"/>
        </w:rPr>
        <w:t>（</w:t>
      </w:r>
      <w:r>
        <w:rPr>
          <w:rFonts w:hint="eastAsia" w:ascii="仿宋" w:hAnsi="仿宋" w:eastAsia="仿宋"/>
          <w:b/>
          <w:bCs/>
          <w:color w:val="auto"/>
          <w:sz w:val="24"/>
          <w:lang w:val="en-US" w:eastAsia="zh-CN"/>
        </w:rPr>
        <w:t>一</w:t>
      </w:r>
      <w:r>
        <w:rPr>
          <w:rFonts w:hint="eastAsia" w:ascii="仿宋" w:hAnsi="仿宋" w:eastAsia="仿宋"/>
          <w:b/>
          <w:bCs/>
          <w:color w:val="auto"/>
          <w:sz w:val="24"/>
          <w:lang w:eastAsia="zh-CN"/>
        </w:rPr>
        <w:t>）</w:t>
      </w:r>
      <w:r>
        <w:rPr>
          <w:rFonts w:hint="eastAsia" w:ascii="仿宋" w:hAnsi="仿宋" w:eastAsia="仿宋" w:cs="仿宋"/>
          <w:b/>
          <w:bCs/>
          <w:color w:val="auto"/>
          <w:sz w:val="24"/>
          <w:szCs w:val="24"/>
          <w:highlight w:val="none"/>
          <w:lang w:val="en-US" w:eastAsia="zh-CN"/>
        </w:rPr>
        <w:t>（实质性要求）</w:t>
      </w:r>
      <w:r>
        <w:rPr>
          <w:rFonts w:hint="eastAsia" w:ascii="仿宋" w:hAnsi="仿宋" w:eastAsia="仿宋"/>
          <w:b/>
          <w:bCs/>
          <w:color w:val="auto"/>
          <w:sz w:val="24"/>
          <w:lang w:eastAsia="zh-CN"/>
        </w:rPr>
        <w:t>资格部分：</w:t>
      </w:r>
      <w:r>
        <w:rPr>
          <w:rFonts w:hint="eastAsia" w:ascii="仿宋" w:hAnsi="仿宋" w:eastAsia="仿宋"/>
          <w:color w:val="auto"/>
          <w:sz w:val="24"/>
        </w:rPr>
        <w:t>严格按照第四、五章要求提供相关资格、资质性及其他类似效力要求的相</w:t>
      </w:r>
      <w:r>
        <w:rPr>
          <w:rFonts w:hint="eastAsia" w:ascii="仿宋" w:hAnsi="仿宋" w:eastAsia="仿宋"/>
          <w:color w:val="auto"/>
          <w:sz w:val="24"/>
        </w:rPr>
        <w:t>关证明材料。</w:t>
      </w:r>
      <w:r>
        <w:rPr>
          <w:rFonts w:hint="eastAsia" w:ascii="仿宋" w:hAnsi="仿宋" w:eastAsia="仿宋" w:cs="仿宋"/>
          <w:b w:val="0"/>
          <w:bCs w:val="0"/>
          <w:color w:val="auto"/>
          <w:sz w:val="24"/>
          <w:szCs w:val="24"/>
          <w:highlight w:val="none"/>
          <w:lang w:val="en-US" w:eastAsia="zh-CN"/>
        </w:rPr>
        <w:t>（格式详见第三章）</w:t>
      </w:r>
    </w:p>
    <w:p w14:paraId="4152736B">
      <w:pPr>
        <w:pStyle w:val="1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b/>
          <w:bCs/>
          <w:color w:val="auto"/>
          <w:sz w:val="24"/>
          <w:lang w:eastAsia="zh-CN"/>
        </w:rPr>
        <w:t>（二）</w:t>
      </w:r>
      <w:r>
        <w:rPr>
          <w:rFonts w:hint="eastAsia" w:ascii="仿宋" w:hAnsi="仿宋" w:eastAsia="仿宋" w:cs="仿宋"/>
          <w:b/>
          <w:bCs/>
          <w:color w:val="auto"/>
          <w:sz w:val="24"/>
          <w:szCs w:val="24"/>
        </w:rPr>
        <w:t>技术部分：</w:t>
      </w:r>
    </w:p>
    <w:p w14:paraId="1438B309">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）投标产品相关资料：（投标人根据自身投标产品信息提供，格式自拟）</w:t>
      </w:r>
    </w:p>
    <w:p w14:paraId="1CE270D6">
      <w:pPr>
        <w:pStyle w:val="12"/>
        <w:keepNext w:val="0"/>
        <w:keepLines w:val="0"/>
        <w:pageBreakBefore w:val="0"/>
        <w:widowControl w:val="0"/>
        <w:kinsoku/>
        <w:wordWrap/>
        <w:overflowPunct/>
        <w:topLinePunct w:val="0"/>
        <w:autoSpaceDE/>
        <w:autoSpaceDN/>
        <w:bidi w:val="0"/>
        <w:adjustRightInd/>
        <w:snapToGrid/>
        <w:spacing w:after="0" w:line="360" w:lineRule="auto"/>
        <w:ind w:firstLine="720" w:firstLineChars="3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①</w:t>
      </w:r>
      <w:r>
        <w:rPr>
          <w:rFonts w:hint="eastAsia" w:ascii="仿宋" w:hAnsi="仿宋" w:eastAsia="仿宋" w:cs="仿宋"/>
          <w:color w:val="auto"/>
          <w:sz w:val="24"/>
          <w:szCs w:val="24"/>
          <w:lang w:eastAsia="zh-CN"/>
        </w:rPr>
        <w:t>投标产品的制造商、品牌、规格型号、配置（包括详细的技术指标和参数）；</w:t>
      </w:r>
    </w:p>
    <w:p w14:paraId="35FB2199">
      <w:pPr>
        <w:pStyle w:val="12"/>
        <w:keepNext w:val="0"/>
        <w:keepLines w:val="0"/>
        <w:pageBreakBefore w:val="0"/>
        <w:widowControl w:val="0"/>
        <w:kinsoku/>
        <w:wordWrap/>
        <w:overflowPunct/>
        <w:topLinePunct w:val="0"/>
        <w:autoSpaceDE/>
        <w:autoSpaceDN/>
        <w:bidi w:val="0"/>
        <w:adjustRightInd/>
        <w:snapToGrid/>
        <w:spacing w:after="0" w:line="360" w:lineRule="auto"/>
        <w:ind w:firstLine="720" w:firstLineChars="3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②</w:t>
      </w:r>
      <w:r>
        <w:rPr>
          <w:rFonts w:hint="eastAsia" w:ascii="仿宋" w:hAnsi="仿宋" w:eastAsia="仿宋" w:cs="仿宋"/>
          <w:color w:val="auto"/>
          <w:sz w:val="24"/>
          <w:szCs w:val="24"/>
          <w:lang w:eastAsia="zh-CN"/>
        </w:rPr>
        <w:t>产品验收标准和验收方法；</w:t>
      </w:r>
    </w:p>
    <w:p w14:paraId="340B8E71">
      <w:pPr>
        <w:pStyle w:val="12"/>
        <w:keepNext w:val="0"/>
        <w:keepLines w:val="0"/>
        <w:pageBreakBefore w:val="0"/>
        <w:widowControl w:val="0"/>
        <w:kinsoku/>
        <w:wordWrap/>
        <w:overflowPunct/>
        <w:topLinePunct w:val="0"/>
        <w:autoSpaceDE/>
        <w:autoSpaceDN/>
        <w:bidi w:val="0"/>
        <w:adjustRightInd/>
        <w:snapToGrid/>
        <w:spacing w:after="0" w:line="360" w:lineRule="auto"/>
        <w:ind w:firstLine="720" w:firstLineChars="3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③</w:t>
      </w:r>
      <w:r>
        <w:rPr>
          <w:rFonts w:hint="eastAsia" w:ascii="仿宋" w:hAnsi="仿宋" w:eastAsia="仿宋" w:cs="仿宋"/>
          <w:color w:val="auto"/>
          <w:sz w:val="24"/>
          <w:szCs w:val="24"/>
          <w:lang w:eastAsia="zh-CN"/>
        </w:rPr>
        <w:t>产品验收清单（注明各部件的品名、数量、价格、规格型号和原产地或制造商）。</w:t>
      </w:r>
    </w:p>
    <w:p w14:paraId="2CA6586A">
      <w:pPr>
        <w:pStyle w:val="1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504" w:firstLineChars="200"/>
        <w:textAlignment w:val="auto"/>
        <w:rPr>
          <w:rFonts w:hint="eastAsia"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售后服务相关资料</w:t>
      </w:r>
      <w:r>
        <w:rPr>
          <w:rFonts w:hint="eastAsia" w:ascii="仿宋_GB2312" w:hAnsi="仿宋_GB2312" w:eastAsia="仿宋_GB2312" w:cs="仿宋_GB2312"/>
          <w:color w:val="auto"/>
          <w:spacing w:val="6"/>
          <w:sz w:val="24"/>
        </w:rPr>
        <w:fldChar w:fldCharType="begin"/>
      </w:r>
      <w:r>
        <w:rPr>
          <w:rFonts w:hint="eastAsia" w:ascii="仿宋_GB2312" w:hAnsi="仿宋_GB2312" w:eastAsia="仿宋_GB2312" w:cs="仿宋_GB2312"/>
          <w:color w:val="auto"/>
          <w:spacing w:val="6"/>
          <w:sz w:val="24"/>
        </w:rPr>
        <w:instrText xml:space="preserve"> HYPERLINK \l "供应商基本情况表" </w:instrText>
      </w:r>
      <w:r>
        <w:rPr>
          <w:rFonts w:hint="eastAsia" w:ascii="仿宋_GB2312" w:hAnsi="仿宋_GB2312" w:eastAsia="仿宋_GB2312" w:cs="仿宋_GB2312"/>
          <w:color w:val="auto"/>
          <w:spacing w:val="6"/>
          <w:sz w:val="24"/>
        </w:rPr>
        <w:fldChar w:fldCharType="separate"/>
      </w:r>
      <w:r>
        <w:rPr>
          <w:rFonts w:hint="eastAsia" w:ascii="仿宋_GB2312" w:hAnsi="仿宋_GB2312" w:eastAsia="仿宋_GB2312" w:cs="仿宋_GB2312"/>
          <w:color w:val="auto"/>
          <w:spacing w:val="6"/>
          <w:sz w:val="24"/>
        </w:rPr>
        <w:t>（</w:t>
      </w:r>
      <w:r>
        <w:rPr>
          <w:rFonts w:hint="eastAsia" w:ascii="仿宋_GB2312" w:hAnsi="仿宋_GB2312" w:eastAsia="仿宋_GB2312" w:cs="仿宋_GB2312"/>
          <w:color w:val="auto"/>
          <w:spacing w:val="6"/>
          <w:sz w:val="24"/>
          <w:lang w:eastAsia="zh-CN"/>
        </w:rPr>
        <w:t>格式自拟）</w:t>
      </w:r>
      <w:r>
        <w:rPr>
          <w:rFonts w:hint="eastAsia" w:ascii="仿宋_GB2312" w:hAnsi="仿宋_GB2312" w:eastAsia="仿宋_GB2312" w:cs="仿宋_GB2312"/>
          <w:color w:val="auto"/>
          <w:spacing w:val="6"/>
          <w:sz w:val="24"/>
        </w:rPr>
        <w:fldChar w:fldCharType="end"/>
      </w:r>
    </w:p>
    <w:p w14:paraId="0CD69D36">
      <w:pPr>
        <w:pStyle w:val="1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504" w:firstLineChars="200"/>
        <w:textAlignment w:val="auto"/>
        <w:rPr>
          <w:rFonts w:hint="eastAsia" w:ascii="仿宋" w:hAnsi="仿宋" w:eastAsia="仿宋" w:cs="仿宋"/>
          <w:color w:val="auto"/>
          <w:sz w:val="24"/>
          <w:szCs w:val="24"/>
          <w:lang w:eastAsia="zh-CN"/>
        </w:rPr>
      </w:pPr>
      <w:r>
        <w:rPr>
          <w:rFonts w:hint="eastAsia" w:ascii="仿宋_GB2312" w:hAnsi="仿宋_GB2312" w:eastAsia="仿宋_GB2312" w:cs="仿宋_GB2312"/>
          <w:color w:val="auto"/>
          <w:spacing w:val="6"/>
          <w:sz w:val="24"/>
          <w:lang w:val="en-US" w:eastAsia="zh-CN"/>
        </w:rPr>
        <w:t>技术方案或项目实施方案</w:t>
      </w:r>
      <w:r>
        <w:rPr>
          <w:rFonts w:hint="eastAsia" w:ascii="仿宋" w:hAnsi="仿宋" w:eastAsia="仿宋" w:cs="仿宋"/>
          <w:color w:val="auto"/>
          <w:sz w:val="24"/>
          <w:szCs w:val="24"/>
          <w:lang w:eastAsia="zh-CN"/>
        </w:rPr>
        <w:t>（格式详见第三章）</w:t>
      </w:r>
    </w:p>
    <w:p w14:paraId="7AF1615E">
      <w:pPr>
        <w:pStyle w:val="1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504" w:firstLineChars="200"/>
        <w:textAlignment w:val="auto"/>
        <w:rPr>
          <w:rFonts w:hint="eastAsia" w:ascii="仿宋" w:hAnsi="仿宋" w:eastAsia="仿宋" w:cs="仿宋"/>
          <w:color w:val="auto"/>
          <w:sz w:val="24"/>
          <w:szCs w:val="24"/>
          <w:lang w:eastAsia="zh-CN"/>
        </w:rPr>
      </w:pPr>
      <w:r>
        <w:rPr>
          <w:rFonts w:hint="eastAsia" w:ascii="仿宋_GB2312" w:hAnsi="仿宋_GB2312" w:eastAsia="仿宋_GB2312" w:cs="仿宋_GB2312"/>
          <w:color w:val="auto"/>
          <w:spacing w:val="6"/>
          <w:sz w:val="24"/>
          <w:lang w:eastAsia="zh-CN"/>
        </w:rPr>
        <w:t>技术要求</w:t>
      </w:r>
      <w:r>
        <w:rPr>
          <w:rFonts w:hint="eastAsia" w:ascii="仿宋_GB2312" w:hAnsi="仿宋_GB2312" w:eastAsia="仿宋_GB2312" w:cs="仿宋_GB2312"/>
          <w:color w:val="auto"/>
          <w:spacing w:val="6"/>
          <w:sz w:val="24"/>
        </w:rPr>
        <w:t>应答表</w:t>
      </w:r>
      <w:r>
        <w:rPr>
          <w:rFonts w:hint="eastAsia" w:ascii="仿宋" w:hAnsi="仿宋" w:eastAsia="仿宋" w:cs="仿宋"/>
          <w:color w:val="auto"/>
          <w:sz w:val="24"/>
          <w:szCs w:val="24"/>
          <w:lang w:eastAsia="zh-CN"/>
        </w:rPr>
        <w:t>（格式详见第三章）</w:t>
      </w:r>
    </w:p>
    <w:p w14:paraId="4364C542">
      <w:pPr>
        <w:pStyle w:val="1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Times New Roman"/>
          <w:color w:val="auto"/>
          <w:sz w:val="24"/>
          <w:lang w:eastAsia="zh-CN"/>
        </w:rPr>
      </w:pPr>
      <w:r>
        <w:rPr>
          <w:rFonts w:hint="eastAsia" w:ascii="仿宋" w:hAnsi="仿宋" w:eastAsia="仿宋" w:cs="仿宋"/>
          <w:color w:val="auto"/>
          <w:sz w:val="24"/>
          <w:szCs w:val="24"/>
          <w:lang w:eastAsia="zh-CN"/>
        </w:rPr>
        <w:t>主要人员情况表。（格式详见第三章</w:t>
      </w:r>
      <w:r>
        <w:rPr>
          <w:rFonts w:hint="eastAsia" w:ascii="仿宋" w:hAnsi="仿宋" w:eastAsia="仿宋" w:cs="仿宋"/>
          <w:color w:val="auto"/>
          <w:sz w:val="24"/>
          <w:szCs w:val="24"/>
          <w:lang w:val="en-US" w:eastAsia="zh-CN"/>
        </w:rPr>
        <w:t>）</w:t>
      </w:r>
    </w:p>
    <w:p w14:paraId="4B4720D2">
      <w:pPr>
        <w:pStyle w:val="1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Times New Roman"/>
          <w:color w:val="auto"/>
          <w:sz w:val="24"/>
          <w:lang w:eastAsia="zh-CN"/>
        </w:rPr>
      </w:pPr>
      <w:r>
        <w:rPr>
          <w:rFonts w:hint="eastAsia" w:ascii="仿宋" w:hAnsi="仿宋" w:eastAsia="仿宋" w:cs="Times New Roman"/>
          <w:color w:val="auto"/>
          <w:sz w:val="24"/>
          <w:lang w:eastAsia="zh-CN"/>
        </w:rPr>
        <w:t>承诺函。（格式详见第三章承诺函</w:t>
      </w:r>
      <w:r>
        <w:rPr>
          <w:rFonts w:hint="eastAsia" w:ascii="仿宋" w:hAnsi="仿宋" w:eastAsia="仿宋" w:cs="Times New Roman"/>
          <w:color w:val="auto"/>
          <w:sz w:val="24"/>
          <w:lang w:val="en-US" w:eastAsia="zh-CN"/>
        </w:rPr>
        <w:t>2</w:t>
      </w:r>
      <w:r>
        <w:rPr>
          <w:rFonts w:hint="eastAsia" w:ascii="仿宋" w:hAnsi="仿宋" w:eastAsia="仿宋" w:cs="Times New Roman"/>
          <w:color w:val="auto"/>
          <w:sz w:val="24"/>
          <w:lang w:eastAsia="zh-CN"/>
        </w:rPr>
        <w:t>）</w:t>
      </w:r>
    </w:p>
    <w:p w14:paraId="08AE62EE">
      <w:pPr>
        <w:pStyle w:val="1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eastAsia="zh-CN"/>
        </w:rPr>
        <w:t>投标函。（格式详见第三章）</w:t>
      </w:r>
    </w:p>
    <w:p w14:paraId="5127F8AA">
      <w:pPr>
        <w:pStyle w:val="1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投标人基本情况表。（格式</w:t>
      </w:r>
      <w:r>
        <w:rPr>
          <w:rFonts w:hint="eastAsia" w:ascii="仿宋" w:hAnsi="仿宋" w:eastAsia="仿宋" w:cs="Times New Roman"/>
          <w:color w:val="auto"/>
          <w:sz w:val="24"/>
          <w:lang w:eastAsia="zh-CN"/>
        </w:rPr>
        <w:t>详见第三章</w:t>
      </w:r>
      <w:r>
        <w:rPr>
          <w:rFonts w:hint="eastAsia" w:ascii="仿宋" w:hAnsi="仿宋" w:eastAsia="仿宋" w:cs="Times New Roman"/>
          <w:color w:val="auto"/>
          <w:sz w:val="24"/>
          <w:lang w:val="en-US" w:eastAsia="zh-CN"/>
        </w:rPr>
        <w:t>）</w:t>
      </w:r>
    </w:p>
    <w:p w14:paraId="4FF0ED5C">
      <w:pPr>
        <w:pStyle w:val="1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Times New Roman"/>
          <w:color w:val="auto"/>
          <w:sz w:val="24"/>
        </w:rPr>
        <w:t>商务应答表</w:t>
      </w:r>
      <w:r>
        <w:rPr>
          <w:rFonts w:hint="eastAsia" w:ascii="仿宋" w:hAnsi="仿宋" w:eastAsia="仿宋" w:cs="Times New Roman"/>
          <w:color w:val="auto"/>
          <w:sz w:val="24"/>
          <w:lang w:eastAsia="zh-CN"/>
        </w:rPr>
        <w:t>。（格式详见第三章</w:t>
      </w:r>
      <w:r>
        <w:rPr>
          <w:rFonts w:hint="eastAsia" w:ascii="仿宋" w:hAnsi="仿宋" w:eastAsia="仿宋" w:cs="Times New Roman"/>
          <w:color w:val="auto"/>
          <w:sz w:val="24"/>
          <w:lang w:val="en-US" w:eastAsia="zh-CN"/>
        </w:rPr>
        <w:t>）</w:t>
      </w:r>
    </w:p>
    <w:p w14:paraId="032A8FB0">
      <w:pPr>
        <w:pStyle w:val="1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b w:val="0"/>
          <w:bCs/>
          <w:color w:val="auto"/>
          <w:sz w:val="24"/>
        </w:rPr>
      </w:pPr>
      <w:r>
        <w:rPr>
          <w:rFonts w:hint="eastAsia" w:ascii="仿宋" w:hAnsi="仿宋" w:eastAsia="仿宋" w:cs="仿宋"/>
          <w:b w:val="0"/>
          <w:bCs/>
          <w:color w:val="auto"/>
          <w:sz w:val="24"/>
          <w:szCs w:val="24"/>
          <w:lang w:eastAsia="zh-CN"/>
        </w:rPr>
        <w:t>投标人类似项目业绩一览表。（格式详见第三章）</w:t>
      </w:r>
    </w:p>
    <w:p w14:paraId="2686D1E3">
      <w:pPr>
        <w:pStyle w:val="1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b w:val="0"/>
          <w:bCs/>
          <w:color w:val="auto"/>
          <w:sz w:val="24"/>
          <w:szCs w:val="24"/>
          <w:lang w:eastAsia="zh-CN"/>
        </w:rPr>
        <w:t>招标文件第七章综合评分明细表内要求提供的相关证明材料</w:t>
      </w:r>
      <w:r>
        <w:rPr>
          <w:rFonts w:hint="eastAsia" w:ascii="仿宋" w:hAnsi="仿宋" w:eastAsia="仿宋" w:cs="仿宋"/>
          <w:b w:val="0"/>
          <w:bCs/>
          <w:color w:val="auto"/>
          <w:sz w:val="24"/>
          <w:szCs w:val="24"/>
          <w:lang w:val="en-US" w:eastAsia="zh-CN"/>
        </w:rPr>
        <w:t>。</w:t>
      </w:r>
      <w:r>
        <w:rPr>
          <w:rFonts w:hint="eastAsia" w:ascii="仿宋" w:hAnsi="仿宋" w:eastAsia="仿宋" w:cs="仿宋"/>
          <w:b w:val="0"/>
          <w:bCs/>
          <w:color w:val="auto"/>
          <w:sz w:val="24"/>
          <w:szCs w:val="24"/>
          <w:lang w:eastAsia="zh-CN"/>
        </w:rPr>
        <w:t>（如未提供则不得分，未提供不影响投标文件有效性）</w:t>
      </w:r>
    </w:p>
    <w:p w14:paraId="4A903EBD">
      <w:pPr>
        <w:pStyle w:val="1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投标人认为需要提供的文件和资料。（如不涉及，未提供不影响投标文件有效性）</w:t>
      </w:r>
    </w:p>
    <w:p w14:paraId="7929476B">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2" w:firstLineChars="200"/>
        <w:outlineLvl w:val="9"/>
        <w:rPr>
          <w:rFonts w:hint="eastAsia" w:ascii="仿宋" w:hAnsi="仿宋" w:eastAsia="仿宋" w:cs="Times New Roman"/>
          <w:b/>
          <w:bCs/>
          <w:color w:val="auto"/>
          <w:sz w:val="24"/>
          <w:lang w:eastAsia="zh-CN"/>
        </w:rPr>
      </w:pPr>
      <w:bookmarkStart w:id="93" w:name="_Toc183682355"/>
      <w:bookmarkStart w:id="94" w:name="_Toc308164799"/>
      <w:bookmarkStart w:id="95" w:name="_Toc183582218"/>
      <w:bookmarkStart w:id="96" w:name="_Toc79959178"/>
      <w:bookmarkStart w:id="97" w:name="_Toc217446049"/>
      <w:r>
        <w:rPr>
          <w:rFonts w:hint="eastAsia" w:ascii="仿宋" w:hAnsi="仿宋" w:eastAsia="仿宋" w:cs="Times New Roman"/>
          <w:b/>
          <w:bCs/>
          <w:color w:val="auto"/>
          <w:sz w:val="24"/>
          <w:lang w:val="en-US" w:eastAsia="zh-CN"/>
        </w:rPr>
        <w:t>14.2</w:t>
      </w:r>
      <w:r>
        <w:rPr>
          <w:rFonts w:hint="eastAsia" w:ascii="仿宋" w:hAnsi="仿宋" w:eastAsia="仿宋" w:cs="Times New Roman"/>
          <w:b/>
          <w:bCs/>
          <w:color w:val="auto"/>
          <w:sz w:val="24"/>
          <w:lang w:eastAsia="zh-CN"/>
        </w:rPr>
        <w:t>文件二：开标一览表</w:t>
      </w:r>
    </w:p>
    <w:p w14:paraId="38B97608">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rPr>
      </w:pPr>
      <w:r>
        <w:rPr>
          <w:rFonts w:hint="eastAsia" w:ascii="仿宋" w:hAnsi="仿宋" w:eastAsia="仿宋" w:cs="Times New Roman"/>
          <w:color w:val="auto"/>
          <w:sz w:val="24"/>
        </w:rPr>
        <w:t>投标人按照招标文件要求填写的“开标一览表”</w:t>
      </w:r>
      <w:r>
        <w:rPr>
          <w:rFonts w:hint="eastAsia" w:ascii="仿宋" w:hAnsi="仿宋" w:eastAsia="仿宋" w:cs="Times New Roman"/>
          <w:color w:val="auto"/>
          <w:sz w:val="24"/>
          <w:lang w:eastAsia="zh-CN"/>
        </w:rPr>
        <w:t>（格式详见第三章</w:t>
      </w:r>
      <w:r>
        <w:rPr>
          <w:rFonts w:hint="eastAsia" w:ascii="仿宋" w:hAnsi="仿宋" w:eastAsia="仿宋" w:cs="Times New Roman"/>
          <w:color w:val="auto"/>
          <w:sz w:val="24"/>
          <w:lang w:val="en-US" w:eastAsia="zh-CN"/>
        </w:rPr>
        <w:t>）</w:t>
      </w:r>
      <w:r>
        <w:rPr>
          <w:rFonts w:hint="eastAsia" w:ascii="仿宋" w:hAnsi="仿宋" w:eastAsia="仿宋" w:cs="Times New Roman"/>
          <w:color w:val="auto"/>
          <w:sz w:val="24"/>
        </w:rPr>
        <w:t>。</w:t>
      </w:r>
    </w:p>
    <w:p w14:paraId="284B423D">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rPr>
      </w:pPr>
      <w:r>
        <w:rPr>
          <w:rFonts w:hint="eastAsia" w:ascii="仿宋" w:hAnsi="仿宋" w:eastAsia="仿宋" w:cs="Times New Roman"/>
          <w:color w:val="auto"/>
          <w:sz w:val="24"/>
        </w:rPr>
        <w:t>本次</w:t>
      </w:r>
      <w:r>
        <w:rPr>
          <w:rFonts w:hint="eastAsia" w:ascii="仿宋" w:hAnsi="仿宋" w:eastAsia="仿宋" w:cs="Times New Roman"/>
          <w:color w:val="auto"/>
          <w:sz w:val="24"/>
        </w:rPr>
        <w:t>招标报价要求：</w:t>
      </w:r>
    </w:p>
    <w:p w14:paraId="4B72632C">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rPr>
      </w:pPr>
      <w:r>
        <w:rPr>
          <w:rFonts w:hint="eastAsia" w:ascii="仿宋" w:hAnsi="仿宋" w:eastAsia="仿宋" w:cs="Times New Roman"/>
          <w:color w:val="auto"/>
          <w:sz w:val="24"/>
        </w:rPr>
        <w:t>（1）投标人的报价是投标人响应招标项目要求的全部工作内容的价格体现，包括投标人完成本项目所需的一切费用。</w:t>
      </w:r>
      <w:r>
        <w:rPr>
          <w:rFonts w:hint="eastAsia" w:ascii="仿宋" w:hAnsi="仿宋" w:eastAsia="仿宋" w:cs="Times New Roman"/>
          <w:b/>
          <w:bCs/>
          <w:color w:val="auto"/>
          <w:sz w:val="24"/>
        </w:rPr>
        <w:t>（实质性要求）</w:t>
      </w:r>
    </w:p>
    <w:p w14:paraId="4FB63262">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rPr>
      </w:pPr>
      <w:r>
        <w:rPr>
          <w:rFonts w:hint="eastAsia" w:ascii="仿宋" w:hAnsi="仿宋" w:eastAsia="仿宋" w:cs="Times New Roman"/>
          <w:color w:val="auto"/>
          <w:sz w:val="24"/>
        </w:rPr>
        <w:t>（2）投标人只允许有一个报价，并且在合同履行过程中是固定不变的，任何有选择或可调整的报价将不予接受，并按无效投标处理。</w:t>
      </w:r>
      <w:r>
        <w:rPr>
          <w:rFonts w:hint="eastAsia" w:ascii="仿宋" w:hAnsi="仿宋" w:eastAsia="仿宋" w:cs="Times New Roman"/>
          <w:b/>
          <w:bCs/>
          <w:color w:val="auto"/>
          <w:sz w:val="24"/>
        </w:rPr>
        <w:t>（实质性要求）</w:t>
      </w:r>
    </w:p>
    <w:p w14:paraId="2E0DBD9D">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2" w:firstLineChars="200"/>
        <w:outlineLvl w:val="9"/>
        <w:rPr>
          <w:rFonts w:hint="eastAsia" w:ascii="仿宋" w:hAnsi="仿宋" w:eastAsia="仿宋" w:cs="Times New Roman"/>
          <w:b/>
          <w:bCs/>
          <w:color w:val="auto"/>
          <w:sz w:val="24"/>
        </w:rPr>
      </w:pPr>
      <w:r>
        <w:rPr>
          <w:rFonts w:hint="eastAsia" w:ascii="仿宋" w:hAnsi="仿宋" w:eastAsia="仿宋" w:cs="Times New Roman"/>
          <w:b/>
          <w:bCs/>
          <w:color w:val="auto"/>
          <w:sz w:val="24"/>
          <w:lang w:val="en-US" w:eastAsia="zh-CN"/>
        </w:rPr>
        <w:t>14.3</w:t>
      </w:r>
      <w:r>
        <w:rPr>
          <w:rFonts w:hint="eastAsia" w:ascii="仿宋" w:hAnsi="仿宋" w:eastAsia="仿宋" w:cs="Times New Roman"/>
          <w:b/>
          <w:bCs/>
          <w:color w:val="auto"/>
          <w:sz w:val="24"/>
        </w:rPr>
        <w:t>文件三：投标文件电子档</w:t>
      </w:r>
    </w:p>
    <w:p w14:paraId="620B602B">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b w:val="0"/>
          <w:bCs w:val="0"/>
          <w:color w:val="auto"/>
          <w:sz w:val="24"/>
        </w:rPr>
      </w:pPr>
      <w:r>
        <w:rPr>
          <w:rFonts w:hint="eastAsia" w:ascii="仿宋" w:hAnsi="仿宋" w:eastAsia="仿宋" w:cs="Times New Roman"/>
          <w:b w:val="0"/>
          <w:bCs w:val="0"/>
          <w:color w:val="auto"/>
          <w:sz w:val="24"/>
        </w:rPr>
        <w:t>（1）投标文件电子档应当包含资格</w:t>
      </w:r>
      <w:r>
        <w:rPr>
          <w:rFonts w:hint="eastAsia" w:ascii="仿宋" w:hAnsi="仿宋" w:eastAsia="仿宋" w:cs="Times New Roman"/>
          <w:b w:val="0"/>
          <w:bCs w:val="0"/>
          <w:color w:val="auto"/>
          <w:sz w:val="24"/>
          <w:lang w:eastAsia="zh-CN"/>
        </w:rPr>
        <w:t>技术</w:t>
      </w:r>
      <w:r>
        <w:rPr>
          <w:rFonts w:hint="eastAsia" w:ascii="仿宋" w:hAnsi="仿宋" w:eastAsia="仿宋" w:cs="Times New Roman"/>
          <w:b w:val="0"/>
          <w:bCs w:val="0"/>
          <w:color w:val="auto"/>
          <w:sz w:val="24"/>
        </w:rPr>
        <w:t>投标文件。</w:t>
      </w:r>
    </w:p>
    <w:p w14:paraId="6DA68C35">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b w:val="0"/>
          <w:bCs w:val="0"/>
          <w:color w:val="auto"/>
          <w:sz w:val="24"/>
        </w:rPr>
      </w:pPr>
      <w:r>
        <w:rPr>
          <w:rFonts w:hint="eastAsia" w:ascii="仿宋" w:hAnsi="仿宋" w:eastAsia="仿宋" w:cs="Times New Roman"/>
          <w:b w:val="0"/>
          <w:bCs w:val="0"/>
          <w:color w:val="auto"/>
          <w:sz w:val="24"/>
        </w:rPr>
        <w:t>（2）电子档制作的参考方法：采用U盘制作。投标文件纸质版正本按照招标文件要求制作完毕后（签字盖章完毕并检查无误），按页码逐页（包括封面）进行彩色扫描，扫描形成的图像文件依序制作成一个PDF格式文件。</w:t>
      </w:r>
    </w:p>
    <w:p w14:paraId="54AC68B4">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2" w:firstLineChars="200"/>
        <w:outlineLvl w:val="9"/>
        <w:rPr>
          <w:rFonts w:hint="eastAsia" w:ascii="仿宋" w:hAnsi="仿宋" w:eastAsia="仿宋" w:cs="Times New Roman"/>
          <w:b/>
          <w:bCs/>
          <w:color w:val="auto"/>
          <w:sz w:val="24"/>
        </w:rPr>
      </w:pPr>
      <w:r>
        <w:rPr>
          <w:rFonts w:hint="eastAsia" w:ascii="仿宋" w:hAnsi="仿宋" w:eastAsia="仿宋" w:cs="Times New Roman"/>
          <w:b/>
          <w:bCs/>
          <w:color w:val="auto"/>
          <w:sz w:val="24"/>
        </w:rPr>
        <w:t>15</w:t>
      </w:r>
      <w:r>
        <w:rPr>
          <w:rFonts w:hint="eastAsia" w:ascii="仿宋" w:hAnsi="仿宋" w:eastAsia="仿宋" w:cs="Times New Roman"/>
          <w:b/>
          <w:bCs/>
          <w:color w:val="auto"/>
          <w:sz w:val="24"/>
          <w:lang w:val="en-US" w:eastAsia="zh-CN"/>
        </w:rPr>
        <w:t>.</w:t>
      </w:r>
      <w:r>
        <w:rPr>
          <w:rFonts w:hint="eastAsia" w:ascii="仿宋" w:hAnsi="仿宋" w:eastAsia="仿宋" w:cs="Times New Roman"/>
          <w:b/>
          <w:bCs/>
          <w:color w:val="auto"/>
          <w:sz w:val="24"/>
        </w:rPr>
        <w:t>投标文件格式</w:t>
      </w:r>
      <w:bookmarkEnd w:id="93"/>
      <w:bookmarkEnd w:id="94"/>
      <w:bookmarkEnd w:id="95"/>
      <w:bookmarkEnd w:id="96"/>
      <w:bookmarkEnd w:id="97"/>
    </w:p>
    <w:p w14:paraId="13C792E9">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rPr>
      </w:pPr>
      <w:r>
        <w:rPr>
          <w:rFonts w:hint="eastAsia" w:ascii="仿宋" w:hAnsi="仿宋" w:eastAsia="仿宋" w:cs="Times New Roman"/>
          <w:color w:val="auto"/>
          <w:sz w:val="24"/>
        </w:rPr>
        <w:t xml:space="preserve">15.1 </w:t>
      </w:r>
      <w:r>
        <w:rPr>
          <w:rFonts w:hint="eastAsia" w:ascii="仿宋" w:hAnsi="仿宋" w:eastAsia="仿宋" w:cs="Times New Roman"/>
          <w:color w:val="auto"/>
          <w:sz w:val="24"/>
          <w:lang w:val="en-US" w:eastAsia="zh-CN"/>
        </w:rPr>
        <w:t>投标人应执行招标文件第三章的规定要求。</w:t>
      </w:r>
    </w:p>
    <w:p w14:paraId="3F0C63F6">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rPr>
      </w:pPr>
      <w:r>
        <w:rPr>
          <w:rFonts w:hint="eastAsia" w:ascii="仿宋" w:hAnsi="仿宋" w:eastAsia="仿宋" w:cs="Times New Roman"/>
          <w:color w:val="auto"/>
          <w:sz w:val="24"/>
        </w:rPr>
        <w:t>15.2 对于没有格式要求的投标文件由投标人自行编写。</w:t>
      </w:r>
    </w:p>
    <w:p w14:paraId="6BBC07D9">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hint="eastAsia" w:ascii="仿宋" w:hAnsi="仿宋" w:eastAsia="仿宋"/>
          <w:b/>
          <w:bCs/>
          <w:color w:val="auto"/>
          <w:sz w:val="24"/>
        </w:rPr>
      </w:pPr>
      <w:bookmarkStart w:id="98" w:name="_Toc183582224"/>
      <w:bookmarkStart w:id="99" w:name="_Toc308164801"/>
      <w:bookmarkStart w:id="100" w:name="_Toc183682361"/>
      <w:bookmarkStart w:id="101" w:name="_Toc217446051"/>
      <w:bookmarkStart w:id="102" w:name="_Toc79959180"/>
      <w:r>
        <w:rPr>
          <w:rFonts w:hint="eastAsia" w:ascii="仿宋" w:hAnsi="仿宋" w:eastAsia="仿宋"/>
          <w:b/>
          <w:bCs/>
          <w:color w:val="auto"/>
          <w:sz w:val="24"/>
        </w:rPr>
        <w:t>16．投标保证金（实质性要求）</w:t>
      </w:r>
    </w:p>
    <w:p w14:paraId="2B11EE65">
      <w:pPr>
        <w:keepNext w:val="0"/>
        <w:keepLines w:val="0"/>
        <w:pageBreakBefore w:val="0"/>
        <w:widowControl w:val="0"/>
        <w:kinsoku/>
        <w:wordWrap/>
        <w:overflowPunct/>
        <w:topLinePunct w:val="0"/>
        <w:autoSpaceDE/>
        <w:autoSpaceDN/>
        <w:bidi w:val="0"/>
        <w:snapToGrid/>
        <w:spacing w:after="0" w:line="360" w:lineRule="auto"/>
        <w:ind w:firstLine="480" w:firstLineChars="200"/>
        <w:outlineLvl w:val="9"/>
        <w:rPr>
          <w:rFonts w:hint="eastAsia" w:ascii="仿宋" w:hAnsi="仿宋" w:eastAsia="仿宋"/>
          <w:b w:val="0"/>
          <w:bCs w:val="0"/>
          <w:color w:val="auto"/>
          <w:sz w:val="24"/>
        </w:rPr>
      </w:pPr>
      <w:r>
        <w:rPr>
          <w:rFonts w:hint="eastAsia" w:ascii="仿宋" w:hAnsi="仿宋" w:eastAsia="仿宋"/>
          <w:b w:val="0"/>
          <w:bCs w:val="0"/>
          <w:color w:val="auto"/>
          <w:sz w:val="24"/>
          <w:lang w:eastAsia="zh-CN"/>
        </w:rPr>
        <w:t>本项目不收取投标保证金。</w:t>
      </w:r>
    </w:p>
    <w:p w14:paraId="49772C2D">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Cs w:val="0"/>
          <w:color w:val="auto"/>
          <w:sz w:val="24"/>
        </w:rPr>
      </w:pPr>
      <w:r>
        <w:rPr>
          <w:rFonts w:hint="eastAsia" w:ascii="仿宋" w:hAnsi="仿宋" w:eastAsia="仿宋"/>
          <w:b/>
          <w:bCs/>
          <w:color w:val="auto"/>
          <w:sz w:val="24"/>
        </w:rPr>
        <w:t>17．投标有效期</w:t>
      </w:r>
      <w:bookmarkEnd w:id="98"/>
      <w:bookmarkEnd w:id="99"/>
      <w:bookmarkEnd w:id="100"/>
      <w:bookmarkEnd w:id="101"/>
      <w:r>
        <w:rPr>
          <w:rFonts w:hint="eastAsia" w:ascii="仿宋" w:hAnsi="仿宋" w:eastAsia="仿宋"/>
          <w:b/>
          <w:bCs/>
          <w:color w:val="auto"/>
          <w:sz w:val="24"/>
          <w:szCs w:val="24"/>
        </w:rPr>
        <w:t>（实质性要求）</w:t>
      </w:r>
      <w:bookmarkEnd w:id="102"/>
    </w:p>
    <w:p w14:paraId="4597DCB0">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rPr>
      </w:pPr>
      <w:bookmarkStart w:id="103" w:name="_Toc79959181"/>
      <w:bookmarkStart w:id="104" w:name="_Toc183582225"/>
      <w:bookmarkStart w:id="105" w:name="_Toc217446052"/>
      <w:bookmarkStart w:id="106" w:name="_Toc183682362"/>
      <w:bookmarkStart w:id="107" w:name="_Toc308164802"/>
      <w:r>
        <w:rPr>
          <w:rFonts w:hint="eastAsia" w:ascii="仿宋" w:hAnsi="仿宋" w:eastAsia="仿宋" w:cs="Times New Roman"/>
          <w:color w:val="auto"/>
          <w:sz w:val="24"/>
        </w:rPr>
        <w:t>17.1 本项目投标有效期为</w:t>
      </w:r>
      <w:r>
        <w:rPr>
          <w:rFonts w:hint="eastAsia" w:ascii="仿宋" w:hAnsi="仿宋" w:eastAsia="仿宋" w:cs="Times New Roman"/>
          <w:color w:val="auto"/>
          <w:sz w:val="24"/>
          <w:lang w:eastAsia="zh-CN"/>
        </w:rPr>
        <w:t>递交投标</w:t>
      </w:r>
      <w:r>
        <w:rPr>
          <w:rFonts w:hint="eastAsia" w:ascii="仿宋" w:hAnsi="仿宋" w:eastAsia="仿宋" w:cs="Times New Roman"/>
          <w:color w:val="auto"/>
          <w:sz w:val="24"/>
        </w:rPr>
        <w:t>文件截止之日起</w:t>
      </w:r>
      <w:r>
        <w:rPr>
          <w:rFonts w:hint="eastAsia" w:ascii="仿宋" w:hAnsi="仿宋" w:eastAsia="仿宋" w:cs="Times New Roman"/>
          <w:color w:val="auto"/>
          <w:sz w:val="24"/>
          <w:u w:val="single"/>
          <w:lang w:val="en-US" w:eastAsia="zh-CN"/>
        </w:rPr>
        <w:t xml:space="preserve"> 90 </w:t>
      </w:r>
      <w:r>
        <w:rPr>
          <w:rFonts w:hint="eastAsia" w:ascii="仿宋" w:hAnsi="仿宋" w:eastAsia="仿宋" w:cs="Times New Roman"/>
          <w:color w:val="auto"/>
          <w:sz w:val="24"/>
        </w:rPr>
        <w:t>天。投标人投标文件中必须载明投标有效期，</w:t>
      </w:r>
      <w:r>
        <w:rPr>
          <w:rFonts w:hint="eastAsia" w:ascii="仿宋" w:hAnsi="仿宋" w:eastAsia="仿宋" w:cs="Times New Roman"/>
          <w:color w:val="auto"/>
          <w:sz w:val="24"/>
          <w:lang w:eastAsia="zh-CN"/>
        </w:rPr>
        <w:t>投标文件中承诺的投标有效期应当不少于招标文件中载明的投标有效期。</w:t>
      </w:r>
    </w:p>
    <w:p w14:paraId="0C9E2351">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rPr>
      </w:pPr>
      <w:r>
        <w:rPr>
          <w:rFonts w:hint="eastAsia" w:ascii="仿宋" w:hAnsi="仿宋" w:eastAsia="仿宋" w:cs="Times New Roman"/>
          <w:color w:val="auto"/>
          <w:sz w:val="24"/>
        </w:rPr>
        <w:t>17</w:t>
      </w:r>
      <w:r>
        <w:rPr>
          <w:rFonts w:hint="eastAsia" w:ascii="仿宋" w:hAnsi="仿宋" w:eastAsia="仿宋" w:cs="Times New Roman"/>
          <w:color w:val="auto"/>
          <w:sz w:val="24"/>
          <w:lang w:val="en-US" w:eastAsia="zh-CN"/>
        </w:rPr>
        <w:t>.</w:t>
      </w:r>
      <w:r>
        <w:rPr>
          <w:rFonts w:hint="eastAsia" w:ascii="仿宋" w:hAnsi="仿宋" w:eastAsia="仿宋" w:cs="Times New Roman"/>
          <w:color w:val="auto"/>
          <w:sz w:val="24"/>
        </w:rPr>
        <w:t>2 因不可抗力事件，</w:t>
      </w:r>
      <w:r>
        <w:rPr>
          <w:rFonts w:hint="eastAsia" w:ascii="仿宋" w:hAnsi="仿宋" w:eastAsia="仿宋" w:cs="Times New Roman"/>
          <w:color w:val="auto"/>
          <w:sz w:val="24"/>
          <w:lang w:eastAsia="zh-CN"/>
        </w:rPr>
        <w:t>招标人</w:t>
      </w:r>
      <w:r>
        <w:rPr>
          <w:rFonts w:hint="eastAsia" w:ascii="仿宋" w:hAnsi="仿宋" w:eastAsia="仿宋" w:cs="Times New Roman"/>
          <w:color w:val="auto"/>
          <w:sz w:val="24"/>
        </w:rPr>
        <w:t>可于投标有效期届满之前与投标人协商延长投标有效期。投标人拒绝延长投标有效期的，不得再参与该项目后续采购活动，但由此给投标人造成的损失，</w:t>
      </w:r>
      <w:r>
        <w:rPr>
          <w:rFonts w:hint="eastAsia" w:ascii="仿宋" w:hAnsi="仿宋" w:eastAsia="仿宋" w:cs="Times New Roman"/>
          <w:color w:val="auto"/>
          <w:sz w:val="24"/>
          <w:lang w:eastAsia="zh-CN"/>
        </w:rPr>
        <w:t>招标人</w:t>
      </w:r>
      <w:r>
        <w:rPr>
          <w:rFonts w:hint="eastAsia" w:ascii="仿宋" w:hAnsi="仿宋" w:eastAsia="仿宋" w:cs="Times New Roman"/>
          <w:color w:val="auto"/>
          <w:sz w:val="24"/>
        </w:rPr>
        <w:t xml:space="preserve">可以自主决定是否可以给予适当补偿。投标人同意延长投标有效期的，不能修改投标文件。 </w:t>
      </w:r>
    </w:p>
    <w:p w14:paraId="25DB5FB4">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lang w:val="en-US" w:eastAsia="zh-CN"/>
        </w:rPr>
      </w:pPr>
      <w:r>
        <w:rPr>
          <w:rFonts w:hint="eastAsia" w:ascii="仿宋" w:hAnsi="仿宋" w:eastAsia="仿宋" w:cs="Times New Roman"/>
          <w:color w:val="auto"/>
          <w:sz w:val="24"/>
        </w:rPr>
        <w:t>17</w:t>
      </w:r>
      <w:r>
        <w:rPr>
          <w:rFonts w:hint="eastAsia" w:ascii="仿宋" w:hAnsi="仿宋" w:eastAsia="仿宋" w:cs="Times New Roman"/>
          <w:color w:val="auto"/>
          <w:sz w:val="24"/>
          <w:lang w:val="en-US" w:eastAsia="zh-CN"/>
        </w:rPr>
        <w:t>.</w:t>
      </w:r>
      <w:r>
        <w:rPr>
          <w:rFonts w:hint="eastAsia" w:ascii="仿宋" w:hAnsi="仿宋" w:eastAsia="仿宋" w:cs="Times New Roman"/>
          <w:color w:val="auto"/>
          <w:sz w:val="24"/>
        </w:rPr>
        <w:t>3 因</w:t>
      </w:r>
      <w:r>
        <w:rPr>
          <w:rFonts w:hint="eastAsia" w:ascii="仿宋" w:hAnsi="仿宋" w:eastAsia="仿宋" w:cs="Times New Roman"/>
          <w:color w:val="auto"/>
          <w:sz w:val="24"/>
          <w:lang w:eastAsia="zh-CN"/>
        </w:rPr>
        <w:t>招标人</w:t>
      </w:r>
      <w:r>
        <w:rPr>
          <w:rFonts w:hint="eastAsia" w:ascii="仿宋" w:hAnsi="仿宋" w:eastAsia="仿宋" w:cs="Times New Roman"/>
          <w:color w:val="auto"/>
          <w:sz w:val="24"/>
        </w:rPr>
        <w:t>采购需求作出必要调整，</w:t>
      </w:r>
      <w:r>
        <w:rPr>
          <w:rFonts w:hint="eastAsia" w:ascii="仿宋" w:hAnsi="仿宋" w:eastAsia="仿宋" w:cs="Times New Roman"/>
          <w:color w:val="auto"/>
          <w:sz w:val="24"/>
          <w:lang w:eastAsia="zh-CN"/>
        </w:rPr>
        <w:t>招标人</w:t>
      </w:r>
      <w:r>
        <w:rPr>
          <w:rFonts w:hint="eastAsia" w:ascii="仿宋" w:hAnsi="仿宋" w:eastAsia="仿宋" w:cs="Times New Roman"/>
          <w:color w:val="auto"/>
          <w:sz w:val="24"/>
        </w:rPr>
        <w:t>可于投标有效期届满之前与投标人协商延长投标有效期。投标人拒绝延长投标有效期的，不得再参与该项目后续采购活动，但由此给投标人造成的损失，</w:t>
      </w:r>
      <w:r>
        <w:rPr>
          <w:rFonts w:hint="eastAsia" w:ascii="仿宋" w:hAnsi="仿宋" w:eastAsia="仿宋" w:cs="Times New Roman"/>
          <w:color w:val="auto"/>
          <w:sz w:val="24"/>
          <w:lang w:eastAsia="zh-CN"/>
        </w:rPr>
        <w:t>招标人</w:t>
      </w:r>
      <w:r>
        <w:rPr>
          <w:rFonts w:hint="eastAsia" w:ascii="仿宋" w:hAnsi="仿宋" w:eastAsia="仿宋" w:cs="Times New Roman"/>
          <w:color w:val="auto"/>
          <w:sz w:val="24"/>
        </w:rPr>
        <w:t>应当予以赔偿或者合理补偿。投标人同意延长投标有效期的，不能修改投标文件。</w:t>
      </w:r>
    </w:p>
    <w:p w14:paraId="25A69F13">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1" w:firstLineChars="150"/>
        <w:outlineLvl w:val="9"/>
        <w:rPr>
          <w:rFonts w:hint="eastAsia" w:ascii="仿宋" w:hAnsi="仿宋" w:eastAsia="仿宋" w:cs="Times New Roman"/>
          <w:b/>
          <w:bCs/>
          <w:color w:val="auto"/>
          <w:sz w:val="24"/>
        </w:rPr>
      </w:pPr>
      <w:r>
        <w:rPr>
          <w:rFonts w:hint="eastAsia" w:ascii="仿宋" w:hAnsi="仿宋" w:eastAsia="仿宋" w:cs="Times New Roman"/>
          <w:b/>
          <w:bCs/>
          <w:color w:val="auto"/>
          <w:sz w:val="24"/>
        </w:rPr>
        <w:t>18．投标文件的印制和签署</w:t>
      </w:r>
      <w:bookmarkEnd w:id="103"/>
      <w:bookmarkEnd w:id="104"/>
      <w:bookmarkEnd w:id="105"/>
      <w:bookmarkEnd w:id="106"/>
      <w:bookmarkEnd w:id="107"/>
    </w:p>
    <w:p w14:paraId="58D6AA85">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0" w:firstLineChars="150"/>
        <w:outlineLvl w:val="9"/>
        <w:rPr>
          <w:rFonts w:hint="eastAsia" w:ascii="仿宋" w:hAnsi="仿宋" w:eastAsia="仿宋" w:cs="Times New Roman"/>
          <w:color w:val="auto"/>
          <w:sz w:val="24"/>
          <w:lang w:val="en-US" w:eastAsia="zh-CN"/>
        </w:rPr>
      </w:pPr>
      <w:bookmarkStart w:id="108" w:name="_Toc183682363"/>
      <w:bookmarkStart w:id="109" w:name="_Toc89075877"/>
      <w:bookmarkStart w:id="110" w:name="_Toc183582226"/>
      <w:bookmarkStart w:id="111" w:name="_Toc77400781"/>
      <w:bookmarkStart w:id="112" w:name="_Toc217446053"/>
      <w:bookmarkStart w:id="113" w:name="_Toc79959182"/>
      <w:bookmarkStart w:id="114" w:name="_Toc308164803"/>
      <w:r>
        <w:rPr>
          <w:rFonts w:hint="eastAsia" w:ascii="仿宋" w:hAnsi="仿宋" w:eastAsia="仿宋" w:cs="Times New Roman"/>
          <w:color w:val="auto"/>
          <w:sz w:val="24"/>
        </w:rPr>
        <w:t>18.</w:t>
      </w:r>
      <w:r>
        <w:rPr>
          <w:rFonts w:hint="eastAsia" w:ascii="仿宋" w:hAnsi="仿宋" w:eastAsia="仿宋" w:cs="Times New Roman"/>
          <w:color w:val="auto"/>
          <w:sz w:val="24"/>
          <w:lang w:val="en-US" w:eastAsia="zh-CN"/>
        </w:rPr>
        <w:t>1</w:t>
      </w:r>
      <w:r>
        <w:rPr>
          <w:rFonts w:hint="eastAsia" w:ascii="仿宋" w:hAnsi="仿宋" w:eastAsia="仿宋" w:cs="Times New Roman"/>
          <w:b/>
          <w:bCs/>
          <w:color w:val="auto"/>
          <w:sz w:val="24"/>
        </w:rPr>
        <w:t>资格</w:t>
      </w:r>
      <w:r>
        <w:rPr>
          <w:rFonts w:hint="eastAsia" w:ascii="仿宋" w:hAnsi="仿宋" w:eastAsia="仿宋" w:cs="Times New Roman"/>
          <w:b/>
          <w:bCs/>
          <w:color w:val="auto"/>
          <w:sz w:val="24"/>
          <w:lang w:eastAsia="zh-CN"/>
        </w:rPr>
        <w:t>技术</w:t>
      </w:r>
      <w:r>
        <w:rPr>
          <w:rFonts w:hint="eastAsia" w:ascii="仿宋" w:hAnsi="仿宋" w:eastAsia="仿宋" w:cs="Times New Roman"/>
          <w:b/>
          <w:bCs/>
          <w:color w:val="auto"/>
          <w:sz w:val="24"/>
        </w:rPr>
        <w:t>投标文件</w:t>
      </w:r>
      <w:r>
        <w:rPr>
          <w:rFonts w:hint="eastAsia" w:ascii="仿宋" w:hAnsi="仿宋" w:eastAsia="仿宋" w:cs="Times New Roman"/>
          <w:color w:val="auto"/>
          <w:sz w:val="24"/>
        </w:rPr>
        <w:t>在其封面上清楚地标明资格</w:t>
      </w:r>
      <w:r>
        <w:rPr>
          <w:rFonts w:hint="eastAsia" w:ascii="仿宋" w:hAnsi="仿宋" w:eastAsia="仿宋" w:cs="Times New Roman"/>
          <w:color w:val="auto"/>
          <w:sz w:val="24"/>
          <w:lang w:eastAsia="zh-CN"/>
        </w:rPr>
        <w:t>技术</w:t>
      </w:r>
      <w:r>
        <w:rPr>
          <w:rFonts w:hint="eastAsia" w:ascii="仿宋" w:hAnsi="仿宋" w:eastAsia="仿宋" w:cs="Times New Roman"/>
          <w:color w:val="auto"/>
          <w:sz w:val="24"/>
        </w:rPr>
        <w:t>投标文件、</w:t>
      </w:r>
      <w:r>
        <w:rPr>
          <w:rFonts w:hint="eastAsia" w:ascii="仿宋" w:hAnsi="仿宋" w:eastAsia="仿宋" w:cs="Times New Roman"/>
          <w:color w:val="auto"/>
          <w:sz w:val="24"/>
          <w:lang w:eastAsia="zh-CN"/>
        </w:rPr>
        <w:t>招标名称</w:t>
      </w:r>
      <w:r>
        <w:rPr>
          <w:rFonts w:hint="eastAsia" w:ascii="仿宋" w:hAnsi="仿宋" w:eastAsia="仿宋" w:cs="Times New Roman"/>
          <w:color w:val="auto"/>
          <w:sz w:val="24"/>
        </w:rPr>
        <w:t>、</w:t>
      </w:r>
      <w:r>
        <w:rPr>
          <w:rFonts w:hint="eastAsia" w:ascii="仿宋" w:hAnsi="仿宋" w:eastAsia="仿宋" w:cs="Times New Roman"/>
          <w:color w:val="auto"/>
          <w:sz w:val="24"/>
          <w:lang w:eastAsia="zh-CN"/>
        </w:rPr>
        <w:t>招标编号</w:t>
      </w:r>
      <w:r>
        <w:rPr>
          <w:rFonts w:hint="eastAsia" w:ascii="仿宋" w:hAnsi="仿宋" w:eastAsia="仿宋" w:cs="Times New Roman"/>
          <w:color w:val="auto"/>
          <w:sz w:val="24"/>
        </w:rPr>
        <w:t>、包件号及名称（若有）、投标人名称以及“正本”或“副本”字样。</w:t>
      </w:r>
      <w:r>
        <w:rPr>
          <w:rFonts w:hint="eastAsia" w:ascii="仿宋" w:hAnsi="仿宋" w:eastAsia="仿宋" w:cs="Times New Roman"/>
          <w:color w:val="auto"/>
          <w:sz w:val="24"/>
          <w:lang w:val="en-US" w:eastAsia="zh-CN"/>
        </w:rPr>
        <w:t>（格式</w:t>
      </w:r>
      <w:r>
        <w:rPr>
          <w:rFonts w:hint="eastAsia" w:ascii="仿宋" w:hAnsi="仿宋" w:eastAsia="仿宋" w:cs="Times New Roman"/>
          <w:color w:val="auto"/>
          <w:sz w:val="24"/>
          <w:lang w:eastAsia="zh-CN"/>
        </w:rPr>
        <w:t>详见第三章</w:t>
      </w:r>
      <w:r>
        <w:rPr>
          <w:rFonts w:hint="eastAsia" w:ascii="仿宋" w:hAnsi="仿宋" w:eastAsia="仿宋" w:cs="Times New Roman"/>
          <w:color w:val="auto"/>
          <w:sz w:val="24"/>
          <w:lang w:val="en-US" w:eastAsia="zh-CN"/>
        </w:rPr>
        <w:t>）</w:t>
      </w:r>
    </w:p>
    <w:p w14:paraId="6D8ACD4A">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0" w:firstLineChars="150"/>
        <w:outlineLvl w:val="9"/>
        <w:rPr>
          <w:rFonts w:hint="eastAsia" w:ascii="仿宋" w:hAnsi="仿宋" w:eastAsia="仿宋" w:cs="Times New Roman"/>
          <w:color w:val="auto"/>
          <w:sz w:val="24"/>
        </w:rPr>
      </w:pPr>
      <w:r>
        <w:rPr>
          <w:rFonts w:hint="eastAsia" w:ascii="仿宋" w:hAnsi="仿宋" w:eastAsia="仿宋" w:cs="Times New Roman"/>
          <w:color w:val="auto"/>
          <w:sz w:val="24"/>
        </w:rPr>
        <w:t>18.</w:t>
      </w:r>
      <w:r>
        <w:rPr>
          <w:rFonts w:hint="eastAsia" w:ascii="仿宋" w:hAnsi="仿宋" w:eastAsia="仿宋" w:cs="Times New Roman"/>
          <w:color w:val="auto"/>
          <w:sz w:val="24"/>
          <w:lang w:val="en-US" w:eastAsia="zh-CN"/>
        </w:rPr>
        <w:t>2</w:t>
      </w:r>
      <w:r>
        <w:rPr>
          <w:rFonts w:hint="eastAsia" w:ascii="仿宋" w:hAnsi="仿宋" w:eastAsia="仿宋" w:cs="Times New Roman"/>
          <w:b/>
          <w:bCs/>
          <w:color w:val="auto"/>
          <w:sz w:val="24"/>
          <w:lang w:eastAsia="zh-CN"/>
        </w:rPr>
        <w:t>开标一览表</w:t>
      </w:r>
      <w:r>
        <w:rPr>
          <w:rFonts w:hint="eastAsia" w:ascii="仿宋" w:hAnsi="仿宋" w:eastAsia="仿宋" w:cs="Times New Roman"/>
          <w:color w:val="auto"/>
          <w:sz w:val="24"/>
        </w:rPr>
        <w:t>在其封面上清楚地标明</w:t>
      </w:r>
      <w:r>
        <w:rPr>
          <w:rFonts w:hint="eastAsia" w:ascii="仿宋" w:hAnsi="仿宋" w:eastAsia="仿宋" w:cs="Times New Roman"/>
          <w:color w:val="auto"/>
          <w:sz w:val="24"/>
          <w:lang w:eastAsia="zh-CN"/>
        </w:rPr>
        <w:t>开标一览表</w:t>
      </w:r>
      <w:r>
        <w:rPr>
          <w:rFonts w:hint="eastAsia" w:ascii="仿宋" w:hAnsi="仿宋" w:eastAsia="仿宋" w:cs="Times New Roman"/>
          <w:color w:val="auto"/>
          <w:sz w:val="24"/>
        </w:rPr>
        <w:t>、</w:t>
      </w:r>
      <w:r>
        <w:rPr>
          <w:rFonts w:hint="eastAsia" w:ascii="仿宋" w:hAnsi="仿宋" w:eastAsia="仿宋" w:cs="Times New Roman"/>
          <w:color w:val="auto"/>
          <w:sz w:val="24"/>
          <w:lang w:eastAsia="zh-CN"/>
        </w:rPr>
        <w:t>招标名称</w:t>
      </w:r>
      <w:r>
        <w:rPr>
          <w:rFonts w:hint="eastAsia" w:ascii="仿宋" w:hAnsi="仿宋" w:eastAsia="仿宋" w:cs="Times New Roman"/>
          <w:color w:val="auto"/>
          <w:sz w:val="24"/>
        </w:rPr>
        <w:t>、</w:t>
      </w:r>
      <w:r>
        <w:rPr>
          <w:rFonts w:hint="eastAsia" w:ascii="仿宋" w:hAnsi="仿宋" w:eastAsia="仿宋" w:cs="Times New Roman"/>
          <w:color w:val="auto"/>
          <w:sz w:val="24"/>
          <w:lang w:eastAsia="zh-CN"/>
        </w:rPr>
        <w:t>招标编号</w:t>
      </w:r>
      <w:r>
        <w:rPr>
          <w:rFonts w:hint="eastAsia" w:ascii="仿宋" w:hAnsi="仿宋" w:eastAsia="仿宋" w:cs="Times New Roman"/>
          <w:color w:val="auto"/>
          <w:sz w:val="24"/>
        </w:rPr>
        <w:t>、包件号及名称（若有）、投标人名称。</w:t>
      </w:r>
      <w:r>
        <w:rPr>
          <w:rFonts w:hint="eastAsia" w:ascii="仿宋" w:hAnsi="仿宋" w:eastAsia="仿宋" w:cs="Times New Roman"/>
          <w:color w:val="auto"/>
          <w:sz w:val="24"/>
          <w:lang w:val="en-US" w:eastAsia="zh-CN"/>
        </w:rPr>
        <w:t>（格式</w:t>
      </w:r>
      <w:r>
        <w:rPr>
          <w:rFonts w:hint="eastAsia" w:ascii="仿宋" w:hAnsi="仿宋" w:eastAsia="仿宋" w:cs="Times New Roman"/>
          <w:color w:val="auto"/>
          <w:sz w:val="24"/>
          <w:lang w:eastAsia="zh-CN"/>
        </w:rPr>
        <w:t>详见第三章</w:t>
      </w:r>
      <w:r>
        <w:rPr>
          <w:rFonts w:hint="eastAsia" w:ascii="仿宋" w:hAnsi="仿宋" w:eastAsia="仿宋" w:cs="Times New Roman"/>
          <w:color w:val="auto"/>
          <w:sz w:val="24"/>
          <w:lang w:val="en-US" w:eastAsia="zh-CN"/>
        </w:rPr>
        <w:t>）</w:t>
      </w:r>
    </w:p>
    <w:p w14:paraId="3E810BC5">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0" w:firstLineChars="150"/>
        <w:outlineLvl w:val="9"/>
        <w:rPr>
          <w:rFonts w:hint="eastAsia" w:ascii="仿宋" w:hAnsi="仿宋" w:eastAsia="仿宋" w:cs="Times New Roman"/>
          <w:color w:val="auto"/>
          <w:sz w:val="24"/>
        </w:rPr>
      </w:pPr>
      <w:r>
        <w:rPr>
          <w:rFonts w:hint="eastAsia" w:ascii="仿宋" w:hAnsi="仿宋" w:eastAsia="仿宋" w:cs="Times New Roman"/>
          <w:color w:val="auto"/>
          <w:sz w:val="24"/>
        </w:rPr>
        <w:t>18.</w:t>
      </w:r>
      <w:r>
        <w:rPr>
          <w:rFonts w:hint="eastAsia" w:ascii="仿宋" w:hAnsi="仿宋" w:eastAsia="仿宋" w:cs="Times New Roman"/>
          <w:color w:val="auto"/>
          <w:sz w:val="24"/>
          <w:lang w:val="en-US" w:eastAsia="zh-CN"/>
        </w:rPr>
        <w:t>3</w:t>
      </w:r>
      <w:r>
        <w:rPr>
          <w:rFonts w:hint="eastAsia" w:ascii="仿宋" w:hAnsi="仿宋" w:eastAsia="仿宋" w:cs="Times New Roman"/>
          <w:color w:val="auto"/>
          <w:sz w:val="24"/>
        </w:rPr>
        <w:t>投标文件的正本和副本均需打印或用不褪色、不变质的墨水书写，并由投标人的法定代表人/</w:t>
      </w:r>
      <w:r>
        <w:rPr>
          <w:rFonts w:hint="eastAsia" w:ascii="仿宋" w:hAnsi="仿宋" w:eastAsia="仿宋" w:cs="Times New Roman"/>
          <w:color w:val="auto"/>
          <w:sz w:val="24"/>
          <w:lang w:eastAsia="zh-CN"/>
        </w:rPr>
        <w:t>单位</w:t>
      </w:r>
      <w:r>
        <w:rPr>
          <w:rFonts w:hint="eastAsia" w:ascii="仿宋" w:hAnsi="仿宋" w:eastAsia="仿宋" w:cs="Times New Roman"/>
          <w:color w:val="auto"/>
          <w:sz w:val="24"/>
        </w:rPr>
        <w:t>负责人或其授权代表在规定签章处签字</w:t>
      </w:r>
      <w:r>
        <w:rPr>
          <w:rFonts w:hint="eastAsia" w:ascii="仿宋" w:hAnsi="仿宋" w:eastAsia="仿宋" w:cs="Times New Roman"/>
          <w:color w:val="auto"/>
          <w:sz w:val="24"/>
          <w:lang w:eastAsia="zh-CN"/>
        </w:rPr>
        <w:t>和盖章</w:t>
      </w:r>
      <w:r>
        <w:rPr>
          <w:rFonts w:hint="eastAsia" w:ascii="仿宋" w:hAnsi="仿宋" w:eastAsia="仿宋" w:cs="Times New Roman"/>
          <w:color w:val="auto"/>
          <w:sz w:val="24"/>
        </w:rPr>
        <w:t>。投标文件副本可采用正本的复印件。若正本和副本有不一致的内容，以正本书面投标文件为准。</w:t>
      </w:r>
    </w:p>
    <w:p w14:paraId="6623451D">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0" w:firstLineChars="150"/>
        <w:outlineLvl w:val="9"/>
        <w:rPr>
          <w:rFonts w:hint="eastAsia" w:ascii="仿宋" w:hAnsi="仿宋" w:eastAsia="仿宋" w:cs="Times New Roman"/>
          <w:color w:val="auto"/>
          <w:sz w:val="24"/>
        </w:rPr>
      </w:pPr>
      <w:r>
        <w:rPr>
          <w:rFonts w:hint="eastAsia" w:ascii="仿宋" w:hAnsi="仿宋" w:eastAsia="仿宋" w:cs="Times New Roman"/>
          <w:color w:val="auto"/>
          <w:sz w:val="24"/>
        </w:rPr>
        <w:t>18.</w:t>
      </w:r>
      <w:r>
        <w:rPr>
          <w:rFonts w:hint="eastAsia" w:ascii="仿宋" w:hAnsi="仿宋" w:eastAsia="仿宋" w:cs="Times New Roman"/>
          <w:color w:val="auto"/>
          <w:sz w:val="24"/>
          <w:lang w:val="en-US" w:eastAsia="zh-CN"/>
        </w:rPr>
        <w:t>4</w:t>
      </w:r>
      <w:r>
        <w:rPr>
          <w:rFonts w:hint="eastAsia" w:ascii="仿宋" w:hAnsi="仿宋" w:eastAsia="仿宋" w:cs="Times New Roman"/>
          <w:color w:val="auto"/>
          <w:sz w:val="24"/>
        </w:rPr>
        <w:t>投标文件的打印和书写应清楚工整，任何行间插字、涂改或增删，必须由投标人的法定代表人/</w:t>
      </w:r>
      <w:r>
        <w:rPr>
          <w:rFonts w:hint="eastAsia" w:ascii="仿宋" w:hAnsi="仿宋" w:eastAsia="仿宋" w:cs="Times New Roman"/>
          <w:color w:val="auto"/>
          <w:sz w:val="24"/>
          <w:lang w:eastAsia="zh-CN"/>
        </w:rPr>
        <w:t>单位负责人</w:t>
      </w:r>
      <w:r>
        <w:rPr>
          <w:rFonts w:hint="eastAsia" w:ascii="仿宋" w:hAnsi="仿宋" w:eastAsia="仿宋" w:cs="Times New Roman"/>
          <w:color w:val="auto"/>
          <w:sz w:val="24"/>
        </w:rPr>
        <w:t>或其授权代表签字或盖个人印鉴。</w:t>
      </w:r>
    </w:p>
    <w:p w14:paraId="0C9B0EF2">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0" w:firstLineChars="150"/>
        <w:outlineLvl w:val="9"/>
        <w:rPr>
          <w:rFonts w:hint="eastAsia" w:ascii="仿宋" w:hAnsi="仿宋" w:eastAsia="仿宋" w:cs="Times New Roman"/>
          <w:color w:val="auto"/>
          <w:sz w:val="24"/>
        </w:rPr>
      </w:pPr>
      <w:r>
        <w:rPr>
          <w:rFonts w:hint="eastAsia" w:ascii="仿宋" w:hAnsi="仿宋" w:eastAsia="仿宋" w:cs="Times New Roman"/>
          <w:color w:val="auto"/>
          <w:sz w:val="24"/>
        </w:rPr>
        <w:t>18.</w:t>
      </w:r>
      <w:r>
        <w:rPr>
          <w:rFonts w:hint="eastAsia" w:ascii="仿宋" w:hAnsi="仿宋" w:eastAsia="仿宋" w:cs="Times New Roman"/>
          <w:color w:val="auto"/>
          <w:sz w:val="24"/>
          <w:lang w:val="en-US" w:eastAsia="zh-CN"/>
        </w:rPr>
        <w:t>5</w:t>
      </w:r>
      <w:r>
        <w:rPr>
          <w:rFonts w:hint="eastAsia" w:ascii="仿宋" w:hAnsi="仿宋" w:eastAsia="仿宋" w:cs="Times New Roman"/>
          <w:color w:val="auto"/>
          <w:sz w:val="24"/>
        </w:rPr>
        <w:t>投标文件正本和副本应当采取胶装方式装订成册，不得散装或者活页装订。</w:t>
      </w:r>
    </w:p>
    <w:p w14:paraId="675ECEEA">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0" w:firstLineChars="150"/>
        <w:outlineLvl w:val="9"/>
        <w:rPr>
          <w:rFonts w:hint="eastAsia" w:ascii="仿宋" w:hAnsi="仿宋" w:eastAsia="仿宋" w:cs="Times New Roman"/>
          <w:color w:val="auto"/>
          <w:sz w:val="24"/>
        </w:rPr>
      </w:pPr>
      <w:r>
        <w:rPr>
          <w:rFonts w:hint="eastAsia" w:ascii="仿宋" w:hAnsi="仿宋" w:eastAsia="仿宋" w:cs="Times New Roman"/>
          <w:color w:val="auto"/>
          <w:sz w:val="24"/>
        </w:rPr>
        <w:t>18.</w:t>
      </w:r>
      <w:r>
        <w:rPr>
          <w:rFonts w:hint="eastAsia" w:ascii="仿宋" w:hAnsi="仿宋" w:eastAsia="仿宋" w:cs="Times New Roman"/>
          <w:color w:val="auto"/>
          <w:sz w:val="24"/>
          <w:lang w:val="en-US" w:eastAsia="zh-CN"/>
        </w:rPr>
        <w:t>6</w:t>
      </w:r>
      <w:r>
        <w:rPr>
          <w:rFonts w:hint="eastAsia" w:ascii="仿宋" w:hAnsi="仿宋" w:eastAsia="仿宋" w:cs="Times New Roman"/>
          <w:color w:val="auto"/>
          <w:sz w:val="24"/>
        </w:rPr>
        <w:t>投标文件应根据招标文件的要求制作，签署、盖章。投标文件统一用A4幅面纸印制，逐页编码。本次招标要求的复印件是指对图文进行复制后的文件，包括扫描、复印、影印等方式复制的材料。</w:t>
      </w:r>
    </w:p>
    <w:p w14:paraId="3595196C">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1" w:firstLineChars="150"/>
        <w:outlineLvl w:val="9"/>
        <w:rPr>
          <w:rFonts w:hint="default" w:ascii="仿宋" w:hAnsi="仿宋" w:eastAsia="仿宋" w:cs="Times New Roman"/>
          <w:b/>
          <w:bCs/>
          <w:color w:val="auto"/>
          <w:sz w:val="24"/>
          <w:lang w:val="en-US" w:eastAsia="zh-CN"/>
        </w:rPr>
      </w:pPr>
      <w:r>
        <w:rPr>
          <w:rFonts w:hint="eastAsia" w:ascii="仿宋" w:hAnsi="仿宋" w:eastAsia="仿宋" w:cs="Times New Roman"/>
          <w:b/>
          <w:bCs/>
          <w:color w:val="auto"/>
          <w:sz w:val="24"/>
          <w:lang w:eastAsia="zh-CN"/>
        </w:rPr>
        <w:t>注：采购项目分包的，各包须按以上要求分别印制及签署投标文件。</w:t>
      </w:r>
    </w:p>
    <w:p w14:paraId="0CF57CA7">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1" w:firstLineChars="150"/>
        <w:outlineLvl w:val="9"/>
        <w:rPr>
          <w:rFonts w:hint="eastAsia" w:ascii="仿宋" w:hAnsi="仿宋" w:eastAsia="仿宋" w:cs="Times New Roman"/>
          <w:b/>
          <w:bCs/>
          <w:color w:val="auto"/>
          <w:sz w:val="24"/>
        </w:rPr>
      </w:pPr>
      <w:r>
        <w:rPr>
          <w:rFonts w:hint="eastAsia" w:ascii="仿宋" w:hAnsi="仿宋" w:eastAsia="仿宋" w:cs="Times New Roman"/>
          <w:b/>
          <w:bCs/>
          <w:color w:val="auto"/>
          <w:sz w:val="24"/>
        </w:rPr>
        <w:t>19.投标文件的密封和标</w:t>
      </w:r>
      <w:bookmarkEnd w:id="108"/>
      <w:bookmarkEnd w:id="109"/>
      <w:bookmarkEnd w:id="110"/>
      <w:bookmarkEnd w:id="111"/>
      <w:r>
        <w:rPr>
          <w:rFonts w:hint="eastAsia" w:ascii="仿宋" w:hAnsi="仿宋" w:eastAsia="仿宋" w:cs="Times New Roman"/>
          <w:b/>
          <w:bCs/>
          <w:color w:val="auto"/>
          <w:sz w:val="24"/>
        </w:rPr>
        <w:t>注</w:t>
      </w:r>
      <w:bookmarkEnd w:id="112"/>
      <w:bookmarkEnd w:id="113"/>
      <w:bookmarkEnd w:id="114"/>
    </w:p>
    <w:p w14:paraId="15009284">
      <w:pPr>
        <w:keepNext w:val="0"/>
        <w:keepLines w:val="0"/>
        <w:pageBreakBefore w:val="0"/>
        <w:widowControl w:val="0"/>
        <w:tabs>
          <w:tab w:val="left" w:pos="1095"/>
        </w:tabs>
        <w:kinsoku/>
        <w:wordWrap/>
        <w:overflowPunct/>
        <w:topLinePunct w:val="0"/>
        <w:autoSpaceDE/>
        <w:autoSpaceDN/>
        <w:bidi w:val="0"/>
        <w:snapToGrid/>
        <w:spacing w:after="0" w:line="360" w:lineRule="auto"/>
        <w:ind w:firstLine="460" w:firstLineChars="192"/>
        <w:outlineLvl w:val="9"/>
        <w:rPr>
          <w:rFonts w:hint="eastAsia" w:ascii="仿宋" w:hAnsi="仿宋" w:eastAsia="仿宋" w:cs="Times New Roman"/>
          <w:color w:val="auto"/>
          <w:sz w:val="24"/>
        </w:rPr>
      </w:pPr>
      <w:bookmarkStart w:id="115" w:name="_Toc183682364"/>
      <w:bookmarkStart w:id="116" w:name="_Toc183582227"/>
      <w:bookmarkStart w:id="117" w:name="_Toc308164804"/>
      <w:bookmarkStart w:id="118" w:name="_Toc217446054"/>
      <w:bookmarkStart w:id="119" w:name="_Toc79959183"/>
      <w:r>
        <w:rPr>
          <w:rFonts w:hint="eastAsia" w:ascii="仿宋" w:hAnsi="仿宋" w:eastAsia="仿宋" w:cs="Times New Roman"/>
          <w:color w:val="auto"/>
          <w:sz w:val="24"/>
        </w:rPr>
        <w:t>19.1 投标人应在投标文件正本和所有副本的封面上注明投标人名称、</w:t>
      </w:r>
      <w:r>
        <w:rPr>
          <w:rFonts w:hint="eastAsia" w:ascii="仿宋" w:hAnsi="仿宋" w:eastAsia="仿宋" w:cs="Times New Roman"/>
          <w:color w:val="auto"/>
          <w:sz w:val="24"/>
          <w:lang w:eastAsia="zh-CN"/>
        </w:rPr>
        <w:t>招标编号</w:t>
      </w:r>
      <w:r>
        <w:rPr>
          <w:rFonts w:hint="eastAsia" w:ascii="仿宋" w:hAnsi="仿宋" w:eastAsia="仿宋" w:cs="Times New Roman"/>
          <w:color w:val="auto"/>
          <w:sz w:val="24"/>
        </w:rPr>
        <w:t>、</w:t>
      </w:r>
      <w:r>
        <w:rPr>
          <w:rFonts w:hint="eastAsia" w:ascii="仿宋" w:hAnsi="仿宋" w:eastAsia="仿宋" w:cs="Times New Roman"/>
          <w:color w:val="auto"/>
          <w:sz w:val="24"/>
          <w:lang w:eastAsia="zh-CN"/>
        </w:rPr>
        <w:t>招标名称</w:t>
      </w:r>
      <w:r>
        <w:rPr>
          <w:rFonts w:hint="eastAsia" w:ascii="仿宋" w:hAnsi="仿宋" w:eastAsia="仿宋" w:cs="Times New Roman"/>
          <w:color w:val="auto"/>
          <w:sz w:val="24"/>
        </w:rPr>
        <w:t>及分包号（如有分包）。</w:t>
      </w:r>
    </w:p>
    <w:p w14:paraId="3BD9AC64">
      <w:pPr>
        <w:keepNext w:val="0"/>
        <w:keepLines w:val="0"/>
        <w:pageBreakBefore w:val="0"/>
        <w:widowControl w:val="0"/>
        <w:tabs>
          <w:tab w:val="left" w:pos="1095"/>
        </w:tabs>
        <w:kinsoku/>
        <w:wordWrap/>
        <w:overflowPunct/>
        <w:topLinePunct w:val="0"/>
        <w:autoSpaceDE/>
        <w:autoSpaceDN/>
        <w:bidi w:val="0"/>
        <w:snapToGrid/>
        <w:spacing w:after="0" w:line="360" w:lineRule="auto"/>
        <w:ind w:firstLine="460" w:firstLineChars="192"/>
        <w:outlineLvl w:val="9"/>
        <w:rPr>
          <w:rFonts w:hint="eastAsia" w:ascii="仿宋" w:hAnsi="仿宋" w:eastAsia="仿宋" w:cs="Times New Roman"/>
          <w:color w:val="auto"/>
          <w:sz w:val="24"/>
          <w:lang w:eastAsia="zh-CN"/>
        </w:rPr>
      </w:pPr>
      <w:r>
        <w:rPr>
          <w:rFonts w:hint="eastAsia" w:ascii="仿宋" w:hAnsi="仿宋" w:eastAsia="仿宋" w:cs="Times New Roman"/>
          <w:color w:val="auto"/>
          <w:sz w:val="24"/>
        </w:rPr>
        <w:t>19.2 投标文件包括正本、副本、投标文件电子档和用于开标唱标单独提交的“开标一览表”。投标文件应当密封，</w:t>
      </w:r>
      <w:r>
        <w:rPr>
          <w:rFonts w:hint="eastAsia" w:ascii="仿宋" w:hAnsi="仿宋" w:eastAsia="仿宋" w:cs="Times New Roman"/>
          <w:b/>
          <w:bCs/>
          <w:color w:val="auto"/>
          <w:sz w:val="24"/>
        </w:rPr>
        <w:t>并在封口处加盖单位公章，</w:t>
      </w:r>
      <w:r>
        <w:rPr>
          <w:rFonts w:hint="eastAsia" w:ascii="仿宋" w:hAnsi="仿宋" w:eastAsia="仿宋" w:cs="Times New Roman"/>
          <w:color w:val="auto"/>
          <w:sz w:val="24"/>
        </w:rPr>
        <w:t>其中“开标一览表”单独密封。</w:t>
      </w:r>
    </w:p>
    <w:p w14:paraId="40528C75">
      <w:pPr>
        <w:keepNext w:val="0"/>
        <w:keepLines w:val="0"/>
        <w:pageBreakBefore w:val="0"/>
        <w:widowControl w:val="0"/>
        <w:tabs>
          <w:tab w:val="left" w:pos="1095"/>
        </w:tabs>
        <w:kinsoku/>
        <w:wordWrap/>
        <w:overflowPunct/>
        <w:topLinePunct w:val="0"/>
        <w:autoSpaceDE/>
        <w:autoSpaceDN/>
        <w:bidi w:val="0"/>
        <w:snapToGrid/>
        <w:spacing w:after="0" w:line="360" w:lineRule="auto"/>
        <w:ind w:firstLine="460" w:firstLineChars="192"/>
        <w:outlineLvl w:val="9"/>
        <w:rPr>
          <w:rFonts w:hint="eastAsia" w:ascii="仿宋" w:hAnsi="仿宋" w:eastAsia="仿宋" w:cs="Times New Roman"/>
          <w:color w:val="auto"/>
          <w:sz w:val="24"/>
        </w:rPr>
      </w:pPr>
      <w:r>
        <w:rPr>
          <w:rFonts w:hint="eastAsia" w:ascii="仿宋" w:hAnsi="仿宋" w:eastAsia="仿宋" w:cs="Times New Roman"/>
          <w:color w:val="auto"/>
          <w:sz w:val="24"/>
        </w:rPr>
        <w:t>19.3 投标文件的密封袋上应当注明投标人名称、</w:t>
      </w:r>
      <w:r>
        <w:rPr>
          <w:rFonts w:hint="eastAsia" w:ascii="仿宋" w:hAnsi="仿宋" w:eastAsia="仿宋" w:cs="Times New Roman"/>
          <w:color w:val="auto"/>
          <w:sz w:val="24"/>
          <w:lang w:eastAsia="zh-CN"/>
        </w:rPr>
        <w:t>招标编号</w:t>
      </w:r>
      <w:r>
        <w:rPr>
          <w:rFonts w:hint="eastAsia" w:ascii="仿宋" w:hAnsi="仿宋" w:eastAsia="仿宋" w:cs="Times New Roman"/>
          <w:color w:val="auto"/>
          <w:sz w:val="24"/>
        </w:rPr>
        <w:t>、</w:t>
      </w:r>
      <w:r>
        <w:rPr>
          <w:rFonts w:hint="eastAsia" w:ascii="仿宋" w:hAnsi="仿宋" w:eastAsia="仿宋" w:cs="Times New Roman"/>
          <w:color w:val="auto"/>
          <w:sz w:val="24"/>
          <w:lang w:eastAsia="zh-CN"/>
        </w:rPr>
        <w:t>招标名称</w:t>
      </w:r>
      <w:r>
        <w:rPr>
          <w:rFonts w:hint="eastAsia" w:ascii="仿宋" w:hAnsi="仿宋" w:eastAsia="仿宋" w:cs="Times New Roman"/>
          <w:color w:val="auto"/>
          <w:sz w:val="24"/>
        </w:rPr>
        <w:t>及分包号（如有分包）。</w:t>
      </w:r>
      <w:r>
        <w:rPr>
          <w:rFonts w:hint="eastAsia" w:ascii="仿宋" w:hAnsi="仿宋" w:eastAsia="仿宋" w:cs="Times New Roman"/>
          <w:color w:val="auto"/>
          <w:sz w:val="24"/>
          <w:lang w:eastAsia="zh-CN"/>
        </w:rPr>
        <w:t>每一密封件上应注明“于   年  月  日  时  分之前不准启封”字样</w:t>
      </w:r>
      <w:r>
        <w:rPr>
          <w:rFonts w:hint="eastAsia" w:ascii="仿宋" w:hAnsi="仿宋" w:eastAsia="仿宋" w:cs="Times New Roman"/>
          <w:color w:val="auto"/>
          <w:sz w:val="24"/>
        </w:rPr>
        <w:t>。</w:t>
      </w:r>
    </w:p>
    <w:p w14:paraId="14A65F92">
      <w:pPr>
        <w:keepNext w:val="0"/>
        <w:keepLines w:val="0"/>
        <w:pageBreakBefore w:val="0"/>
        <w:widowControl w:val="0"/>
        <w:tabs>
          <w:tab w:val="left" w:pos="1095"/>
        </w:tabs>
        <w:kinsoku/>
        <w:wordWrap/>
        <w:overflowPunct/>
        <w:topLinePunct w:val="0"/>
        <w:autoSpaceDE/>
        <w:autoSpaceDN/>
        <w:bidi w:val="0"/>
        <w:snapToGrid/>
        <w:spacing w:after="0" w:line="360" w:lineRule="auto"/>
        <w:ind w:firstLine="463" w:firstLineChars="192"/>
        <w:outlineLvl w:val="9"/>
        <w:rPr>
          <w:rFonts w:hint="default" w:ascii="仿宋" w:hAnsi="仿宋" w:eastAsia="仿宋" w:cs="Times New Roman"/>
          <w:b/>
          <w:bCs/>
          <w:color w:val="auto"/>
          <w:sz w:val="24"/>
          <w:lang w:val="en-US" w:eastAsia="zh-CN"/>
        </w:rPr>
      </w:pPr>
      <w:r>
        <w:rPr>
          <w:rFonts w:hint="eastAsia" w:ascii="仿宋" w:hAnsi="仿宋" w:eastAsia="仿宋" w:cs="Times New Roman"/>
          <w:b/>
          <w:bCs/>
          <w:color w:val="auto"/>
          <w:sz w:val="24"/>
          <w:lang w:eastAsia="zh-CN"/>
        </w:rPr>
        <w:t>注：采购项目分包的，各包须按以上要求分别密封和标注。</w:t>
      </w:r>
    </w:p>
    <w:p w14:paraId="32A35CFE">
      <w:pPr>
        <w:keepNext w:val="0"/>
        <w:keepLines w:val="0"/>
        <w:pageBreakBefore w:val="0"/>
        <w:widowControl w:val="0"/>
        <w:tabs>
          <w:tab w:val="left" w:pos="1095"/>
        </w:tabs>
        <w:kinsoku/>
        <w:wordWrap/>
        <w:overflowPunct/>
        <w:topLinePunct w:val="0"/>
        <w:autoSpaceDE/>
        <w:autoSpaceDN/>
        <w:bidi w:val="0"/>
        <w:snapToGrid/>
        <w:spacing w:after="0" w:line="360" w:lineRule="auto"/>
        <w:ind w:firstLine="463" w:firstLineChars="192"/>
        <w:outlineLvl w:val="9"/>
        <w:rPr>
          <w:rFonts w:hint="eastAsia" w:ascii="仿宋" w:hAnsi="仿宋" w:eastAsia="仿宋" w:cs="Times New Roman"/>
          <w:b/>
          <w:bCs/>
          <w:color w:val="auto"/>
          <w:sz w:val="24"/>
        </w:rPr>
      </w:pPr>
      <w:r>
        <w:rPr>
          <w:rFonts w:hint="eastAsia" w:ascii="仿宋" w:hAnsi="仿宋" w:eastAsia="仿宋" w:cs="Times New Roman"/>
          <w:b/>
          <w:bCs/>
          <w:color w:val="auto"/>
          <w:sz w:val="24"/>
        </w:rPr>
        <w:t>20．投标文件的</w:t>
      </w:r>
      <w:bookmarkEnd w:id="115"/>
      <w:bookmarkEnd w:id="116"/>
      <w:r>
        <w:rPr>
          <w:rFonts w:hint="eastAsia" w:ascii="仿宋" w:hAnsi="仿宋" w:eastAsia="仿宋" w:cs="Times New Roman"/>
          <w:b/>
          <w:bCs/>
          <w:color w:val="auto"/>
          <w:sz w:val="24"/>
        </w:rPr>
        <w:t>递交</w:t>
      </w:r>
      <w:bookmarkEnd w:id="117"/>
      <w:bookmarkEnd w:id="118"/>
      <w:bookmarkEnd w:id="119"/>
    </w:p>
    <w:p w14:paraId="380DC559">
      <w:pPr>
        <w:keepNext w:val="0"/>
        <w:keepLines w:val="0"/>
        <w:pageBreakBefore w:val="0"/>
        <w:widowControl w:val="0"/>
        <w:kinsoku/>
        <w:wordWrap/>
        <w:overflowPunct/>
        <w:topLinePunct w:val="0"/>
        <w:autoSpaceDE/>
        <w:autoSpaceDN/>
        <w:bidi w:val="0"/>
        <w:snapToGrid/>
        <w:spacing w:after="0" w:line="360" w:lineRule="auto"/>
        <w:ind w:firstLine="470" w:firstLineChars="196"/>
        <w:outlineLvl w:val="9"/>
        <w:rPr>
          <w:rFonts w:hint="eastAsia" w:ascii="仿宋" w:hAnsi="仿宋" w:eastAsia="仿宋" w:cs="Times New Roman"/>
          <w:color w:val="auto"/>
          <w:sz w:val="24"/>
          <w:lang w:val="en-US" w:eastAsia="zh-CN"/>
        </w:rPr>
      </w:pPr>
      <w:bookmarkStart w:id="120" w:name="_Toc183682365"/>
      <w:bookmarkStart w:id="121" w:name="_Toc183582228"/>
      <w:bookmarkStart w:id="122" w:name="_Toc217446055"/>
      <w:bookmarkStart w:id="123" w:name="_Toc79959184"/>
      <w:r>
        <w:rPr>
          <w:rFonts w:hint="eastAsia" w:ascii="仿宋" w:hAnsi="仿宋" w:eastAsia="仿宋" w:cs="Times New Roman"/>
          <w:color w:val="auto"/>
          <w:sz w:val="24"/>
          <w:lang w:val="en-US" w:eastAsia="zh-CN"/>
        </w:rPr>
        <w:t>20.1 投标人应在招标文件规定的提交投标文件截止时间前，将投标文件按招标文件的规定密封后送达开标地点。招标代理机构收到投标文件后，如实记载投标文件的送达时间和密封情况，签收保存，并向投标人出具签收回执。逾期送达或未按照招标文件要求密封的投标文件，招标人、招标代理机构应当拒收并将告知投标人不予接收的原因。</w:t>
      </w:r>
    </w:p>
    <w:p w14:paraId="26E56037">
      <w:pPr>
        <w:keepNext w:val="0"/>
        <w:keepLines w:val="0"/>
        <w:pageBreakBefore w:val="0"/>
        <w:widowControl w:val="0"/>
        <w:kinsoku/>
        <w:wordWrap/>
        <w:overflowPunct/>
        <w:topLinePunct w:val="0"/>
        <w:autoSpaceDE/>
        <w:autoSpaceDN/>
        <w:bidi w:val="0"/>
        <w:snapToGrid/>
        <w:spacing w:after="0" w:line="360" w:lineRule="auto"/>
        <w:ind w:firstLine="470" w:firstLineChars="196"/>
        <w:outlineLvl w:val="9"/>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20.2递交投标文件时，报名投标人名称和招标文件的文号、分包号应当与投标人名称和招标文件的文号、分包号一致。但是，投标文件实质内容报名投标人名称和招标文件的文号、分包号一致，只是封面文字错误的，可以在评标过程中当面予以澄清，以有效的澄清材料作</w:t>
      </w:r>
      <w:r>
        <w:rPr>
          <w:rFonts w:hint="eastAsia" w:ascii="仿宋" w:hAnsi="仿宋" w:eastAsia="仿宋" w:cs="Times New Roman"/>
          <w:color w:val="auto"/>
          <w:sz w:val="24"/>
          <w:lang w:val="en-US" w:eastAsia="zh-CN"/>
        </w:rPr>
        <w:t>为认定投标文件是否有效的依据。</w:t>
      </w:r>
    </w:p>
    <w:p w14:paraId="71DE7BE4">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b w:val="0"/>
          <w:bCs w:val="0"/>
          <w:color w:val="auto"/>
          <w:kern w:val="2"/>
          <w:sz w:val="24"/>
          <w:szCs w:val="24"/>
          <w:highlight w:val="none"/>
          <w:lang w:val="en-US" w:eastAsia="zh-CN" w:bidi="ar-SA"/>
        </w:rPr>
      </w:pPr>
      <w:r>
        <w:rPr>
          <w:rFonts w:hint="eastAsia" w:ascii="仿宋" w:hAnsi="仿宋" w:eastAsia="仿宋"/>
          <w:b w:val="0"/>
          <w:bCs w:val="0"/>
          <w:color w:val="auto"/>
          <w:kern w:val="2"/>
          <w:sz w:val="24"/>
          <w:szCs w:val="24"/>
          <w:highlight w:val="none"/>
          <w:lang w:val="en-US" w:eastAsia="zh-CN" w:bidi="ar-SA"/>
        </w:rPr>
        <w:t>20.3本次招标不接收邮寄的投标文件。</w:t>
      </w:r>
    </w:p>
    <w:p w14:paraId="7A3BBEEB">
      <w:pPr>
        <w:keepNext w:val="0"/>
        <w:keepLines w:val="0"/>
        <w:pageBreakBefore w:val="0"/>
        <w:widowControl w:val="0"/>
        <w:kinsoku/>
        <w:wordWrap/>
        <w:overflowPunct/>
        <w:topLinePunct w:val="0"/>
        <w:autoSpaceDE/>
        <w:autoSpaceDN/>
        <w:bidi w:val="0"/>
        <w:snapToGrid/>
        <w:spacing w:after="0" w:line="360" w:lineRule="auto"/>
        <w:ind w:firstLine="472" w:firstLineChars="196"/>
        <w:outlineLvl w:val="9"/>
        <w:rPr>
          <w:rFonts w:hint="eastAsia" w:ascii="仿宋" w:hAnsi="仿宋" w:eastAsia="仿宋" w:cs="Times New Roman"/>
          <w:b/>
          <w:bCs/>
          <w:color w:val="auto"/>
          <w:sz w:val="24"/>
        </w:rPr>
      </w:pPr>
      <w:r>
        <w:rPr>
          <w:rFonts w:hint="eastAsia" w:ascii="仿宋" w:hAnsi="仿宋" w:eastAsia="仿宋" w:cs="Times New Roman"/>
          <w:b/>
          <w:bCs/>
          <w:color w:val="auto"/>
          <w:sz w:val="24"/>
        </w:rPr>
        <w:t>21．投标文件的修改和撤</w:t>
      </w:r>
      <w:bookmarkEnd w:id="120"/>
      <w:bookmarkEnd w:id="121"/>
      <w:r>
        <w:rPr>
          <w:rFonts w:hint="eastAsia" w:ascii="仿宋" w:hAnsi="仿宋" w:eastAsia="仿宋" w:cs="Times New Roman"/>
          <w:b/>
          <w:bCs/>
          <w:color w:val="auto"/>
          <w:sz w:val="24"/>
        </w:rPr>
        <w:t>回</w:t>
      </w:r>
      <w:bookmarkEnd w:id="122"/>
      <w:bookmarkEnd w:id="123"/>
    </w:p>
    <w:p w14:paraId="2169474C">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highlight w:val="none"/>
        </w:rPr>
      </w:pPr>
      <w:bookmarkStart w:id="124" w:name="_Toc89075878"/>
      <w:bookmarkStart w:id="125" w:name="_Toc77400782"/>
      <w:bookmarkStart w:id="126" w:name="_Toc308164805"/>
      <w:bookmarkStart w:id="127" w:name="_Toc217446056"/>
      <w:bookmarkStart w:id="128" w:name="_Toc183582231"/>
      <w:bookmarkStart w:id="129" w:name="_Toc79959185"/>
      <w:bookmarkStart w:id="130" w:name="_Toc183682368"/>
      <w:r>
        <w:rPr>
          <w:rFonts w:hint="eastAsia" w:ascii="仿宋_GB2312" w:hAnsi="仿宋_GB2312" w:cs="仿宋_GB2312"/>
          <w:color w:val="auto"/>
          <w:sz w:val="24"/>
          <w:highlight w:val="none"/>
          <w:lang w:val="en-US" w:eastAsia="zh-CN"/>
        </w:rPr>
        <w:t>21</w:t>
      </w:r>
      <w:r>
        <w:rPr>
          <w:rFonts w:hint="eastAsia" w:ascii="仿宋_GB2312" w:hAnsi="仿宋_GB2312" w:eastAsia="仿宋_GB2312" w:cs="仿宋_GB2312"/>
          <w:color w:val="auto"/>
          <w:sz w:val="24"/>
          <w:highlight w:val="none"/>
        </w:rPr>
        <w:t>.1 投标人在提交投标文件后可对其投标文件进行修改或撤销，但该修改或撤销的书面</w:t>
      </w:r>
      <w:r>
        <w:rPr>
          <w:rFonts w:hint="eastAsia" w:ascii="仿宋_GB2312" w:hAnsi="仿宋_GB2312" w:eastAsia="仿宋_GB2312" w:cs="仿宋_GB2312"/>
          <w:color w:val="auto"/>
          <w:sz w:val="24"/>
          <w:highlight w:val="none"/>
          <w:lang w:eastAsia="zh-CN"/>
        </w:rPr>
        <w:t>通</w:t>
      </w:r>
      <w:r>
        <w:rPr>
          <w:rFonts w:hint="eastAsia" w:ascii="仿宋_GB2312" w:hAnsi="仿宋_GB2312" w:eastAsia="仿宋_GB2312" w:cs="仿宋_GB2312"/>
          <w:color w:val="auto"/>
          <w:sz w:val="24"/>
          <w:highlight w:val="none"/>
        </w:rPr>
        <w:t>知</w:t>
      </w:r>
      <w:r>
        <w:rPr>
          <w:rFonts w:hint="eastAsia" w:ascii="仿宋_GB2312" w:hAnsi="仿宋_GB2312" w:eastAsia="仿宋_GB2312" w:cs="仿宋_GB2312"/>
          <w:color w:val="auto"/>
          <w:sz w:val="24"/>
          <w:highlight w:val="none"/>
          <w:lang w:eastAsia="zh-CN"/>
        </w:rPr>
        <w:t>必</w:t>
      </w:r>
      <w:r>
        <w:rPr>
          <w:rFonts w:hint="eastAsia" w:ascii="仿宋_GB2312" w:hAnsi="仿宋_GB2312" w:eastAsia="仿宋_GB2312" w:cs="仿宋_GB2312"/>
          <w:color w:val="auto"/>
          <w:sz w:val="24"/>
          <w:highlight w:val="none"/>
        </w:rPr>
        <w:t>须在递交截止时间之前送达</w:t>
      </w:r>
      <w:r>
        <w:rPr>
          <w:rFonts w:hint="eastAsia" w:ascii="仿宋_GB2312" w:hAnsi="仿宋_GB2312" w:cs="仿宋_GB2312"/>
          <w:color w:val="auto"/>
          <w:sz w:val="24"/>
          <w:highlight w:val="none"/>
          <w:lang w:eastAsia="zh-CN"/>
        </w:rPr>
        <w:t>招标代理机构</w:t>
      </w:r>
      <w:r>
        <w:rPr>
          <w:rFonts w:hint="eastAsia" w:ascii="仿宋_GB2312" w:hAnsi="仿宋_GB2312" w:eastAsia="仿宋_GB2312" w:cs="仿宋_GB2312"/>
          <w:color w:val="auto"/>
          <w:sz w:val="24"/>
          <w:highlight w:val="none"/>
        </w:rPr>
        <w:t>，补充、修改的内容作为投标文件的组成部分。该通知</w:t>
      </w:r>
      <w:r>
        <w:rPr>
          <w:rFonts w:hint="eastAsia" w:ascii="仿宋_GB2312" w:hAnsi="仿宋_GB2312" w:eastAsia="仿宋_GB2312" w:cs="仿宋_GB2312"/>
          <w:color w:val="auto"/>
          <w:sz w:val="24"/>
          <w:highlight w:val="none"/>
          <w:lang w:eastAsia="zh-CN"/>
        </w:rPr>
        <w:t>应由其法定代表人或</w:t>
      </w:r>
      <w:r>
        <w:rPr>
          <w:rFonts w:hint="eastAsia" w:ascii="仿宋_GB2312" w:hAnsi="仿宋_GB2312" w:eastAsia="仿宋_GB2312" w:cs="仿宋_GB2312"/>
          <w:color w:val="auto"/>
          <w:sz w:val="24"/>
          <w:highlight w:val="none"/>
        </w:rPr>
        <w:t>授权代表</w:t>
      </w:r>
      <w:r>
        <w:rPr>
          <w:rFonts w:hint="eastAsia" w:ascii="仿宋_GB2312" w:hAnsi="仿宋_GB2312" w:eastAsia="仿宋_GB2312" w:cs="仿宋_GB2312"/>
          <w:color w:val="auto"/>
          <w:sz w:val="24"/>
          <w:highlight w:val="none"/>
          <w:lang w:eastAsia="zh-CN"/>
        </w:rPr>
        <w:t>签署并盖单位印章。</w:t>
      </w:r>
      <w:r>
        <w:rPr>
          <w:rFonts w:hint="eastAsia" w:ascii="仿宋_GB2312" w:hAnsi="仿宋_GB2312" w:eastAsia="仿宋_GB2312" w:cs="仿宋_GB2312"/>
          <w:color w:val="auto"/>
          <w:sz w:val="24"/>
          <w:highlight w:val="none"/>
        </w:rPr>
        <w:t>投标人在提交投标文件截止时间前，可以对所提交的投标文件进行补充、修改或者撤回，补充、修改的内容与投标文件不一致的，以补充、修改的内容为准。</w:t>
      </w:r>
    </w:p>
    <w:p w14:paraId="21575FE1">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rPr>
      </w:pPr>
      <w:r>
        <w:rPr>
          <w:rFonts w:hint="eastAsia" w:ascii="仿宋_GB2312" w:hAnsi="仿宋_GB2312" w:cs="仿宋_GB2312"/>
          <w:color w:val="auto"/>
          <w:sz w:val="24"/>
          <w:highlight w:val="none"/>
          <w:lang w:val="en-US" w:eastAsia="zh-CN"/>
        </w:rPr>
        <w:t>21</w:t>
      </w:r>
      <w:r>
        <w:rPr>
          <w:rFonts w:hint="eastAsia" w:ascii="仿宋_GB2312" w:hAnsi="仿宋_GB2312" w:eastAsia="仿宋_GB2312" w:cs="仿宋_GB2312"/>
          <w:color w:val="auto"/>
          <w:sz w:val="24"/>
          <w:highlight w:val="none"/>
        </w:rPr>
        <w:t>.2 投标人对投标文件修改的书面材料或撤销的通知应该按本章的规定进行编写、密封、标注和递送，并注明“修改”或“撤销”字样。</w:t>
      </w:r>
    </w:p>
    <w:p w14:paraId="23F4CF83">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rPr>
      </w:pPr>
      <w:r>
        <w:rPr>
          <w:rFonts w:hint="eastAsia" w:ascii="仿宋_GB2312" w:hAnsi="仿宋_GB2312" w:cs="仿宋_GB2312"/>
          <w:color w:val="auto"/>
          <w:sz w:val="24"/>
          <w:highlight w:val="none"/>
          <w:lang w:val="en-US" w:eastAsia="zh-CN"/>
        </w:rPr>
        <w:t>21</w:t>
      </w:r>
      <w:r>
        <w:rPr>
          <w:rFonts w:hint="eastAsia" w:ascii="仿宋_GB2312" w:hAnsi="仿宋_GB2312" w:eastAsia="仿宋_GB2312" w:cs="仿宋_GB2312"/>
          <w:color w:val="auto"/>
          <w:sz w:val="24"/>
          <w:highlight w:val="none"/>
        </w:rPr>
        <w:t>.3 在递交</w:t>
      </w:r>
      <w:r>
        <w:rPr>
          <w:rFonts w:hint="eastAsia" w:ascii="仿宋_GB2312" w:hAnsi="仿宋_GB2312" w:eastAsia="仿宋_GB2312" w:cs="仿宋_GB2312"/>
          <w:color w:val="auto"/>
          <w:sz w:val="24"/>
          <w:highlight w:val="none"/>
          <w:lang w:eastAsia="zh-CN"/>
        </w:rPr>
        <w:t>投标</w:t>
      </w:r>
      <w:r>
        <w:rPr>
          <w:rFonts w:hint="eastAsia" w:ascii="仿宋_GB2312" w:hAnsi="仿宋_GB2312" w:eastAsia="仿宋_GB2312" w:cs="仿宋_GB2312"/>
          <w:color w:val="auto"/>
          <w:sz w:val="24"/>
          <w:highlight w:val="none"/>
        </w:rPr>
        <w:t>截止时间之后，投标人不得对其投标文件进行任何修改</w:t>
      </w:r>
      <w:r>
        <w:rPr>
          <w:rFonts w:hint="eastAsia" w:ascii="仿宋_GB2312" w:hAnsi="仿宋_GB2312" w:cs="仿宋_GB2312"/>
          <w:color w:val="auto"/>
          <w:sz w:val="24"/>
          <w:highlight w:val="none"/>
          <w:lang w:val="en-US" w:eastAsia="zh-CN"/>
        </w:rPr>
        <w:t>,已经递交的投标文件</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w:t>
      </w:r>
      <w:r>
        <w:rPr>
          <w:rFonts w:hint="eastAsia" w:ascii="仿宋_GB2312" w:hAnsi="仿宋_GB2312" w:cs="仿宋_GB2312"/>
          <w:color w:val="auto"/>
          <w:sz w:val="24"/>
          <w:highlight w:val="none"/>
          <w:lang w:eastAsia="zh-CN"/>
        </w:rPr>
        <w:t>招标代理机构</w:t>
      </w:r>
      <w:r>
        <w:rPr>
          <w:rFonts w:hint="eastAsia" w:ascii="仿宋_GB2312" w:hAnsi="仿宋_GB2312" w:cs="仿宋_GB2312"/>
          <w:color w:val="auto"/>
          <w:sz w:val="24"/>
          <w:highlight w:val="none"/>
          <w:lang w:val="en-US" w:eastAsia="zh-CN"/>
        </w:rPr>
        <w:t>可以</w:t>
      </w:r>
      <w:r>
        <w:rPr>
          <w:rFonts w:hint="eastAsia" w:ascii="仿宋_GB2312" w:hAnsi="仿宋_GB2312" w:eastAsia="仿宋_GB2312" w:cs="仿宋_GB2312"/>
          <w:color w:val="auto"/>
          <w:sz w:val="24"/>
          <w:highlight w:val="none"/>
          <w:lang w:eastAsia="zh-CN"/>
        </w:rPr>
        <w:t>不予退</w:t>
      </w:r>
      <w:r>
        <w:rPr>
          <w:rFonts w:hint="eastAsia" w:ascii="仿宋_GB2312" w:hAnsi="仿宋_GB2312" w:cs="仿宋_GB2312"/>
          <w:color w:val="auto"/>
          <w:sz w:val="24"/>
          <w:highlight w:val="none"/>
          <w:lang w:eastAsia="zh-CN"/>
        </w:rPr>
        <w:t>还</w:t>
      </w:r>
      <w:r>
        <w:rPr>
          <w:rFonts w:hint="eastAsia" w:ascii="仿宋_GB2312" w:hAnsi="仿宋_GB2312" w:eastAsia="仿宋_GB2312" w:cs="仿宋_GB2312"/>
          <w:color w:val="auto"/>
          <w:sz w:val="24"/>
          <w:highlight w:val="none"/>
        </w:rPr>
        <w:t>。</w:t>
      </w:r>
    </w:p>
    <w:p w14:paraId="72FF534A">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rPr>
      </w:pPr>
      <w:r>
        <w:rPr>
          <w:rFonts w:hint="eastAsia" w:ascii="仿宋_GB2312" w:hAnsi="仿宋_GB2312" w:cs="仿宋_GB2312"/>
          <w:color w:val="auto"/>
          <w:sz w:val="24"/>
          <w:highlight w:val="none"/>
          <w:lang w:val="en-US" w:eastAsia="zh-CN"/>
        </w:rPr>
        <w:t>21</w:t>
      </w:r>
      <w:r>
        <w:rPr>
          <w:rFonts w:hint="eastAsia" w:ascii="仿宋_GB2312" w:hAnsi="仿宋_GB2312" w:eastAsia="仿宋_GB2312" w:cs="仿宋_GB2312"/>
          <w:color w:val="auto"/>
          <w:sz w:val="24"/>
          <w:highlight w:val="none"/>
        </w:rPr>
        <w:t>.4 投标人不得在递交截止时间起至投标文件有效期期满前撤销其投标文件。</w:t>
      </w:r>
    </w:p>
    <w:p w14:paraId="33B4EBF1">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highlight w:val="none"/>
        </w:rPr>
      </w:pPr>
      <w:bookmarkStart w:id="131" w:name="_Toc11997"/>
      <w:bookmarkStart w:id="132" w:name="_Toc5953"/>
      <w:r>
        <w:rPr>
          <w:rFonts w:hint="eastAsia" w:ascii="仿宋" w:hAnsi="仿宋" w:eastAsia="仿宋" w:cs="仿宋"/>
          <w:b/>
          <w:bCs/>
          <w:color w:val="auto"/>
          <w:highlight w:val="none"/>
        </w:rPr>
        <w:t>五、开标和中标</w:t>
      </w:r>
      <w:bookmarkEnd w:id="124"/>
      <w:bookmarkEnd w:id="125"/>
      <w:bookmarkEnd w:id="126"/>
      <w:bookmarkEnd w:id="127"/>
      <w:bookmarkEnd w:id="128"/>
      <w:bookmarkEnd w:id="129"/>
      <w:bookmarkEnd w:id="130"/>
      <w:bookmarkEnd w:id="131"/>
      <w:bookmarkEnd w:id="132"/>
    </w:p>
    <w:p w14:paraId="03ABB8C4">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bookmarkStart w:id="133" w:name="_Toc217446057"/>
      <w:bookmarkStart w:id="134" w:name="_Toc79959186"/>
      <w:bookmarkStart w:id="135" w:name="_Toc183682369"/>
      <w:bookmarkStart w:id="136" w:name="_Toc183582232"/>
      <w:bookmarkStart w:id="137" w:name="_Toc308164806"/>
      <w:r>
        <w:rPr>
          <w:rFonts w:hint="eastAsia" w:ascii="仿宋_GB2312" w:hAnsi="仿宋_GB2312" w:eastAsia="仿宋_GB2312" w:cs="仿宋_GB2312"/>
          <w:b/>
          <w:bCs/>
          <w:color w:val="auto"/>
          <w:sz w:val="24"/>
          <w:highlight w:val="none"/>
          <w:lang w:eastAsia="zh-CN"/>
        </w:rPr>
        <w:t>22．开标</w:t>
      </w:r>
      <w:bookmarkEnd w:id="133"/>
      <w:bookmarkEnd w:id="134"/>
      <w:bookmarkEnd w:id="135"/>
      <w:bookmarkEnd w:id="136"/>
      <w:bookmarkEnd w:id="137"/>
    </w:p>
    <w:p w14:paraId="6D63AFE6">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bookmarkStart w:id="138" w:name="_Toc308164807"/>
      <w:bookmarkStart w:id="139" w:name="_Toc79959187"/>
      <w:bookmarkStart w:id="140" w:name="_Toc217446058"/>
      <w:r>
        <w:rPr>
          <w:rFonts w:hint="eastAsia" w:ascii="仿宋_GB2312" w:hAnsi="仿宋_GB2312" w:eastAsia="仿宋_GB2312" w:cs="仿宋_GB2312"/>
          <w:color w:val="auto"/>
          <w:sz w:val="24"/>
          <w:highlight w:val="none"/>
          <w:lang w:eastAsia="zh-CN"/>
        </w:rPr>
        <w:t>22.1 开标在招标文件规定的时间和地点公开进行，</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、投标人应派代表参加并签到以证明其出席。开标由</w:t>
      </w:r>
      <w:r>
        <w:rPr>
          <w:rFonts w:hint="eastAsia" w:ascii="仿宋_GB2312" w:hAnsi="仿宋_GB2312" w:cs="仿宋_GB2312"/>
          <w:color w:val="auto"/>
          <w:sz w:val="24"/>
          <w:highlight w:val="none"/>
          <w:lang w:eastAsia="zh-CN"/>
        </w:rPr>
        <w:t>招标代理机构</w:t>
      </w:r>
      <w:r>
        <w:rPr>
          <w:rFonts w:hint="eastAsia" w:ascii="仿宋_GB2312" w:hAnsi="仿宋_GB2312" w:eastAsia="仿宋_GB2312" w:cs="仿宋_GB2312"/>
          <w:color w:val="auto"/>
          <w:sz w:val="24"/>
          <w:highlight w:val="none"/>
          <w:lang w:eastAsia="zh-CN"/>
        </w:rPr>
        <w:t>主持，邀请投标人参加。评标委员会成员不参加开标活动。</w:t>
      </w:r>
    </w:p>
    <w:p w14:paraId="0FF39F68">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22.2 开标时，可根据具体情况邀请有关监督管理部门对开标活动进行现场监督。</w:t>
      </w:r>
    </w:p>
    <w:p w14:paraId="332DF773">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22.3 开标时，由投标人或者其推选的代表检查其自己递交的投标文件的密封情况，经确认无误后，由招标工作人员将投标人的“开标一览表”当众拆封，并由唱标人员按照招标文件规定的内容进行宣读，并加以记录。</w:t>
      </w:r>
    </w:p>
    <w:p w14:paraId="412915B5">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投标人或者其推选的代表确认投标文件情况，仅限于确认其自己递交的投标文件的密封情况，不代表对其他投标人的投标文件的密封情况确认。投标人或者其推选的代表对其他投标人的投标文件密封情况有异议的，应当当场反映开标主持人或者现场监督人员，要求开标现场记录人员予以记录，并在评标时予以认定处理，但不得干扰、阻挠开标工作的正常进行。</w:t>
      </w:r>
    </w:p>
    <w:p w14:paraId="08772F2D">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22.4 </w:t>
      </w:r>
      <w:r>
        <w:rPr>
          <w:rFonts w:hint="eastAsia" w:ascii="仿宋_GB2312" w:hAnsi="仿宋_GB2312" w:eastAsia="仿宋_GB2312" w:cs="仿宋_GB2312"/>
          <w:color w:val="auto"/>
          <w:sz w:val="24"/>
          <w:highlight w:val="none"/>
          <w:lang w:eastAsia="zh-CN"/>
        </w:rPr>
        <w:t>开标时，“开标一览表”中的①大写金额与小写金额不一致的，以大写金额为准；②总价金额与按单价计算的汇总金额不一致的，以单价计算的汇总金额为准；③单价金额有明显小数点错误的，以总价为准，并修改单价。出现上述情形，单价汇总金额比总价金额高，且超过采购预算或者本项目最高限价的，投标文件应作为无效投标处理；单价汇总金额比总价金额高，但未超过采购预算或者本项目最高限价的，应以单价汇总金额作为价格评分依据。</w:t>
      </w:r>
    </w:p>
    <w:p w14:paraId="31733505">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22.</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lang w:eastAsia="zh-CN"/>
        </w:rPr>
        <w:t xml:space="preserve"> 投标文件中相关内容与“开标一览表”不一致的，以“开标一览表”为准。对不同文字文本投标文件的解释发生异议的，以中文文本为准。</w:t>
      </w:r>
    </w:p>
    <w:p w14:paraId="6D284EF1">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22.</w:t>
      </w:r>
      <w:r>
        <w:rPr>
          <w:rFonts w:hint="eastAsia" w:ascii="仿宋_GB2312" w:hAnsi="仿宋_GB2312" w:eastAsia="仿宋_GB2312" w:cs="仿宋_GB2312"/>
          <w:color w:val="auto"/>
          <w:sz w:val="24"/>
          <w:highlight w:val="none"/>
          <w:lang w:val="en-US" w:eastAsia="zh-CN"/>
        </w:rPr>
        <w:t xml:space="preserve">6 </w:t>
      </w:r>
      <w:r>
        <w:rPr>
          <w:rFonts w:hint="eastAsia" w:ascii="仿宋_GB2312" w:hAnsi="仿宋_GB2312" w:eastAsia="仿宋_GB2312" w:cs="仿宋_GB2312"/>
          <w:color w:val="auto"/>
          <w:sz w:val="24"/>
          <w:highlight w:val="none"/>
          <w:lang w:eastAsia="zh-CN"/>
        </w:rPr>
        <w:t>所有投标唱标完毕，如投标人代表对宣读的“开标一览表”上的内容有异议的，应在获得开标会主持人同意后当场提出。如确实属于唱标人员宣读错了的，当场予以更正。</w:t>
      </w:r>
    </w:p>
    <w:p w14:paraId="23B6A6AE">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22.</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lang w:eastAsia="zh-CN"/>
        </w:rPr>
        <w:t xml:space="preserve"> 投标人未参加开标的，视同认可开标结果。</w:t>
      </w:r>
    </w:p>
    <w:bookmarkEnd w:id="138"/>
    <w:bookmarkEnd w:id="139"/>
    <w:bookmarkEnd w:id="140"/>
    <w:p w14:paraId="0E627B1B">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bookmarkStart w:id="141" w:name="_Toc308164809"/>
      <w:bookmarkStart w:id="142" w:name="_Toc79959188"/>
      <w:bookmarkStart w:id="143" w:name="_Toc183682375"/>
      <w:bookmarkStart w:id="144" w:name="_Toc183582238"/>
      <w:bookmarkStart w:id="145" w:name="_Toc217446063"/>
      <w:r>
        <w:rPr>
          <w:rFonts w:hint="eastAsia" w:ascii="仿宋_GB2312" w:hAnsi="仿宋_GB2312" w:eastAsia="仿宋_GB2312" w:cs="仿宋_GB2312"/>
          <w:b/>
          <w:bCs/>
          <w:color w:val="auto"/>
          <w:sz w:val="24"/>
          <w:highlight w:val="none"/>
          <w:lang w:eastAsia="zh-CN"/>
        </w:rPr>
        <w:t>23.开标程序</w:t>
      </w:r>
    </w:p>
    <w:p w14:paraId="03B0F508">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开标会主持人按照招标文件规定的开标时间宣布开标，按照规定要求主持开标会。开标将按以下程序进行：</w:t>
      </w:r>
    </w:p>
    <w:p w14:paraId="5FD7C7C4">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23.1 </w:t>
      </w:r>
      <w:r>
        <w:rPr>
          <w:rFonts w:hint="eastAsia" w:ascii="仿宋_GB2312" w:hAnsi="仿宋_GB2312" w:eastAsia="仿宋_GB2312" w:cs="仿宋_GB2312"/>
          <w:color w:val="auto"/>
          <w:sz w:val="24"/>
          <w:highlight w:val="none"/>
          <w:lang w:eastAsia="zh-CN"/>
        </w:rPr>
        <w:t>宣布开标会开始。当众宣布参加开标会主持人、唱标人、会议记录人等工作人员，根据“投标人签到表”宣布参加投标的投标人名单。</w:t>
      </w:r>
    </w:p>
    <w:p w14:paraId="7D39A1DA">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23.2 </w:t>
      </w:r>
      <w:r>
        <w:rPr>
          <w:rFonts w:hint="eastAsia" w:ascii="仿宋_GB2312" w:hAnsi="仿宋_GB2312" w:eastAsia="仿宋_GB2312" w:cs="仿宋_GB2312"/>
          <w:color w:val="auto"/>
          <w:sz w:val="24"/>
          <w:highlight w:val="none"/>
          <w:lang w:eastAsia="zh-CN"/>
        </w:rPr>
        <w:t>根据投标人或者其推选的代表对投标文件密封的检查结果，当众宣布投标文件的密封情况。</w:t>
      </w:r>
    </w:p>
    <w:p w14:paraId="6730CAFC">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23.3 </w:t>
      </w:r>
      <w:r>
        <w:rPr>
          <w:rFonts w:hint="eastAsia" w:ascii="仿宋_GB2312" w:hAnsi="仿宋_GB2312" w:eastAsia="仿宋_GB2312" w:cs="仿宋_GB2312"/>
          <w:color w:val="auto"/>
          <w:sz w:val="24"/>
          <w:highlight w:val="none"/>
          <w:lang w:eastAsia="zh-CN"/>
        </w:rPr>
        <w:t>开标唱标。主持人宣布开标后，由现场工作人员按任意顺序对投标人的“开标一览表”当众进行拆封，由唱标人员宣读投标人名称、投标价格（价格折扣）、或招标文件允许提供的备选投标方案和投标文件的其他主要内容。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需现场对开标记录进行签字确认，投标人对唱标内容有异议的，可以当场提出，并要求会议记录人在开标记录中予以记录，或者另行提供书面异议资料，不签字又不提出异议的，视同认可唱标内容和结果，且不得干扰、阻挠开（唱）标、评标工作。</w:t>
      </w:r>
    </w:p>
    <w:p w14:paraId="32873CBD">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23.4 </w:t>
      </w:r>
      <w:r>
        <w:rPr>
          <w:rFonts w:hint="eastAsia" w:ascii="仿宋_GB2312" w:hAnsi="仿宋_GB2312" w:eastAsia="仿宋_GB2312" w:cs="仿宋_GB2312"/>
          <w:color w:val="auto"/>
          <w:sz w:val="24"/>
          <w:highlight w:val="none"/>
          <w:lang w:eastAsia="zh-CN"/>
        </w:rPr>
        <w:t>宣布开标会结束。主持人宣布开标会结束。所有投标人代表应立即退场（招标文件要求有演示、介绍等的除外）。同时所有投标人应保持通讯设备的畅通，以方便在评标过程中评标委员会要求投标人对投标文件的必要澄清。评标结果投标人在采购招标信息服务平台</w:t>
      </w:r>
      <w:r>
        <w:rPr>
          <w:rFonts w:hint="eastAsia" w:ascii="仿宋_GB2312" w:hAnsi="仿宋_GB2312" w:cs="仿宋_GB2312"/>
          <w:color w:val="auto"/>
          <w:sz w:val="24"/>
          <w:highlight w:val="none"/>
          <w:lang w:eastAsia="zh-CN"/>
        </w:rPr>
        <w:t>、富顺县中医医院官网（http://www.fsxzyyy.com/）</w:t>
      </w:r>
      <w:r>
        <w:rPr>
          <w:rFonts w:hint="eastAsia" w:ascii="仿宋_GB2312" w:hAnsi="仿宋_GB2312" w:eastAsia="仿宋_GB2312" w:cs="仿宋_GB2312"/>
          <w:color w:val="auto"/>
          <w:sz w:val="24"/>
          <w:highlight w:val="none"/>
          <w:lang w:eastAsia="zh-CN"/>
        </w:rPr>
        <w:t>。</w:t>
      </w:r>
    </w:p>
    <w:bookmarkEnd w:id="141"/>
    <w:bookmarkEnd w:id="142"/>
    <w:bookmarkEnd w:id="143"/>
    <w:bookmarkEnd w:id="144"/>
    <w:bookmarkEnd w:id="145"/>
    <w:p w14:paraId="4C8DE651">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bookmarkStart w:id="146" w:name="_Toc217446064"/>
      <w:bookmarkStart w:id="147" w:name="_Toc79959191"/>
      <w:bookmarkStart w:id="148" w:name="_Toc308164810"/>
      <w:bookmarkStart w:id="149" w:name="_Toc183582240"/>
      <w:bookmarkStart w:id="150" w:name="_Toc183682377"/>
      <w:r>
        <w:rPr>
          <w:rFonts w:hint="eastAsia" w:ascii="仿宋_GB2312" w:hAnsi="仿宋_GB2312" w:eastAsia="仿宋_GB2312" w:cs="仿宋_GB2312"/>
          <w:b/>
          <w:bCs/>
          <w:color w:val="auto"/>
          <w:sz w:val="24"/>
          <w:highlight w:val="none"/>
          <w:lang w:val="en-US" w:eastAsia="zh-CN"/>
        </w:rPr>
        <w:t>24.</w:t>
      </w:r>
      <w:r>
        <w:rPr>
          <w:rFonts w:hint="eastAsia" w:ascii="仿宋_GB2312" w:hAnsi="仿宋_GB2312" w:eastAsia="仿宋_GB2312" w:cs="仿宋_GB2312"/>
          <w:b/>
          <w:bCs/>
          <w:color w:val="auto"/>
          <w:sz w:val="24"/>
          <w:highlight w:val="none"/>
          <w:lang w:eastAsia="zh-CN"/>
        </w:rPr>
        <w:t>评标程序及定标原则</w:t>
      </w:r>
    </w:p>
    <w:p w14:paraId="7A726CA4">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详见第七章评标办法</w:t>
      </w:r>
    </w:p>
    <w:p w14:paraId="7124D152">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lang w:eastAsia="zh-CN"/>
        </w:rPr>
        <w:t>2</w:t>
      </w:r>
      <w:r>
        <w:rPr>
          <w:rFonts w:hint="eastAsia" w:ascii="仿宋_GB2312" w:hAnsi="仿宋_GB2312" w:eastAsia="仿宋_GB2312" w:cs="仿宋_GB2312"/>
          <w:b/>
          <w:bCs/>
          <w:color w:val="auto"/>
          <w:sz w:val="24"/>
          <w:highlight w:val="none"/>
          <w:lang w:val="en-US" w:eastAsia="zh-CN"/>
        </w:rPr>
        <w:t>5.</w:t>
      </w:r>
      <w:r>
        <w:rPr>
          <w:rFonts w:hint="eastAsia" w:ascii="仿宋_GB2312" w:hAnsi="仿宋_GB2312" w:eastAsia="仿宋_GB2312" w:cs="仿宋_GB2312"/>
          <w:b/>
          <w:bCs/>
          <w:color w:val="auto"/>
          <w:sz w:val="24"/>
          <w:highlight w:val="none"/>
          <w:lang w:eastAsia="zh-CN"/>
        </w:rPr>
        <w:t>开评标过程存档</w:t>
      </w:r>
    </w:p>
    <w:p w14:paraId="0CD8FA86">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开标和评标过程进行全过程电子监控，并将电子监控资料存储介质留存归档。</w:t>
      </w:r>
    </w:p>
    <w:p w14:paraId="5F13C60A">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lang w:eastAsia="zh-CN"/>
        </w:rPr>
        <w:t>2</w:t>
      </w:r>
      <w:r>
        <w:rPr>
          <w:rFonts w:hint="eastAsia" w:ascii="仿宋_GB2312" w:hAnsi="仿宋_GB2312" w:eastAsia="仿宋_GB2312" w:cs="仿宋_GB2312"/>
          <w:b/>
          <w:bCs/>
          <w:color w:val="auto"/>
          <w:sz w:val="24"/>
          <w:highlight w:val="none"/>
          <w:lang w:val="en-US" w:eastAsia="zh-CN"/>
        </w:rPr>
        <w:t>6</w:t>
      </w:r>
      <w:r>
        <w:rPr>
          <w:rFonts w:hint="eastAsia" w:ascii="仿宋_GB2312" w:hAnsi="仿宋_GB2312" w:eastAsia="仿宋_GB2312" w:cs="仿宋_GB2312"/>
          <w:b/>
          <w:bCs/>
          <w:color w:val="auto"/>
          <w:sz w:val="24"/>
          <w:highlight w:val="none"/>
          <w:lang w:eastAsia="zh-CN"/>
        </w:rPr>
        <w:t>.评标情况公告</w:t>
      </w:r>
    </w:p>
    <w:p w14:paraId="6B989A72">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详见本章投标人须知附表。</w:t>
      </w:r>
    </w:p>
    <w:p w14:paraId="06AFB25A">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lang w:eastAsia="zh-CN"/>
        </w:rPr>
        <w:t>2</w:t>
      </w:r>
      <w:r>
        <w:rPr>
          <w:rFonts w:hint="eastAsia" w:ascii="仿宋_GB2312" w:hAnsi="仿宋_GB2312" w:eastAsia="仿宋_GB2312" w:cs="仿宋_GB2312"/>
          <w:b/>
          <w:bCs/>
          <w:color w:val="auto"/>
          <w:sz w:val="24"/>
          <w:highlight w:val="none"/>
          <w:lang w:val="en-US" w:eastAsia="zh-CN"/>
        </w:rPr>
        <w:t>7</w:t>
      </w:r>
      <w:r>
        <w:rPr>
          <w:rFonts w:hint="eastAsia" w:ascii="仿宋_GB2312" w:hAnsi="仿宋_GB2312" w:eastAsia="仿宋_GB2312" w:cs="仿宋_GB2312"/>
          <w:b/>
          <w:bCs/>
          <w:color w:val="auto"/>
          <w:sz w:val="24"/>
          <w:highlight w:val="none"/>
          <w:lang w:eastAsia="zh-CN"/>
        </w:rPr>
        <w:t>.</w:t>
      </w:r>
      <w:r>
        <w:rPr>
          <w:rFonts w:hint="eastAsia" w:ascii="仿宋_GB2312" w:hAnsi="仿宋_GB2312" w:cs="仿宋_GB2312"/>
          <w:b/>
          <w:bCs/>
          <w:color w:val="auto"/>
          <w:sz w:val="24"/>
          <w:highlight w:val="none"/>
          <w:lang w:eastAsia="zh-CN"/>
        </w:rPr>
        <w:t>招标人</w:t>
      </w:r>
      <w:r>
        <w:rPr>
          <w:rFonts w:hint="eastAsia" w:ascii="仿宋_GB2312" w:hAnsi="仿宋_GB2312" w:eastAsia="仿宋_GB2312" w:cs="仿宋_GB2312"/>
          <w:b/>
          <w:bCs/>
          <w:color w:val="auto"/>
          <w:sz w:val="24"/>
          <w:highlight w:val="none"/>
          <w:lang w:eastAsia="zh-CN"/>
        </w:rPr>
        <w:t>确定中标人过程中，发现中标候选人有下列情形之一的，应当不予确定其为中标人：</w:t>
      </w:r>
    </w:p>
    <w:p w14:paraId="11EDFF1C">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27.1 </w:t>
      </w:r>
      <w:r>
        <w:rPr>
          <w:rFonts w:hint="eastAsia" w:ascii="仿宋_GB2312" w:hAnsi="仿宋_GB2312" w:eastAsia="仿宋_GB2312" w:cs="仿宋_GB2312"/>
          <w:color w:val="auto"/>
          <w:sz w:val="24"/>
          <w:highlight w:val="none"/>
          <w:lang w:eastAsia="zh-CN"/>
        </w:rPr>
        <w:t>发现中标候选人存在禁止参加本项目采购活动的违法行为的；</w:t>
      </w:r>
    </w:p>
    <w:p w14:paraId="2A911247">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27.2 </w:t>
      </w:r>
      <w:r>
        <w:rPr>
          <w:rFonts w:hint="eastAsia" w:ascii="仿宋_GB2312" w:hAnsi="仿宋_GB2312" w:eastAsia="仿宋_GB2312" w:cs="仿宋_GB2312"/>
          <w:color w:val="auto"/>
          <w:sz w:val="24"/>
          <w:highlight w:val="none"/>
          <w:lang w:eastAsia="zh-CN"/>
        </w:rPr>
        <w:t>中标候选人因不可抗力，不能继续参加采购活动；</w:t>
      </w:r>
    </w:p>
    <w:p w14:paraId="52E46737">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27.3 </w:t>
      </w:r>
      <w:r>
        <w:rPr>
          <w:rFonts w:hint="eastAsia" w:ascii="仿宋_GB2312" w:hAnsi="仿宋_GB2312" w:eastAsia="仿宋_GB2312" w:cs="仿宋_GB2312"/>
          <w:color w:val="auto"/>
          <w:sz w:val="24"/>
          <w:highlight w:val="none"/>
          <w:lang w:eastAsia="zh-CN"/>
        </w:rPr>
        <w:t>中标候选人无偿赠与或者低于成本价竞争；</w:t>
      </w:r>
    </w:p>
    <w:p w14:paraId="62775FF4">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27.4 </w:t>
      </w:r>
      <w:r>
        <w:rPr>
          <w:rFonts w:hint="eastAsia" w:ascii="仿宋_GB2312" w:hAnsi="仿宋_GB2312" w:eastAsia="仿宋_GB2312" w:cs="仿宋_GB2312"/>
          <w:color w:val="auto"/>
          <w:sz w:val="24"/>
          <w:highlight w:val="none"/>
          <w:lang w:eastAsia="zh-CN"/>
        </w:rPr>
        <w:t>中标候选人提供虚假材料；</w:t>
      </w:r>
    </w:p>
    <w:p w14:paraId="652AEF16">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27.5 </w:t>
      </w:r>
      <w:r>
        <w:rPr>
          <w:rFonts w:hint="eastAsia" w:ascii="仿宋_GB2312" w:hAnsi="仿宋_GB2312" w:eastAsia="仿宋_GB2312" w:cs="仿宋_GB2312"/>
          <w:color w:val="auto"/>
          <w:sz w:val="24"/>
          <w:highlight w:val="none"/>
          <w:lang w:eastAsia="zh-CN"/>
        </w:rPr>
        <w:t>中标候选人恶意串通。</w:t>
      </w:r>
    </w:p>
    <w:p w14:paraId="678B97F6">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lang w:eastAsia="zh-CN"/>
        </w:rPr>
        <w:t>2</w:t>
      </w:r>
      <w:r>
        <w:rPr>
          <w:rFonts w:hint="eastAsia" w:ascii="仿宋_GB2312" w:hAnsi="仿宋_GB2312" w:eastAsia="仿宋_GB2312" w:cs="仿宋_GB2312"/>
          <w:b/>
          <w:bCs/>
          <w:color w:val="auto"/>
          <w:sz w:val="24"/>
          <w:highlight w:val="none"/>
          <w:lang w:val="en-US" w:eastAsia="zh-CN"/>
        </w:rPr>
        <w:t>8</w:t>
      </w:r>
      <w:r>
        <w:rPr>
          <w:rFonts w:hint="eastAsia" w:ascii="仿宋_GB2312" w:hAnsi="仿宋_GB2312" w:eastAsia="仿宋_GB2312" w:cs="仿宋_GB2312"/>
          <w:b/>
          <w:bCs/>
          <w:color w:val="auto"/>
          <w:sz w:val="24"/>
          <w:highlight w:val="none"/>
          <w:lang w:eastAsia="zh-CN"/>
        </w:rPr>
        <w:t>.中标通知书</w:t>
      </w:r>
    </w:p>
    <w:p w14:paraId="28405888">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lang w:eastAsia="zh-CN"/>
        </w:rPr>
        <w:t>.1 中标通知书为签订采购合同的依据之一，是合同的有效组成部分。</w:t>
      </w:r>
    </w:p>
    <w:p w14:paraId="45B7BDC8">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lang w:eastAsia="zh-CN"/>
        </w:rPr>
        <w:t>.2 中标通知书对</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和中标人均具有法律效力。中标通知书发出后，</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改变中标结果，或者中标人无正当理由放弃中标的，应当承担相应的法律责任。</w:t>
      </w:r>
    </w:p>
    <w:p w14:paraId="6868DB0E">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lang w:eastAsia="zh-CN"/>
        </w:rPr>
        <w:t>3中标人的投标文件本应作为无效投标处理或者有</w:t>
      </w:r>
      <w:r>
        <w:rPr>
          <w:rFonts w:hint="eastAsia" w:ascii="仿宋_GB2312" w:hAnsi="仿宋_GB2312" w:cs="仿宋_GB2312"/>
          <w:color w:val="auto"/>
          <w:sz w:val="24"/>
          <w:highlight w:val="none"/>
          <w:lang w:eastAsia="zh-CN"/>
        </w:rPr>
        <w:t>其他</w:t>
      </w:r>
      <w:r>
        <w:rPr>
          <w:rFonts w:hint="eastAsia" w:ascii="仿宋_GB2312" w:hAnsi="仿宋_GB2312" w:eastAsia="仿宋_GB2312" w:cs="仿宋_GB2312"/>
          <w:color w:val="auto"/>
          <w:sz w:val="24"/>
          <w:highlight w:val="none"/>
          <w:lang w:eastAsia="zh-CN"/>
        </w:rPr>
        <w:t>法律法规规章制度规定的中标无效情形的，招标采购单位在取得有权主体的认定以后，将宣布发出的中标通知书无效，并收回发出的中标通知书（中标人也应当缴回），依法重新确定中标人或者重新开展采购活动。</w:t>
      </w:r>
    </w:p>
    <w:p w14:paraId="2C07D120">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lang w:eastAsia="zh-CN"/>
        </w:rPr>
        <w:t>.4中标结果将在采购招标信息服务平台</w:t>
      </w:r>
      <w:r>
        <w:rPr>
          <w:rFonts w:hint="eastAsia" w:ascii="仿宋_GB2312" w:hAnsi="仿宋_GB2312" w:cs="仿宋_GB2312"/>
          <w:color w:val="auto"/>
          <w:sz w:val="24"/>
          <w:highlight w:val="none"/>
          <w:lang w:eastAsia="zh-CN"/>
        </w:rPr>
        <w:t>、富顺县中医医院官网（http://www.fsxzyyy.com/）</w:t>
      </w:r>
      <w:r>
        <w:rPr>
          <w:rFonts w:hint="eastAsia" w:ascii="仿宋_GB2312" w:hAnsi="仿宋_GB2312" w:eastAsia="仿宋_GB2312" w:cs="仿宋_GB2312"/>
          <w:color w:val="auto"/>
          <w:sz w:val="24"/>
          <w:highlight w:val="none"/>
          <w:lang w:eastAsia="zh-CN"/>
        </w:rPr>
        <w:t>公布。</w:t>
      </w:r>
    </w:p>
    <w:p w14:paraId="386C6762">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highlight w:val="none"/>
        </w:rPr>
      </w:pPr>
      <w:bookmarkStart w:id="151" w:name="_Toc7116"/>
      <w:bookmarkStart w:id="152" w:name="_Toc20603"/>
      <w:r>
        <w:rPr>
          <w:rFonts w:hint="eastAsia" w:ascii="仿宋" w:hAnsi="仿宋" w:eastAsia="仿宋" w:cs="仿宋"/>
          <w:b/>
          <w:bCs/>
          <w:color w:val="auto"/>
          <w:highlight w:val="none"/>
        </w:rPr>
        <w:t>六、签订及履行合同和验收</w:t>
      </w:r>
      <w:bookmarkEnd w:id="146"/>
      <w:bookmarkEnd w:id="147"/>
      <w:bookmarkEnd w:id="148"/>
      <w:bookmarkEnd w:id="151"/>
      <w:bookmarkEnd w:id="152"/>
    </w:p>
    <w:p w14:paraId="74241339">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bookmarkStart w:id="153" w:name="_Toc308164811"/>
      <w:bookmarkStart w:id="154" w:name="_Toc217446065"/>
      <w:bookmarkStart w:id="155" w:name="_Toc79959195"/>
      <w:r>
        <w:rPr>
          <w:rFonts w:hint="eastAsia" w:ascii="仿宋_GB2312" w:hAnsi="仿宋_GB2312" w:eastAsia="仿宋_GB2312" w:cs="仿宋_GB2312"/>
          <w:b/>
          <w:bCs/>
          <w:color w:val="auto"/>
          <w:sz w:val="24"/>
          <w:highlight w:val="none"/>
          <w:lang w:eastAsia="zh-CN"/>
        </w:rPr>
        <w:t>2</w:t>
      </w:r>
      <w:r>
        <w:rPr>
          <w:rFonts w:hint="eastAsia" w:ascii="仿宋_GB2312" w:hAnsi="仿宋_GB2312" w:eastAsia="仿宋_GB2312" w:cs="仿宋_GB2312"/>
          <w:b/>
          <w:bCs/>
          <w:color w:val="auto"/>
          <w:sz w:val="24"/>
          <w:highlight w:val="none"/>
          <w:lang w:val="en-US" w:eastAsia="zh-CN"/>
        </w:rPr>
        <w:t>9</w:t>
      </w:r>
      <w:r>
        <w:rPr>
          <w:rFonts w:hint="eastAsia" w:ascii="仿宋_GB2312" w:hAnsi="仿宋_GB2312" w:eastAsia="仿宋_GB2312" w:cs="仿宋_GB2312"/>
          <w:b/>
          <w:bCs/>
          <w:color w:val="auto"/>
          <w:sz w:val="24"/>
          <w:highlight w:val="none"/>
          <w:lang w:eastAsia="zh-CN"/>
        </w:rPr>
        <w:t>.签订合同</w:t>
      </w:r>
      <w:bookmarkEnd w:id="153"/>
      <w:bookmarkEnd w:id="154"/>
    </w:p>
    <w:p w14:paraId="0F07D3CF">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w:t>
      </w: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lang w:eastAsia="zh-CN"/>
        </w:rPr>
        <w:t>.1 中标人应在中标通知书发出之日起三十日内与</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签订采购合同。由于中标人的原因逾期未与</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签订采购合同的，将视为放弃中标，取消其中标资格并将按相关规定进行处理。</w:t>
      </w:r>
    </w:p>
    <w:p w14:paraId="45BC27E6">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w:t>
      </w: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lang w:eastAsia="zh-CN"/>
        </w:rPr>
        <w:t xml:space="preserve">.2 </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不得向中标人提出任何不合理的要求，作为签订合同的条件，不得与中标人私下订立背离合同实质性内容的任何协议，所签订的合同不得对招标文件和中标人投标文件确定的事项进行修改。</w:t>
      </w:r>
    </w:p>
    <w:p w14:paraId="750905C8">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w:t>
      </w: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lang w:eastAsia="zh-CN"/>
        </w:rPr>
        <w:t>.3 中标人因不可抗力原因不能履行采购合同或放弃中标的，</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可以按评标报告推荐的中标候选人名单排序，确定下一候选人为中标人，也可以重新开展采购活动。</w:t>
      </w:r>
    </w:p>
    <w:p w14:paraId="422DFAEA">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29.4 </w:t>
      </w:r>
      <w:r>
        <w:rPr>
          <w:rFonts w:hint="eastAsia" w:ascii="仿宋_GB2312" w:hAnsi="仿宋_GB2312" w:eastAsia="仿宋_GB2312" w:cs="仿宋_GB2312"/>
          <w:color w:val="auto"/>
          <w:sz w:val="24"/>
          <w:highlight w:val="none"/>
          <w:lang w:eastAsia="zh-CN"/>
        </w:rPr>
        <w:t>中标人在合同签订之后</w:t>
      </w: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lang w:eastAsia="zh-CN"/>
        </w:rPr>
        <w:t>个工作日内，将签订的合同一份送</w:t>
      </w:r>
      <w:r>
        <w:rPr>
          <w:rFonts w:hint="eastAsia" w:ascii="仿宋_GB2312" w:hAnsi="仿宋_GB2312" w:cs="仿宋_GB2312"/>
          <w:color w:val="auto"/>
          <w:sz w:val="24"/>
          <w:highlight w:val="none"/>
          <w:lang w:eastAsia="zh-CN"/>
        </w:rPr>
        <w:t>招标代理机构</w:t>
      </w:r>
      <w:r>
        <w:rPr>
          <w:rFonts w:hint="eastAsia" w:ascii="仿宋_GB2312" w:hAnsi="仿宋_GB2312" w:eastAsia="仿宋_GB2312" w:cs="仿宋_GB2312"/>
          <w:color w:val="auto"/>
          <w:sz w:val="24"/>
          <w:highlight w:val="none"/>
          <w:lang w:eastAsia="zh-CN"/>
        </w:rPr>
        <w:t>编号。</w:t>
      </w:r>
    </w:p>
    <w:p w14:paraId="556DBFAE">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30.合同分包（实质性要求）</w:t>
      </w:r>
    </w:p>
    <w:p w14:paraId="2365F905">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本项目</w:t>
      </w:r>
      <w:r>
        <w:rPr>
          <w:rFonts w:hint="eastAsia" w:ascii="仿宋_GB2312" w:hAnsi="仿宋_GB2312" w:eastAsia="仿宋_GB2312" w:cs="仿宋_GB2312"/>
          <w:b/>
          <w:bCs/>
          <w:color w:val="auto"/>
          <w:sz w:val="24"/>
          <w:highlight w:val="none"/>
        </w:rPr>
        <w:t>不允许</w:t>
      </w:r>
      <w:r>
        <w:rPr>
          <w:rFonts w:hint="eastAsia" w:ascii="仿宋_GB2312" w:hAnsi="仿宋_GB2312" w:eastAsia="仿宋_GB2312" w:cs="仿宋_GB2312"/>
          <w:color w:val="auto"/>
          <w:sz w:val="24"/>
          <w:highlight w:val="none"/>
        </w:rPr>
        <w:t>合同任何形式的分包。</w:t>
      </w:r>
    </w:p>
    <w:bookmarkEnd w:id="155"/>
    <w:p w14:paraId="475D57BB">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bookmarkStart w:id="156" w:name="_Toc217446066"/>
      <w:bookmarkStart w:id="157" w:name="_Toc79959196"/>
      <w:r>
        <w:rPr>
          <w:rFonts w:hint="eastAsia" w:ascii="仿宋_GB2312" w:hAnsi="仿宋_GB2312" w:eastAsia="仿宋_GB2312" w:cs="仿宋_GB2312"/>
          <w:b/>
          <w:bCs/>
          <w:color w:val="auto"/>
          <w:sz w:val="24"/>
          <w:highlight w:val="none"/>
          <w:lang w:val="en-US" w:eastAsia="zh-CN"/>
        </w:rPr>
        <w:t>31</w:t>
      </w:r>
      <w:r>
        <w:rPr>
          <w:rFonts w:hint="eastAsia" w:ascii="仿宋_GB2312" w:hAnsi="仿宋_GB2312" w:eastAsia="仿宋_GB2312" w:cs="仿宋_GB2312"/>
          <w:b/>
          <w:bCs/>
          <w:color w:val="auto"/>
          <w:sz w:val="24"/>
          <w:highlight w:val="none"/>
          <w:lang w:eastAsia="zh-CN"/>
        </w:rPr>
        <w:t>.合同转包（实质性要求）</w:t>
      </w:r>
    </w:p>
    <w:p w14:paraId="7F299AE7">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本采购项目严禁中标人将任何采购合同义务转包。本项目所称转包，是指中标人将采购合同义务转让给第三人，并退出现有采购合同当事人双方的权利义务关系，受让人（即第三人）成为采购合同的另一方当事人的行为。</w:t>
      </w:r>
    </w:p>
    <w:p w14:paraId="6A848A03">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中标人转包的，视同拒绝履行采购合同义务，将依法追究法律责任。</w:t>
      </w:r>
    </w:p>
    <w:bookmarkEnd w:id="156"/>
    <w:bookmarkEnd w:id="157"/>
    <w:p w14:paraId="3AC90FD2">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bookmarkStart w:id="158" w:name="_Toc217446069"/>
      <w:bookmarkStart w:id="159" w:name="_Toc308164813"/>
      <w:bookmarkStart w:id="160" w:name="_Toc79959198"/>
      <w:r>
        <w:rPr>
          <w:rFonts w:hint="eastAsia" w:ascii="仿宋_GB2312" w:hAnsi="仿宋_GB2312" w:eastAsia="仿宋_GB2312" w:cs="仿宋_GB2312"/>
          <w:b/>
          <w:bCs/>
          <w:color w:val="auto"/>
          <w:sz w:val="24"/>
          <w:highlight w:val="none"/>
          <w:lang w:val="en-US" w:eastAsia="zh-CN"/>
        </w:rPr>
        <w:t>32</w:t>
      </w:r>
      <w:r>
        <w:rPr>
          <w:rFonts w:hint="eastAsia" w:ascii="仿宋_GB2312" w:hAnsi="仿宋_GB2312" w:eastAsia="仿宋_GB2312" w:cs="仿宋_GB2312"/>
          <w:b/>
          <w:bCs/>
          <w:color w:val="auto"/>
          <w:sz w:val="24"/>
          <w:highlight w:val="none"/>
          <w:lang w:eastAsia="zh-CN"/>
        </w:rPr>
        <w:t>.补充合同</w:t>
      </w:r>
    </w:p>
    <w:p w14:paraId="2C46F760">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采购合同履行过程中，</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 xml:space="preserve">需要追加与合同标的相同的货物或者服务的，在不改变合同其他条款的前提下，可以与中标人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 </w:t>
      </w:r>
    </w:p>
    <w:p w14:paraId="5F9569C3">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bookmarkStart w:id="161" w:name="_Toc308164812"/>
      <w:bookmarkStart w:id="162" w:name="_Toc217446068"/>
      <w:r>
        <w:rPr>
          <w:rFonts w:hint="eastAsia" w:ascii="仿宋_GB2312" w:hAnsi="仿宋_GB2312" w:eastAsia="仿宋_GB2312" w:cs="仿宋_GB2312"/>
          <w:b/>
          <w:bCs/>
          <w:color w:val="auto"/>
          <w:sz w:val="24"/>
          <w:highlight w:val="none"/>
          <w:lang w:eastAsia="zh-CN"/>
        </w:rPr>
        <w:t>3</w:t>
      </w:r>
      <w:r>
        <w:rPr>
          <w:rFonts w:hint="eastAsia" w:ascii="仿宋_GB2312" w:hAnsi="仿宋_GB2312" w:eastAsia="仿宋_GB2312" w:cs="仿宋_GB2312"/>
          <w:b/>
          <w:bCs/>
          <w:color w:val="auto"/>
          <w:sz w:val="24"/>
          <w:highlight w:val="none"/>
          <w:lang w:val="en-US" w:eastAsia="zh-CN"/>
        </w:rPr>
        <w:t>3.</w:t>
      </w:r>
      <w:r>
        <w:rPr>
          <w:rFonts w:hint="eastAsia" w:ascii="仿宋_GB2312" w:hAnsi="仿宋_GB2312" w:eastAsia="仿宋_GB2312" w:cs="仿宋_GB2312"/>
          <w:b/>
          <w:bCs/>
          <w:color w:val="auto"/>
          <w:sz w:val="24"/>
          <w:highlight w:val="none"/>
          <w:lang w:eastAsia="zh-CN"/>
        </w:rPr>
        <w:t>履约保证金</w:t>
      </w:r>
      <w:bookmarkEnd w:id="161"/>
      <w:bookmarkEnd w:id="162"/>
    </w:p>
    <w:p w14:paraId="6D4C479B">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本项目要收取履约保证金：</w:t>
      </w:r>
    </w:p>
    <w:p w14:paraId="3B658E02">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金额：中标金额的1%。</w:t>
      </w:r>
    </w:p>
    <w:p w14:paraId="6DF69DDA">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交款方式：☑支票/汇票/本票☑保函/保险向招标人缴纳。</w:t>
      </w:r>
    </w:p>
    <w:p w14:paraId="1753C8E5">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收款单位：富顺县中医医院</w:t>
      </w:r>
    </w:p>
    <w:p w14:paraId="53CE4599">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开 户 行：四川富顺农村商业银行股份有限公司营业部</w:t>
      </w:r>
    </w:p>
    <w:p w14:paraId="23E240AD">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银行账号：11820120000037316</w:t>
      </w:r>
    </w:p>
    <w:p w14:paraId="1946211D">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交款时间：中标通知书发放后，采购合同签订前。</w:t>
      </w:r>
    </w:p>
    <w:p w14:paraId="7F63B535">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退还履约金流程：履约保证金退还：耗材供货后6个月，货物无任何质量问题且中标人履行了售后服务义务，招标人凭中标人提供的退还履约保证金申请无息退还履约保证金。</w:t>
      </w:r>
    </w:p>
    <w:p w14:paraId="1BF7F62D">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履约保证金不予退还情形：未按合同履约不退还。采用非保函形式缴纳的履约保证金在 15 个工作日内无息返还，采用保函形式缴纳的履约保证金在担保有效期后，担保责任终止。</w:t>
      </w:r>
    </w:p>
    <w:p w14:paraId="05875806">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递交和退还保函原件时乙方须到甲方现场提供以下证明材料：</w:t>
      </w:r>
    </w:p>
    <w:p w14:paraId="4DAB72F8">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①法定代表人授权委托书原件；②委托代理人身份证复印件。</w:t>
      </w:r>
    </w:p>
    <w:p w14:paraId="0D33B3EB">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lang w:eastAsia="zh-CN"/>
        </w:rPr>
        <w:t>3</w:t>
      </w:r>
      <w:r>
        <w:rPr>
          <w:rFonts w:hint="eastAsia" w:ascii="仿宋_GB2312" w:hAnsi="仿宋_GB2312" w:cs="仿宋_GB2312"/>
          <w:b/>
          <w:bCs/>
          <w:color w:val="auto"/>
          <w:sz w:val="24"/>
          <w:highlight w:val="none"/>
          <w:lang w:val="en-US" w:eastAsia="zh-CN"/>
        </w:rPr>
        <w:t>4</w:t>
      </w:r>
      <w:r>
        <w:rPr>
          <w:rFonts w:hint="eastAsia" w:ascii="仿宋_GB2312" w:hAnsi="仿宋_GB2312" w:eastAsia="仿宋_GB2312" w:cs="仿宋_GB2312"/>
          <w:b/>
          <w:bCs/>
          <w:color w:val="auto"/>
          <w:sz w:val="24"/>
          <w:highlight w:val="none"/>
          <w:lang w:eastAsia="zh-CN"/>
        </w:rPr>
        <w:t>.履行合同</w:t>
      </w:r>
    </w:p>
    <w:p w14:paraId="22C46824">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3</w:t>
      </w:r>
      <w:r>
        <w:rPr>
          <w:rFonts w:hint="eastAsia" w:ascii="仿宋_GB2312" w:hAnsi="仿宋_GB2312" w:cs="仿宋_GB2312"/>
          <w:color w:val="auto"/>
          <w:sz w:val="24"/>
          <w:highlight w:val="none"/>
          <w:lang w:val="en-US" w:eastAsia="zh-CN"/>
        </w:rPr>
        <w:t>4</w:t>
      </w:r>
      <w:r>
        <w:rPr>
          <w:rFonts w:hint="eastAsia" w:ascii="仿宋_GB2312" w:hAnsi="仿宋_GB2312" w:eastAsia="仿宋_GB2312" w:cs="仿宋_GB2312"/>
          <w:color w:val="auto"/>
          <w:sz w:val="24"/>
          <w:highlight w:val="none"/>
          <w:lang w:eastAsia="zh-CN"/>
        </w:rPr>
        <w:t>.1 中标人与</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签订合同后，合同双方应严格执行合同条款，履行合同规定的义务，保证合同的顺利完成。</w:t>
      </w:r>
    </w:p>
    <w:p w14:paraId="03A9F0B7">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3</w:t>
      </w:r>
      <w:r>
        <w:rPr>
          <w:rFonts w:hint="eastAsia" w:ascii="仿宋_GB2312" w:hAnsi="仿宋_GB2312" w:cs="仿宋_GB2312"/>
          <w:color w:val="auto"/>
          <w:sz w:val="24"/>
          <w:highlight w:val="none"/>
          <w:lang w:val="en-US" w:eastAsia="zh-CN"/>
        </w:rPr>
        <w:t>4</w:t>
      </w:r>
      <w:r>
        <w:rPr>
          <w:rFonts w:hint="eastAsia" w:ascii="仿宋_GB2312" w:hAnsi="仿宋_GB2312" w:eastAsia="仿宋_GB2312" w:cs="仿宋_GB2312"/>
          <w:color w:val="auto"/>
          <w:sz w:val="24"/>
          <w:highlight w:val="none"/>
          <w:lang w:eastAsia="zh-CN"/>
        </w:rPr>
        <w:t>.2 在合同履行过程中，如发生合同纠纷，合同双方应按照《中华人民共和国民法典》的有关规定进行处理。</w:t>
      </w:r>
    </w:p>
    <w:p w14:paraId="0A28CAF3">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lang w:eastAsia="zh-CN"/>
        </w:rPr>
        <w:t>3</w:t>
      </w:r>
      <w:r>
        <w:rPr>
          <w:rFonts w:hint="eastAsia" w:ascii="仿宋_GB2312" w:hAnsi="仿宋_GB2312" w:cs="仿宋_GB2312"/>
          <w:b/>
          <w:bCs/>
          <w:color w:val="auto"/>
          <w:sz w:val="24"/>
          <w:highlight w:val="none"/>
          <w:lang w:val="en-US" w:eastAsia="zh-CN"/>
        </w:rPr>
        <w:t>5</w:t>
      </w:r>
      <w:r>
        <w:rPr>
          <w:rFonts w:hint="eastAsia" w:ascii="仿宋_GB2312" w:hAnsi="仿宋_GB2312" w:eastAsia="仿宋_GB2312" w:cs="仿宋_GB2312"/>
          <w:b/>
          <w:bCs/>
          <w:color w:val="auto"/>
          <w:sz w:val="24"/>
          <w:highlight w:val="none"/>
          <w:lang w:eastAsia="zh-CN"/>
        </w:rPr>
        <w:t>.验收</w:t>
      </w:r>
    </w:p>
    <w:p w14:paraId="5C4E914B">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3</w:t>
      </w:r>
      <w:r>
        <w:rPr>
          <w:rFonts w:hint="eastAsia" w:ascii="仿宋_GB2312" w:hAnsi="仿宋_GB2312" w:cs="仿宋_GB2312"/>
          <w:color w:val="auto"/>
          <w:sz w:val="24"/>
          <w:highlight w:val="none"/>
          <w:lang w:val="en-US" w:eastAsia="zh-CN"/>
        </w:rPr>
        <w:t>5</w:t>
      </w:r>
      <w:r>
        <w:rPr>
          <w:rFonts w:hint="eastAsia" w:ascii="仿宋_GB2312" w:hAnsi="仿宋_GB2312" w:eastAsia="仿宋_GB2312" w:cs="仿宋_GB2312"/>
          <w:color w:val="auto"/>
          <w:sz w:val="24"/>
          <w:highlight w:val="none"/>
          <w:lang w:eastAsia="zh-CN"/>
        </w:rPr>
        <w:t>.1本项目</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及其委托的</w:t>
      </w:r>
      <w:r>
        <w:rPr>
          <w:rFonts w:hint="eastAsia" w:ascii="仿宋_GB2312" w:hAnsi="仿宋_GB2312" w:cs="仿宋_GB2312"/>
          <w:color w:val="auto"/>
          <w:sz w:val="24"/>
          <w:highlight w:val="none"/>
          <w:lang w:eastAsia="zh-CN"/>
        </w:rPr>
        <w:t>招标代理机构</w:t>
      </w:r>
      <w:r>
        <w:rPr>
          <w:rFonts w:hint="eastAsia" w:ascii="仿宋_GB2312" w:hAnsi="仿宋_GB2312" w:eastAsia="仿宋_GB2312" w:cs="仿宋_GB2312"/>
          <w:color w:val="auto"/>
          <w:sz w:val="24"/>
          <w:highlight w:val="none"/>
          <w:lang w:eastAsia="zh-CN"/>
        </w:rPr>
        <w:t>将严格按照相关法律法规的要求进行验收。</w:t>
      </w:r>
    </w:p>
    <w:p w14:paraId="0AF0E632">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3</w:t>
      </w:r>
      <w:r>
        <w:rPr>
          <w:rFonts w:hint="eastAsia" w:ascii="仿宋_GB2312" w:hAnsi="仿宋_GB2312" w:cs="仿宋_GB2312"/>
          <w:color w:val="auto"/>
          <w:sz w:val="24"/>
          <w:highlight w:val="none"/>
          <w:lang w:val="en-US" w:eastAsia="zh-CN"/>
        </w:rPr>
        <w:t>5</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lang w:eastAsia="zh-CN"/>
        </w:rPr>
        <w:t>验收结果合格的，中标人凭验收报告到</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处办理履约保证金的退付手续；验收结果不合格的，履约保证金将不予退还，也将不予支付采购资金。</w:t>
      </w:r>
    </w:p>
    <w:p w14:paraId="32573722">
      <w:pPr>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.资金支付</w:t>
      </w:r>
    </w:p>
    <w:p w14:paraId="0E2FFD30">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_GB2312" w:hAnsi="仿宋_GB2312" w:eastAsia="仿宋_GB2312" w:cs="仿宋_GB2312"/>
          <w:color w:val="auto"/>
          <w:sz w:val="24"/>
          <w:highlight w:val="none"/>
          <w:lang w:eastAsia="zh-CN"/>
        </w:rPr>
      </w:pP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将按照采购合同规定，及时向</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支付采购资金。</w:t>
      </w:r>
    </w:p>
    <w:bookmarkEnd w:id="149"/>
    <w:bookmarkEnd w:id="150"/>
    <w:bookmarkEnd w:id="158"/>
    <w:bookmarkEnd w:id="159"/>
    <w:bookmarkEnd w:id="160"/>
    <w:p w14:paraId="7E67A4D3">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highlight w:val="none"/>
        </w:rPr>
      </w:pPr>
      <w:bookmarkStart w:id="163" w:name="_Toc28095"/>
      <w:bookmarkStart w:id="164" w:name="_Toc308164815"/>
      <w:bookmarkStart w:id="165" w:name="_Toc217446074"/>
      <w:bookmarkStart w:id="166" w:name="_Toc79959202"/>
      <w:bookmarkStart w:id="167" w:name="_Toc20900"/>
      <w:bookmarkStart w:id="168" w:name="_Toc183582243"/>
      <w:bookmarkStart w:id="169" w:name="_Toc183682380"/>
      <w:r>
        <w:rPr>
          <w:rFonts w:hint="eastAsia" w:ascii="仿宋" w:hAnsi="仿宋" w:eastAsia="仿宋" w:cs="仿宋"/>
          <w:b/>
          <w:bCs/>
          <w:color w:val="auto"/>
          <w:highlight w:val="none"/>
        </w:rPr>
        <w:t>七、投标纪律要求</w:t>
      </w:r>
      <w:bookmarkEnd w:id="163"/>
      <w:bookmarkEnd w:id="164"/>
      <w:bookmarkEnd w:id="165"/>
      <w:bookmarkEnd w:id="166"/>
      <w:bookmarkEnd w:id="167"/>
    </w:p>
    <w:bookmarkEnd w:id="71"/>
    <w:p w14:paraId="1D824545">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bookmarkStart w:id="170" w:name="_Toc308164816"/>
      <w:bookmarkStart w:id="171" w:name="_Toc217446075"/>
      <w:bookmarkStart w:id="172" w:name="_Toc308164819"/>
      <w:bookmarkStart w:id="173" w:name="_Toc217446078"/>
      <w:bookmarkStart w:id="174" w:name="_Toc79959204"/>
      <w:bookmarkStart w:id="175" w:name="PO_默认文件内容_23"/>
      <w:r>
        <w:rPr>
          <w:rFonts w:hint="eastAsia" w:ascii="仿宋_GB2312" w:hAnsi="仿宋_GB2312" w:eastAsia="仿宋_GB2312" w:cs="仿宋_GB2312"/>
          <w:color w:val="auto"/>
          <w:sz w:val="24"/>
          <w:highlight w:val="none"/>
          <w:lang w:eastAsia="zh-CN"/>
        </w:rPr>
        <w:t>3</w:t>
      </w:r>
      <w:r>
        <w:rPr>
          <w:rFonts w:hint="eastAsia" w:ascii="仿宋_GB2312" w:hAnsi="仿宋_GB2312" w:cs="仿宋_GB2312"/>
          <w:color w:val="auto"/>
          <w:sz w:val="24"/>
          <w:highlight w:val="none"/>
          <w:lang w:val="en-US" w:eastAsia="zh-CN"/>
        </w:rPr>
        <w:t>7</w:t>
      </w:r>
      <w:r>
        <w:rPr>
          <w:rFonts w:hint="eastAsia" w:ascii="仿宋_GB2312" w:hAnsi="仿宋_GB2312" w:eastAsia="仿宋_GB2312" w:cs="仿宋_GB2312"/>
          <w:color w:val="auto"/>
          <w:sz w:val="24"/>
          <w:highlight w:val="none"/>
          <w:lang w:eastAsia="zh-CN"/>
        </w:rPr>
        <w:t>.投标人不得具有的情形</w:t>
      </w:r>
      <w:bookmarkEnd w:id="170"/>
      <w:bookmarkEnd w:id="171"/>
    </w:p>
    <w:p w14:paraId="39214808">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投标人参加本项目投标不得有下列情形：</w:t>
      </w:r>
    </w:p>
    <w:p w14:paraId="13A16420">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（1）提供虚假材料谋取中标；</w:t>
      </w:r>
    </w:p>
    <w:p w14:paraId="3DE1F797">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（2）采取不正当手段诋毁、排挤其他投标人；</w:t>
      </w:r>
    </w:p>
    <w:p w14:paraId="31D2A291">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（3）与招标采购单位、其他投标人恶意串通；</w:t>
      </w:r>
    </w:p>
    <w:p w14:paraId="3AF7E80D">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（4）向招标采购单位、评标委员会成员行贿或者提供其他不正当利益；</w:t>
      </w:r>
    </w:p>
    <w:p w14:paraId="54A110C6">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（5）在招标过程中与招标采购单位进行协商投标；</w:t>
      </w:r>
    </w:p>
    <w:p w14:paraId="19B3A38A">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（6）中标或者中标后无正当理由拒不与</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签订采购合同；</w:t>
      </w:r>
    </w:p>
    <w:p w14:paraId="49F619A0">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（7）未按照招标文件确定的事项签订采购合同；</w:t>
      </w:r>
    </w:p>
    <w:p w14:paraId="6DCF93DB">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（8）将采购合同转包或者违规分包；</w:t>
      </w:r>
    </w:p>
    <w:p w14:paraId="365BEDAE">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（9）提供假冒伪劣产品；</w:t>
      </w:r>
    </w:p>
    <w:p w14:paraId="34477924">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（10）擅自变更、中止或者终止采购合同；</w:t>
      </w:r>
    </w:p>
    <w:p w14:paraId="4C7BD9BA">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（11）拒绝有关部门的监督检查或者向监督检查部门提供虚假情况；</w:t>
      </w:r>
    </w:p>
    <w:p w14:paraId="6B1871CB">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（12）法律法规规定的其他情形。</w:t>
      </w:r>
    </w:p>
    <w:p w14:paraId="4A7DF09F">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投标人有上述情形的，按照规定追究法律责任，具备（1）-（</w:t>
      </w:r>
      <w:r>
        <w:rPr>
          <w:rFonts w:hint="eastAsia" w:ascii="仿宋_GB2312" w:hAnsi="仿宋_GB2312" w:eastAsia="仿宋_GB2312" w:cs="仿宋_GB2312"/>
          <w:color w:val="auto"/>
          <w:sz w:val="24"/>
          <w:highlight w:val="none"/>
          <w:lang w:val="en-US" w:eastAsia="zh-CN"/>
        </w:rPr>
        <w:t>12</w:t>
      </w:r>
      <w:r>
        <w:rPr>
          <w:rFonts w:hint="eastAsia" w:ascii="仿宋_GB2312" w:hAnsi="仿宋_GB2312" w:eastAsia="仿宋_GB2312" w:cs="仿宋_GB2312"/>
          <w:color w:val="auto"/>
          <w:sz w:val="24"/>
          <w:highlight w:val="none"/>
          <w:lang w:eastAsia="zh-CN"/>
        </w:rPr>
        <w:t>）条情形之一的，同时将取消中标资格或者认定中标无效。</w:t>
      </w:r>
    </w:p>
    <w:bookmarkEnd w:id="168"/>
    <w:bookmarkEnd w:id="169"/>
    <w:bookmarkEnd w:id="172"/>
    <w:bookmarkEnd w:id="173"/>
    <w:bookmarkEnd w:id="174"/>
    <w:p w14:paraId="2869DA02">
      <w:pPr>
        <w:pageBreakBefore w:val="0"/>
        <w:widowControl w:val="0"/>
        <w:kinsoku/>
        <w:wordWrap/>
        <w:overflowPunct/>
        <w:topLinePunct w:val="0"/>
        <w:bidi w:val="0"/>
        <w:snapToGrid/>
        <w:spacing w:line="360" w:lineRule="atLeast"/>
        <w:jc w:val="center"/>
        <w:outlineLvl w:val="9"/>
        <w:rPr>
          <w:rFonts w:ascii="仿宋" w:hAnsi="仿宋" w:eastAsia="仿宋"/>
          <w:b/>
          <w:color w:val="auto"/>
          <w:sz w:val="24"/>
        </w:rPr>
      </w:pPr>
      <w:bookmarkStart w:id="176" w:name="_Toc217446083"/>
    </w:p>
    <w:p w14:paraId="02F8BD30">
      <w:pPr>
        <w:pageBreakBefore w:val="0"/>
        <w:widowControl w:val="0"/>
        <w:kinsoku/>
        <w:wordWrap/>
        <w:overflowPunct/>
        <w:topLinePunct w:val="0"/>
        <w:bidi w:val="0"/>
        <w:snapToGrid/>
        <w:jc w:val="center"/>
        <w:outlineLvl w:val="9"/>
        <w:rPr>
          <w:rFonts w:ascii="仿宋" w:hAnsi="仿宋" w:eastAsia="仿宋"/>
          <w:color w:val="auto"/>
          <w:sz w:val="36"/>
          <w:szCs w:val="36"/>
        </w:rPr>
        <w:sectPr>
          <w:footerReference r:id="rId6" w:type="default"/>
          <w:footerReference r:id="rId7" w:type="even"/>
          <w:pgSz w:w="11907" w:h="16840"/>
          <w:pgMar w:top="1417" w:right="1134" w:bottom="1417" w:left="1134" w:header="851" w:footer="992" w:gutter="0"/>
          <w:pgNumType w:fmt="decimal" w:start="1"/>
          <w:cols w:space="720" w:num="1"/>
          <w:docGrid w:linePitch="312" w:charSpace="0"/>
        </w:sectPr>
      </w:pPr>
      <w:bookmarkStart w:id="177" w:name="_Toc1368"/>
      <w:bookmarkStart w:id="178" w:name="_Toc24369"/>
    </w:p>
    <w:p w14:paraId="5240F6C6">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eastAsia" w:ascii="仿宋" w:hAnsi="仿宋" w:eastAsia="仿宋" w:cs="Times New Roman"/>
          <w:b/>
          <w:bCs/>
          <w:color w:val="auto"/>
          <w:sz w:val="36"/>
          <w:szCs w:val="36"/>
        </w:rPr>
      </w:pPr>
      <w:bookmarkStart w:id="179" w:name="_Toc10190"/>
      <w:bookmarkStart w:id="180" w:name="_Toc79959207"/>
      <w:bookmarkStart w:id="181" w:name="_Toc7248"/>
      <w:r>
        <w:rPr>
          <w:rFonts w:hint="eastAsia" w:ascii="仿宋" w:hAnsi="仿宋" w:eastAsia="仿宋" w:cs="Times New Roman"/>
          <w:b/>
          <w:bCs/>
          <w:color w:val="auto"/>
          <w:sz w:val="36"/>
          <w:szCs w:val="36"/>
        </w:rPr>
        <w:t>第三章  投标文件格式</w:t>
      </w:r>
      <w:bookmarkEnd w:id="177"/>
      <w:bookmarkEnd w:id="178"/>
      <w:bookmarkEnd w:id="179"/>
      <w:bookmarkEnd w:id="180"/>
      <w:bookmarkEnd w:id="181"/>
      <w:bookmarkStart w:id="182" w:name="_Toc308164821"/>
      <w:bookmarkStart w:id="183" w:name="_Toc217446082"/>
    </w:p>
    <w:p w14:paraId="7D5D106D">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textAlignment w:val="auto"/>
        <w:outlineLvl w:val="9"/>
        <w:rPr>
          <w:rFonts w:ascii="仿宋" w:hAnsi="仿宋" w:eastAsia="仿宋"/>
          <w:color w:val="auto"/>
          <w:sz w:val="24"/>
        </w:rPr>
      </w:pPr>
      <w:bookmarkStart w:id="184" w:name="_Toc79959208"/>
      <w:r>
        <w:rPr>
          <w:rFonts w:hint="eastAsia" w:ascii="仿宋" w:hAnsi="仿宋" w:eastAsia="仿宋"/>
          <w:color w:val="auto"/>
          <w:sz w:val="24"/>
        </w:rPr>
        <w:t>一、本章所制投标文件格式，除格式中明确将该格式作为实质性要求的，一律不具有强制性，但是，投标人投标文件相关资料和本章所制格式不一致的，评标委员会将在评分时以投标文件不规范予以扣分处理。</w:t>
      </w:r>
      <w:bookmarkEnd w:id="184"/>
    </w:p>
    <w:p w14:paraId="36F9E330">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textAlignment w:val="auto"/>
        <w:outlineLvl w:val="9"/>
        <w:rPr>
          <w:rFonts w:ascii="仿宋" w:hAnsi="仿宋" w:eastAsia="仿宋"/>
          <w:color w:val="auto"/>
          <w:sz w:val="24"/>
        </w:rPr>
      </w:pPr>
      <w:bookmarkStart w:id="185" w:name="_Toc79959209"/>
      <w:r>
        <w:rPr>
          <w:rFonts w:hint="eastAsia" w:ascii="仿宋" w:hAnsi="仿宋" w:eastAsia="仿宋"/>
          <w:color w:val="auto"/>
          <w:sz w:val="24"/>
        </w:rPr>
        <w:t>二、本章所制投标文件格式有关表格中的备注栏，由投标人根据自身投标情况作解释性说明，不作为必填项。</w:t>
      </w:r>
      <w:bookmarkEnd w:id="185"/>
    </w:p>
    <w:p w14:paraId="40CE469E">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textAlignment w:val="auto"/>
        <w:outlineLvl w:val="9"/>
        <w:rPr>
          <w:rFonts w:ascii="仿宋" w:hAnsi="仿宋" w:eastAsia="仿宋"/>
          <w:color w:val="auto"/>
          <w:sz w:val="24"/>
        </w:rPr>
      </w:pPr>
      <w:bookmarkStart w:id="186" w:name="_Toc79959210"/>
      <w:r>
        <w:rPr>
          <w:rFonts w:hint="eastAsia" w:ascii="仿宋" w:hAnsi="仿宋" w:eastAsia="仿宋"/>
          <w:color w:val="auto"/>
          <w:sz w:val="24"/>
        </w:rPr>
        <w:t>三、本章所制投标文件格式中需要填写的相关内容事项，可能会与本采购项目无关，在不改变投标文件原义、不影响本项目采购需求的情况下，投标人可以不予填写，但应当注明。</w:t>
      </w:r>
      <w:bookmarkEnd w:id="175"/>
      <w:bookmarkEnd w:id="186"/>
    </w:p>
    <w:p w14:paraId="75C9358A">
      <w:pPr>
        <w:keepNext w:val="0"/>
        <w:keepLines w:val="0"/>
        <w:pageBreakBefore w:val="0"/>
        <w:widowControl w:val="0"/>
        <w:tabs>
          <w:tab w:val="left" w:pos="900"/>
        </w:tabs>
        <w:kinsoku/>
        <w:wordWrap/>
        <w:overflowPunct/>
        <w:topLinePunct w:val="0"/>
        <w:autoSpaceDE/>
        <w:autoSpaceDN/>
        <w:bidi w:val="0"/>
        <w:adjustRightInd/>
        <w:snapToGrid/>
        <w:spacing w:line="360" w:lineRule="auto"/>
        <w:jc w:val="center"/>
        <w:textAlignment w:val="auto"/>
        <w:outlineLvl w:val="9"/>
        <w:rPr>
          <w:rFonts w:ascii="仿宋" w:hAnsi="仿宋" w:eastAsia="仿宋"/>
          <w:b/>
          <w:color w:val="auto"/>
          <w:sz w:val="32"/>
        </w:rPr>
      </w:pPr>
      <w:r>
        <w:rPr>
          <w:rFonts w:hint="eastAsia" w:ascii="仿宋" w:hAnsi="仿宋" w:eastAsia="仿宋"/>
          <w:b/>
          <w:color w:val="auto"/>
          <w:sz w:val="32"/>
          <w:szCs w:val="32"/>
        </w:rPr>
        <w:br w:type="page"/>
      </w:r>
      <w:bookmarkStart w:id="187" w:name="PO_默认文件内容_24"/>
    </w:p>
    <w:p w14:paraId="7CEA9E38">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auto"/>
          <w:sz w:val="30"/>
          <w:szCs w:val="30"/>
          <w:highlight w:val="none"/>
        </w:rPr>
      </w:pPr>
      <w:bookmarkStart w:id="188" w:name="_Toc10633"/>
      <w:bookmarkStart w:id="189" w:name="_Toc19804"/>
      <w:bookmarkStart w:id="190" w:name="_Toc26263"/>
      <w:bookmarkStart w:id="191" w:name="_Toc17333"/>
      <w:bookmarkStart w:id="192" w:name="_Toc9603"/>
      <w:bookmarkStart w:id="193" w:name="_Toc21431"/>
      <w:bookmarkStart w:id="194" w:name="_Toc25977"/>
      <w:bookmarkStart w:id="195" w:name="_Toc6003"/>
      <w:bookmarkStart w:id="196" w:name="_Toc11874"/>
      <w:bookmarkStart w:id="197" w:name="_Toc8182"/>
      <w:bookmarkStart w:id="198" w:name="_Toc13135"/>
      <w:r>
        <w:rPr>
          <w:rFonts w:hint="eastAsia" w:ascii="仿宋" w:hAnsi="仿宋" w:eastAsia="仿宋" w:cs="仿宋"/>
          <w:b/>
          <w:bCs/>
          <w:color w:val="auto"/>
          <w:sz w:val="30"/>
          <w:szCs w:val="30"/>
          <w:highlight w:val="none"/>
        </w:rPr>
        <mc:AlternateContent>
          <mc:Choice Requires="wps">
            <w:drawing>
              <wp:anchor distT="0" distB="0" distL="114300" distR="114300" simplePos="0" relativeHeight="251659264" behindDoc="0" locked="0" layoutInCell="1" allowOverlap="1">
                <wp:simplePos x="0" y="0"/>
                <wp:positionH relativeFrom="column">
                  <wp:posOffset>4267200</wp:posOffset>
                </wp:positionH>
                <wp:positionV relativeFrom="paragraph">
                  <wp:posOffset>31750</wp:posOffset>
                </wp:positionV>
                <wp:extent cx="1714500" cy="503555"/>
                <wp:effectExtent l="4445" t="4445" r="14605" b="6350"/>
                <wp:wrapNone/>
                <wp:docPr id="10" name="矩形 10"/>
                <wp:cNvGraphicFramePr/>
                <a:graphic xmlns:a="http://schemas.openxmlformats.org/drawingml/2006/main">
                  <a:graphicData uri="http://schemas.microsoft.com/office/word/2010/wordprocessingShape">
                    <wps:wsp>
                      <wps:cNvSpPr/>
                      <wps:spPr>
                        <a:xfrm>
                          <a:off x="0" y="0"/>
                          <a:ext cx="1714500" cy="5035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0349AE7">
                            <w:pPr>
                              <w:jc w:val="center"/>
                              <w:rPr>
                                <w:rFonts w:hint="eastAsia"/>
                                <w:b/>
                                <w:sz w:val="44"/>
                                <w:szCs w:val="44"/>
                              </w:rPr>
                            </w:pPr>
                            <w:r>
                              <w:rPr>
                                <w:rFonts w:hint="eastAsia"/>
                                <w:b/>
                                <w:sz w:val="44"/>
                                <w:szCs w:val="44"/>
                              </w:rPr>
                              <w:t>正本或副本</w:t>
                            </w:r>
                          </w:p>
                        </w:txbxContent>
                      </wps:txbx>
                      <wps:bodyPr upright="1"/>
                    </wps:wsp>
                  </a:graphicData>
                </a:graphic>
              </wp:anchor>
            </w:drawing>
          </mc:Choice>
          <mc:Fallback>
            <w:pict>
              <v:rect id="_x0000_s1026" o:spid="_x0000_s1026" o:spt="1" style="position:absolute;left:0pt;margin-left:336pt;margin-top:2.5pt;height:39.65pt;width:135pt;z-index:251659264;mso-width-relative:page;mso-height-relative:page;" fillcolor="#FFFFFF" filled="t" stroked="t" coordsize="21600,21600" o:gfxdata="UEsDBAoAAAAAAIdO4kAAAAAAAAAAAAAAAAAEAAAAZHJzL1BLAwQUAAAACACHTuJAM2zdkNcAAAAI&#10;AQAADwAAAGRycy9kb3ducmV2LnhtbE2PwU7DMBBE70j8g7VI3KjdtJQ2xOkBVCSObXrhtomXJBCv&#10;o9hpA1+Peyqn1WhGs2+y7WQ7caLBt441zGcKBHHlTMu1hmOxe1iD8AHZYOeYNPyQh21+e5NhatyZ&#10;93Q6hFrEEvYpamhC6FMpfdWQRT9zPXH0Pt1gMUQ51NIMeI7ltpOJUitpseX4ocGeXhqqvg+j1VC2&#10;yRF/98WbspvdIrxPxdf48ar1/d1cPYMINIVrGC74ER3yyFS6kY0XnYbVUxK3BA2P8UR/s7zoUsN6&#10;uQCZZ/L/gPwPUEsDBBQAAAAIAIdO4kB916OGBAIAADkEAAAOAAAAZHJzL2Uyb0RvYy54bWytU8uu&#10;0zAQ3SPxD5b3NGkhPKKmd0EpGwRXupcPcG0nseSXPG6Tfg0SOz6Cz0H8BmMnlN4Liy7IIjm2J2fm&#10;nBmvb0ajyVEGUM42dLkoKZGWO6Fs19DP97tnrymByKxg2lnZ0JMEerN5+mQ9+FquXO+0kIEgiYV6&#10;8A3tY/R1UQDvpWGwcF5aPGxdMCziMnSFCGxAdqOLVVm+LAYXhA+OSwDc3U6HdGYM1xC6tlVcbh0/&#10;GGnjxBqkZhElQa880E2utm0lj5/aFmQkuqGoNOY3JkG8T+9is2Z1F5jvFZ9LYNeU8EiTYcpi0jPV&#10;lkVGDkH9RWUUDw5cGxfcmWISkh1BFcvykTd3PfMya0GrwZ9Nh/9Hyz8ebwNRAicBLbHMYMd/fvn2&#10;4/tXghvozuChxqA7fxvmFSBMUsc2mPRFEWTMjp7OjsoxEo6by1fLF1WJzBzPqvJ5VVWJtPjztw8Q&#10;30tnSAINDdixbCQ7foA4hf4OScnAaSV2Suu8CN3+rQ7kyLC7u/zM7A/CtCVDQ99UqwrrYDiyLY4K&#10;QuNRNtgu53vwB1wSl/n5F3EqbMugnwrIDCmM1UZFGTLqJRPvrCDx5NFZizeKpmKMFJRoiRcwoRwZ&#10;mdLXRKJ32qYkMo/37FJq09SYhOK4H5E0wb0TJ+zwwQfV9WjwMgtJJzhRuRPz9KeRvVwjvrzxm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zbN2Q1wAAAAgBAAAPAAAAAAAAAAEAIAAAACIAAABkcnMv&#10;ZG93bnJldi54bWxQSwECFAAUAAAACACHTuJAfdejhgQCAAA5BAAADgAAAAAAAAABACAAAAAmAQAA&#10;ZHJzL2Uyb0RvYy54bWxQSwUGAAAAAAYABgBZAQAAnAUAAAAA&#10;">
                <v:fill on="t" focussize="0,0"/>
                <v:stroke color="#000000" joinstyle="miter"/>
                <v:imagedata o:title=""/>
                <o:lock v:ext="edit" aspectratio="f"/>
                <v:textbox>
                  <w:txbxContent>
                    <w:p w14:paraId="50349AE7">
                      <w:pPr>
                        <w:jc w:val="center"/>
                        <w:rPr>
                          <w:rFonts w:hint="eastAsia"/>
                          <w:b/>
                          <w:sz w:val="44"/>
                          <w:szCs w:val="44"/>
                        </w:rPr>
                      </w:pPr>
                      <w:r>
                        <w:rPr>
                          <w:rFonts w:hint="eastAsia"/>
                          <w:b/>
                          <w:sz w:val="44"/>
                          <w:szCs w:val="44"/>
                        </w:rPr>
                        <w:t>正本或副本</w:t>
                      </w:r>
                    </w:p>
                  </w:txbxContent>
                </v:textbox>
              </v:rect>
            </w:pict>
          </mc:Fallback>
        </mc:AlternateContent>
      </w:r>
      <w:bookmarkEnd w:id="188"/>
      <w:bookmarkEnd w:id="189"/>
      <w:bookmarkEnd w:id="190"/>
      <w:bookmarkEnd w:id="191"/>
      <w:bookmarkEnd w:id="192"/>
      <w:bookmarkStart w:id="199" w:name="_Toc7019"/>
      <w:bookmarkStart w:id="200" w:name="_Toc22878"/>
      <w:bookmarkStart w:id="201" w:name="_Toc13822"/>
      <w:bookmarkStart w:id="202" w:name="_Toc10715"/>
      <w:r>
        <w:rPr>
          <w:rFonts w:hint="eastAsia" w:ascii="仿宋" w:hAnsi="仿宋" w:eastAsia="仿宋" w:cs="仿宋"/>
          <w:b/>
          <w:bCs/>
          <w:color w:val="auto"/>
          <w:sz w:val="30"/>
          <w:szCs w:val="30"/>
          <w:highlight w:val="none"/>
          <w:lang w:val="en-US" w:eastAsia="zh-CN"/>
        </w:rPr>
        <w:t>格式1</w:t>
      </w:r>
      <w:r>
        <w:rPr>
          <w:rFonts w:hint="eastAsia" w:ascii="仿宋" w:hAnsi="仿宋" w:eastAsia="仿宋" w:cs="仿宋"/>
          <w:b/>
          <w:bCs/>
          <w:color w:val="auto"/>
          <w:sz w:val="30"/>
          <w:szCs w:val="30"/>
          <w:highlight w:val="none"/>
        </w:rPr>
        <w:t>封面格式</w:t>
      </w:r>
      <w:bookmarkEnd w:id="193"/>
      <w:bookmarkEnd w:id="194"/>
      <w:bookmarkEnd w:id="195"/>
      <w:bookmarkEnd w:id="196"/>
      <w:bookmarkEnd w:id="199"/>
      <w:bookmarkEnd w:id="200"/>
      <w:bookmarkEnd w:id="201"/>
      <w:bookmarkEnd w:id="202"/>
    </w:p>
    <w:p w14:paraId="7DE79367">
      <w:pPr>
        <w:pStyle w:val="61"/>
        <w:keepNext w:val="0"/>
        <w:keepLines w:val="0"/>
        <w:pageBreakBefore w:val="0"/>
        <w:widowControl w:val="0"/>
        <w:kinsoku/>
        <w:wordWrap/>
        <w:overflowPunct/>
        <w:topLinePunct w:val="0"/>
        <w:bidi w:val="0"/>
        <w:snapToGrid/>
        <w:spacing w:line="360" w:lineRule="auto"/>
        <w:rPr>
          <w:rFonts w:hint="eastAsia" w:ascii="仿宋" w:hAnsi="仿宋" w:eastAsia="仿宋" w:cs="仿宋"/>
          <w:color w:val="auto"/>
          <w:sz w:val="24"/>
          <w:szCs w:val="24"/>
          <w:highlight w:val="none"/>
        </w:rPr>
      </w:pPr>
    </w:p>
    <w:p w14:paraId="41C870E2">
      <w:pPr>
        <w:pStyle w:val="61"/>
        <w:keepNext w:val="0"/>
        <w:keepLines w:val="0"/>
        <w:pageBreakBefore w:val="0"/>
        <w:widowControl w:val="0"/>
        <w:kinsoku/>
        <w:wordWrap/>
        <w:overflowPunct/>
        <w:topLinePunct w:val="0"/>
        <w:bidi w:val="0"/>
        <w:snapToGrid/>
        <w:spacing w:line="360" w:lineRule="auto"/>
        <w:jc w:val="both"/>
        <w:rPr>
          <w:rFonts w:hint="eastAsia" w:ascii="仿宋" w:hAnsi="仿宋" w:eastAsia="仿宋" w:cs="仿宋"/>
          <w:b/>
          <w:color w:val="auto"/>
          <w:sz w:val="24"/>
          <w:szCs w:val="24"/>
          <w:highlight w:val="none"/>
          <w:lang w:eastAsia="zh-CN"/>
        </w:rPr>
      </w:pPr>
    </w:p>
    <w:p w14:paraId="42043F8B">
      <w:pPr>
        <w:pStyle w:val="61"/>
        <w:keepNext w:val="0"/>
        <w:keepLines w:val="0"/>
        <w:pageBreakBefore w:val="0"/>
        <w:widowControl w:val="0"/>
        <w:kinsoku/>
        <w:wordWrap/>
        <w:overflowPunct/>
        <w:topLinePunct w:val="0"/>
        <w:bidi w:val="0"/>
        <w:snapToGrid/>
        <w:spacing w:line="360" w:lineRule="auto"/>
        <w:ind w:left="0" w:leftChars="0" w:firstLine="0" w:firstLineChars="0"/>
        <w:jc w:val="center"/>
        <w:rPr>
          <w:rFonts w:hint="eastAsia" w:ascii="仿宋" w:hAnsi="仿宋" w:eastAsia="仿宋" w:cs="仿宋"/>
          <w:b/>
          <w:color w:val="auto"/>
          <w:sz w:val="52"/>
          <w:szCs w:val="52"/>
          <w:highlight w:val="none"/>
          <w:lang w:eastAsia="zh-CN"/>
        </w:rPr>
      </w:pPr>
    </w:p>
    <w:p w14:paraId="29F3357E">
      <w:pPr>
        <w:pStyle w:val="61"/>
        <w:keepNext w:val="0"/>
        <w:keepLines w:val="0"/>
        <w:pageBreakBefore w:val="0"/>
        <w:kinsoku/>
        <w:wordWrap/>
        <w:overflowPunct/>
        <w:topLinePunct w:val="0"/>
        <w:bidi w:val="0"/>
        <w:spacing w:line="360" w:lineRule="auto"/>
        <w:ind w:left="0" w:leftChars="0" w:firstLine="0" w:firstLineChars="0"/>
        <w:jc w:val="center"/>
        <w:rPr>
          <w:rFonts w:hint="default"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eastAsia="zh-CN"/>
        </w:rPr>
        <w:t>资格技术投标</w:t>
      </w:r>
      <w:r>
        <w:rPr>
          <w:rFonts w:hint="eastAsia" w:ascii="仿宋" w:hAnsi="仿宋" w:eastAsia="仿宋" w:cs="仿宋"/>
          <w:b/>
          <w:color w:val="auto"/>
          <w:sz w:val="52"/>
          <w:szCs w:val="52"/>
          <w:highlight w:val="none"/>
        </w:rPr>
        <w:t>文件</w:t>
      </w:r>
      <w:r>
        <w:rPr>
          <w:rFonts w:hint="eastAsia" w:ascii="仿宋" w:hAnsi="仿宋" w:eastAsia="仿宋" w:cs="仿宋"/>
          <w:b/>
          <w:color w:val="auto"/>
          <w:sz w:val="52"/>
          <w:szCs w:val="52"/>
          <w:highlight w:val="none"/>
          <w:lang w:val="en-US" w:eastAsia="zh-CN"/>
        </w:rPr>
        <w:t>/开标一览表</w:t>
      </w:r>
    </w:p>
    <w:p w14:paraId="264520A3">
      <w:pPr>
        <w:pStyle w:val="61"/>
        <w:keepNext w:val="0"/>
        <w:keepLines w:val="0"/>
        <w:pageBreakBefore w:val="0"/>
        <w:widowControl w:val="0"/>
        <w:kinsoku/>
        <w:wordWrap/>
        <w:overflowPunct/>
        <w:topLinePunct w:val="0"/>
        <w:bidi w:val="0"/>
        <w:snapToGrid/>
        <w:spacing w:line="360" w:lineRule="auto"/>
        <w:jc w:val="center"/>
        <w:rPr>
          <w:rFonts w:hint="eastAsia" w:ascii="仿宋" w:hAnsi="仿宋" w:eastAsia="仿宋" w:cs="仿宋"/>
          <w:color w:val="auto"/>
          <w:sz w:val="24"/>
          <w:szCs w:val="24"/>
          <w:highlight w:val="none"/>
        </w:rPr>
      </w:pPr>
    </w:p>
    <w:p w14:paraId="085D8F16">
      <w:pPr>
        <w:pStyle w:val="61"/>
        <w:keepNext w:val="0"/>
        <w:keepLines w:val="0"/>
        <w:pageBreakBefore w:val="0"/>
        <w:widowControl w:val="0"/>
        <w:kinsoku/>
        <w:wordWrap/>
        <w:overflowPunct/>
        <w:topLinePunct w:val="0"/>
        <w:bidi w:val="0"/>
        <w:snapToGrid/>
        <w:spacing w:line="360" w:lineRule="auto"/>
        <w:ind w:firstLine="1120" w:firstLineChars="4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eastAsia="zh-CN"/>
        </w:rPr>
        <w:t>招标编号</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14:paraId="7D67F400">
      <w:pPr>
        <w:pStyle w:val="61"/>
        <w:keepNext w:val="0"/>
        <w:keepLines w:val="0"/>
        <w:pageBreakBefore w:val="0"/>
        <w:widowControl w:val="0"/>
        <w:kinsoku/>
        <w:wordWrap/>
        <w:overflowPunct/>
        <w:topLinePunct w:val="0"/>
        <w:bidi w:val="0"/>
        <w:snapToGrid/>
        <w:spacing w:line="360" w:lineRule="auto"/>
        <w:ind w:firstLine="1120" w:firstLineChars="400"/>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u w:val="none"/>
          <w:lang w:eastAsia="zh-CN"/>
        </w:rPr>
        <w:t>招标包号</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14:paraId="5CCB9955">
      <w:pPr>
        <w:pStyle w:val="61"/>
        <w:keepNext w:val="0"/>
        <w:keepLines w:val="0"/>
        <w:pageBreakBefore w:val="0"/>
        <w:widowControl w:val="0"/>
        <w:kinsoku/>
        <w:wordWrap/>
        <w:overflowPunct/>
        <w:topLinePunct w:val="0"/>
        <w:bidi w:val="0"/>
        <w:snapToGrid/>
        <w:spacing w:line="360" w:lineRule="auto"/>
        <w:ind w:firstLine="1120" w:firstLineChars="40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eastAsia="zh-CN"/>
        </w:rPr>
        <w:t>招标名称</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14:paraId="536EBD8F">
      <w:pPr>
        <w:pStyle w:val="61"/>
        <w:keepNext w:val="0"/>
        <w:keepLines w:val="0"/>
        <w:pageBreakBefore w:val="0"/>
        <w:widowControl w:val="0"/>
        <w:kinsoku/>
        <w:wordWrap/>
        <w:overflowPunct/>
        <w:topLinePunct w:val="0"/>
        <w:bidi w:val="0"/>
        <w:snapToGrid/>
        <w:spacing w:line="360" w:lineRule="auto"/>
        <w:ind w:firstLine="1120" w:firstLineChars="4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eastAsia="zh-CN"/>
        </w:rPr>
        <w:t>投标人名称</w:t>
      </w:r>
      <w:r>
        <w:rPr>
          <w:rFonts w:hint="eastAsia" w:ascii="仿宋" w:hAnsi="仿宋" w:eastAsia="仿宋" w:cs="仿宋"/>
          <w:color w:val="auto"/>
          <w:sz w:val="28"/>
          <w:szCs w:val="28"/>
          <w:highlight w:val="none"/>
        </w:rPr>
        <w:t>（加盖公章）：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14:paraId="236561D8">
      <w:pPr>
        <w:keepNext w:val="0"/>
        <w:keepLines w:val="0"/>
        <w:pageBreakBefore w:val="0"/>
        <w:widowControl w:val="0"/>
        <w:tabs>
          <w:tab w:val="left" w:pos="7665"/>
        </w:tabs>
        <w:kinsoku/>
        <w:wordWrap/>
        <w:overflowPunct/>
        <w:topLinePunct w:val="0"/>
        <w:bidi w:val="0"/>
        <w:snapToGrid/>
        <w:spacing w:line="360" w:lineRule="auto"/>
        <w:jc w:val="right"/>
        <w:rPr>
          <w:rFonts w:hint="eastAsia" w:ascii="仿宋" w:hAnsi="仿宋" w:eastAsia="仿宋" w:cs="仿宋"/>
          <w:color w:val="auto"/>
          <w:sz w:val="32"/>
          <w:szCs w:val="32"/>
          <w:highlight w:val="none"/>
        </w:rPr>
      </w:pPr>
    </w:p>
    <w:p w14:paraId="41761550">
      <w:pPr>
        <w:keepNext w:val="0"/>
        <w:keepLines w:val="0"/>
        <w:pageBreakBefore w:val="0"/>
        <w:widowControl w:val="0"/>
        <w:tabs>
          <w:tab w:val="left" w:pos="7665"/>
        </w:tabs>
        <w:kinsoku/>
        <w:wordWrap/>
        <w:overflowPunct/>
        <w:topLinePunct w:val="0"/>
        <w:bidi w:val="0"/>
        <w:snapToGrid/>
        <w:spacing w:line="360" w:lineRule="auto"/>
        <w:jc w:val="right"/>
        <w:rPr>
          <w:rFonts w:hint="eastAsia" w:ascii="仿宋" w:hAnsi="仿宋" w:eastAsia="仿宋" w:cs="仿宋"/>
          <w:color w:val="auto"/>
          <w:sz w:val="32"/>
          <w:szCs w:val="32"/>
          <w:highlight w:val="none"/>
        </w:rPr>
      </w:pPr>
    </w:p>
    <w:p w14:paraId="0DB98323">
      <w:pPr>
        <w:keepNext w:val="0"/>
        <w:keepLines w:val="0"/>
        <w:pageBreakBefore w:val="0"/>
        <w:widowControl w:val="0"/>
        <w:tabs>
          <w:tab w:val="left" w:pos="7665"/>
        </w:tabs>
        <w:kinsoku/>
        <w:wordWrap/>
        <w:overflowPunct/>
        <w:topLinePunct w:val="0"/>
        <w:bidi w:val="0"/>
        <w:snapToGrid/>
        <w:spacing w:line="360" w:lineRule="auto"/>
        <w:jc w:val="right"/>
        <w:rPr>
          <w:rFonts w:hint="eastAsia" w:ascii="仿宋" w:hAnsi="仿宋" w:eastAsia="仿宋" w:cs="仿宋"/>
          <w:color w:val="auto"/>
          <w:sz w:val="32"/>
          <w:szCs w:val="32"/>
          <w:highlight w:val="none"/>
        </w:rPr>
      </w:pPr>
    </w:p>
    <w:p w14:paraId="00990434">
      <w:pPr>
        <w:keepNext w:val="0"/>
        <w:keepLines w:val="0"/>
        <w:pageBreakBefore w:val="0"/>
        <w:widowControl w:val="0"/>
        <w:tabs>
          <w:tab w:val="left" w:pos="7665"/>
        </w:tabs>
        <w:kinsoku/>
        <w:wordWrap/>
        <w:overflowPunct/>
        <w:topLinePunct w:val="0"/>
        <w:bidi w:val="0"/>
        <w:snapToGrid/>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年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月     日 </w:t>
      </w:r>
    </w:p>
    <w:p w14:paraId="777B6DCF">
      <w:pPr>
        <w:keepNext w:val="0"/>
        <w:keepLines w:val="0"/>
        <w:pageBreakBefore w:val="0"/>
        <w:widowControl w:val="0"/>
        <w:kinsoku/>
        <w:wordWrap/>
        <w:overflowPunct/>
        <w:topLinePunct w:val="0"/>
        <w:bidi w:val="0"/>
        <w:snapToGrid/>
        <w:spacing w:line="360" w:lineRule="auto"/>
        <w:rPr>
          <w:rFonts w:hint="eastAsia" w:ascii="仿宋" w:hAnsi="仿宋" w:eastAsia="仿宋" w:cs="仿宋"/>
          <w:b/>
          <w:color w:val="auto"/>
          <w:sz w:val="24"/>
          <w:szCs w:val="24"/>
          <w:highlight w:val="none"/>
        </w:rPr>
        <w:sectPr>
          <w:footerReference r:id="rId8" w:type="default"/>
          <w:pgSz w:w="11850" w:h="16783"/>
          <w:pgMar w:top="1417" w:right="1134" w:bottom="1417" w:left="1134"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3272321E">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auto"/>
          <w:sz w:val="30"/>
          <w:szCs w:val="30"/>
          <w:highlight w:val="none"/>
          <w:lang w:val="en-US" w:eastAsia="zh-CN"/>
        </w:rPr>
      </w:pPr>
      <w:bookmarkStart w:id="203" w:name="_Toc182"/>
      <w:bookmarkStart w:id="204" w:name="_Toc27659"/>
      <w:bookmarkStart w:id="205" w:name="_Toc17224"/>
      <w:bookmarkStart w:id="206" w:name="_Toc950"/>
      <w:bookmarkStart w:id="207" w:name="_Toc17510"/>
      <w:bookmarkStart w:id="208" w:name="_Toc10976"/>
      <w:bookmarkStart w:id="209" w:name="_Toc10248"/>
      <w:bookmarkStart w:id="210" w:name="_Toc19492"/>
      <w:bookmarkStart w:id="211" w:name="_Toc2774"/>
      <w:r>
        <w:rPr>
          <w:rFonts w:hint="eastAsia" w:ascii="仿宋" w:hAnsi="仿宋" w:eastAsia="仿宋" w:cs="仿宋"/>
          <w:b/>
          <w:bCs/>
          <w:color w:val="auto"/>
          <w:sz w:val="30"/>
          <w:szCs w:val="30"/>
          <w:highlight w:val="none"/>
          <w:lang w:val="en-US" w:eastAsia="zh-CN"/>
        </w:rPr>
        <w:t>格式2具有独立承担民事责任的能力</w:t>
      </w:r>
      <w:bookmarkEnd w:id="203"/>
      <w:bookmarkEnd w:id="204"/>
      <w:bookmarkEnd w:id="205"/>
      <w:bookmarkEnd w:id="206"/>
      <w:bookmarkEnd w:id="207"/>
      <w:bookmarkEnd w:id="208"/>
      <w:bookmarkEnd w:id="209"/>
      <w:bookmarkEnd w:id="210"/>
      <w:bookmarkEnd w:id="211"/>
    </w:p>
    <w:p w14:paraId="3D4928F5">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color w:val="auto"/>
          <w:sz w:val="24"/>
          <w:highlight w:val="none"/>
        </w:rPr>
      </w:pPr>
    </w:p>
    <w:p w14:paraId="2FD30181">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b/>
          <w:color w:val="auto"/>
          <w:sz w:val="24"/>
          <w:szCs w:val="24"/>
          <w:highlight w:val="none"/>
          <w:lang w:val="en-US" w:eastAsia="zh-CN"/>
        </w:rPr>
      </w:pPr>
      <w:bookmarkStart w:id="212" w:name="_Toc6684"/>
      <w:r>
        <w:rPr>
          <w:rFonts w:hint="eastAsia" w:ascii="仿宋" w:hAnsi="仿宋" w:eastAsia="仿宋" w:cs="仿宋"/>
          <w:b/>
          <w:color w:val="auto"/>
          <w:sz w:val="24"/>
          <w:szCs w:val="24"/>
          <w:highlight w:val="none"/>
          <w:lang w:val="en-US" w:eastAsia="zh-CN"/>
        </w:rPr>
        <w:t>根据第五章要求提供</w:t>
      </w:r>
    </w:p>
    <w:p w14:paraId="2A660DF1">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br w:type="page"/>
      </w:r>
      <w:bookmarkStart w:id="213" w:name="_Toc27318"/>
      <w:bookmarkStart w:id="214" w:name="_Toc5041"/>
      <w:bookmarkStart w:id="215" w:name="_Toc18627"/>
      <w:bookmarkStart w:id="216" w:name="_Toc19814"/>
      <w:bookmarkStart w:id="217" w:name="_Toc9618"/>
      <w:bookmarkStart w:id="218" w:name="_Toc28237"/>
      <w:bookmarkStart w:id="219" w:name="_Toc2452"/>
      <w:bookmarkStart w:id="220" w:name="_Toc3930"/>
      <w:r>
        <w:rPr>
          <w:rFonts w:hint="eastAsia" w:ascii="仿宋" w:hAnsi="仿宋" w:eastAsia="仿宋" w:cs="仿宋"/>
          <w:b/>
          <w:bCs/>
          <w:color w:val="auto"/>
          <w:sz w:val="30"/>
          <w:szCs w:val="30"/>
          <w:highlight w:val="none"/>
          <w:lang w:val="en-US" w:eastAsia="zh-CN"/>
        </w:rPr>
        <w:t>格式3具有良好的商业信誉和健全的财务会计制度</w:t>
      </w:r>
      <w:bookmarkEnd w:id="212"/>
      <w:bookmarkEnd w:id="213"/>
      <w:bookmarkEnd w:id="214"/>
      <w:bookmarkEnd w:id="215"/>
      <w:bookmarkEnd w:id="216"/>
      <w:bookmarkEnd w:id="217"/>
      <w:bookmarkEnd w:id="218"/>
      <w:bookmarkEnd w:id="219"/>
      <w:bookmarkEnd w:id="220"/>
    </w:p>
    <w:p w14:paraId="7E910CA4">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center"/>
        <w:textAlignment w:val="auto"/>
        <w:outlineLvl w:val="9"/>
        <w:rPr>
          <w:rFonts w:hint="eastAsia" w:ascii="宋体" w:hAnsi="宋体"/>
          <w:b/>
          <w:bCs/>
          <w:color w:val="auto"/>
          <w:sz w:val="32"/>
          <w:szCs w:val="32"/>
          <w:highlight w:val="none"/>
          <w:lang w:val="en-US" w:eastAsia="zh-CN"/>
        </w:rPr>
      </w:pPr>
      <w:bookmarkStart w:id="221" w:name="_Toc17058"/>
    </w:p>
    <w:p w14:paraId="13D458EE">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562" w:firstLineChars="200"/>
        <w:jc w:val="center"/>
        <w:textAlignment w:val="auto"/>
        <w:outlineLvl w:val="9"/>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lang w:val="en-US" w:eastAsia="zh-CN"/>
        </w:rPr>
        <w:t>（一）具有良好的商业信誉承诺</w:t>
      </w:r>
    </w:p>
    <w:p w14:paraId="53E2FDE8">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致：四川虹采招标代理有限责任公司</w:t>
      </w:r>
    </w:p>
    <w:p w14:paraId="57460790">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我单位现参与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项目（招标编号：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招标包号：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eastAsia="zh-CN"/>
        </w:rPr>
        <w:t>并作出如下承诺：</w:t>
      </w:r>
    </w:p>
    <w:p w14:paraId="17A0C612">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我单位</w:t>
      </w:r>
      <w:r>
        <w:rPr>
          <w:rFonts w:hint="eastAsia" w:ascii="仿宋" w:hAnsi="仿宋" w:eastAsia="仿宋" w:cs="仿宋"/>
          <w:color w:val="auto"/>
          <w:sz w:val="24"/>
          <w:szCs w:val="24"/>
          <w:highlight w:val="none"/>
          <w:lang w:val="en-US" w:eastAsia="zh-CN"/>
        </w:rPr>
        <w:t>具有良好的商业信誉</w:t>
      </w:r>
      <w:r>
        <w:rPr>
          <w:rFonts w:hint="eastAsia" w:ascii="仿宋" w:hAnsi="仿宋" w:eastAsia="仿宋" w:cs="仿宋"/>
          <w:color w:val="auto"/>
          <w:sz w:val="24"/>
          <w:szCs w:val="24"/>
        </w:rPr>
        <w:t>，随时接受</w:t>
      </w:r>
      <w:r>
        <w:rPr>
          <w:rFonts w:hint="eastAsia" w:ascii="仿宋" w:hAnsi="仿宋" w:eastAsia="仿宋" w:cs="仿宋"/>
          <w:color w:val="auto"/>
          <w:sz w:val="24"/>
          <w:szCs w:val="24"/>
          <w:lang w:eastAsia="zh-CN"/>
        </w:rPr>
        <w:t>招标人</w:t>
      </w:r>
      <w:r>
        <w:rPr>
          <w:rFonts w:hint="eastAsia" w:ascii="仿宋" w:hAnsi="仿宋" w:eastAsia="仿宋" w:cs="仿宋"/>
          <w:color w:val="auto"/>
          <w:sz w:val="24"/>
          <w:szCs w:val="24"/>
        </w:rPr>
        <w:t>的检查验证。如违反上述承诺，我单位将按照相关规定接受处罚，并通过媒体予以公布。</w:t>
      </w:r>
    </w:p>
    <w:p w14:paraId="5F81D8CD">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特此承诺。</w:t>
      </w:r>
    </w:p>
    <w:p w14:paraId="14F192FA">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auto"/>
          <w:sz w:val="24"/>
          <w:szCs w:val="24"/>
          <w:highlight w:val="none"/>
          <w:lang w:eastAsia="zh-CN"/>
        </w:rPr>
      </w:pPr>
    </w:p>
    <w:p w14:paraId="11186931">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auto"/>
          <w:sz w:val="24"/>
          <w:szCs w:val="24"/>
          <w:highlight w:val="none"/>
          <w:lang w:eastAsia="zh-CN"/>
        </w:rPr>
      </w:pPr>
    </w:p>
    <w:p w14:paraId="03D3E71E">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left"/>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lang w:eastAsia="zh-CN"/>
        </w:rPr>
        <w:t>加盖</w:t>
      </w:r>
      <w:r>
        <w:rPr>
          <w:rFonts w:hint="eastAsia" w:ascii="仿宋" w:hAnsi="仿宋" w:eastAsia="仿宋" w:cs="仿宋"/>
          <w:color w:val="auto"/>
          <w:sz w:val="24"/>
          <w:highlight w:val="none"/>
        </w:rPr>
        <w:t>公章）：</w:t>
      </w:r>
    </w:p>
    <w:p w14:paraId="52062AF1">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70" w:firstLineChars="196"/>
        <w:jc w:val="left"/>
        <w:textAlignment w:val="auto"/>
        <w:outlineLvl w:val="9"/>
        <w:rPr>
          <w:rFonts w:hint="default" w:ascii="宋体" w:hAnsi="宋体"/>
          <w:color w:val="auto"/>
          <w:sz w:val="24"/>
          <w:highlight w:val="none"/>
          <w:lang w:val="en-US" w:eastAsia="zh-CN"/>
        </w:rPr>
      </w:pPr>
      <w:r>
        <w:rPr>
          <w:rFonts w:hint="eastAsia" w:ascii="仿宋" w:hAnsi="仿宋" w:eastAsia="仿宋" w:cs="仿宋"/>
          <w:color w:val="auto"/>
          <w:sz w:val="24"/>
          <w:highlight w:val="none"/>
        </w:rPr>
        <w:t>日期：XXX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XX日</w:t>
      </w:r>
    </w:p>
    <w:p w14:paraId="7B893B4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0" w:firstLineChars="196"/>
        <w:jc w:val="left"/>
        <w:textAlignment w:val="auto"/>
        <w:outlineLvl w:val="9"/>
        <w:rPr>
          <w:rFonts w:hint="default" w:ascii="宋体" w:hAnsi="宋体"/>
          <w:color w:val="auto"/>
          <w:sz w:val="24"/>
          <w:highlight w:val="none"/>
          <w:lang w:val="en-US" w:eastAsia="zh-CN"/>
        </w:rPr>
      </w:pPr>
    </w:p>
    <w:p w14:paraId="613F5420">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center"/>
        <w:textAlignment w:val="auto"/>
        <w:outlineLvl w:val="9"/>
        <w:rPr>
          <w:rFonts w:hint="eastAsia" w:ascii="宋体" w:hAnsi="宋体"/>
          <w:b/>
          <w:bCs/>
          <w:color w:val="auto"/>
          <w:sz w:val="32"/>
          <w:szCs w:val="32"/>
          <w:highlight w:val="none"/>
          <w:lang w:val="en-US" w:eastAsia="zh-CN"/>
        </w:rPr>
      </w:pPr>
    </w:p>
    <w:p w14:paraId="65432372">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562" w:firstLineChars="200"/>
        <w:jc w:val="center"/>
        <w:textAlignment w:val="auto"/>
        <w:outlineLvl w:val="9"/>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lang w:val="en-US" w:eastAsia="zh-CN"/>
        </w:rPr>
        <w:t>（二）</w:t>
      </w:r>
      <w:r>
        <w:rPr>
          <w:rFonts w:hint="eastAsia" w:hAnsi="宋体"/>
          <w:b/>
          <w:bCs/>
          <w:color w:val="auto"/>
          <w:sz w:val="28"/>
          <w:szCs w:val="28"/>
          <w:highlight w:val="none"/>
          <w:lang w:val="en-US" w:eastAsia="zh-CN"/>
        </w:rPr>
        <w:t>具有</w:t>
      </w:r>
      <w:r>
        <w:rPr>
          <w:rFonts w:hint="eastAsia" w:ascii="宋体" w:hAnsi="宋体"/>
          <w:b/>
          <w:bCs/>
          <w:color w:val="auto"/>
          <w:sz w:val="28"/>
          <w:szCs w:val="28"/>
          <w:highlight w:val="none"/>
          <w:lang w:val="en-US" w:eastAsia="zh-CN"/>
        </w:rPr>
        <w:t>健全的财务</w:t>
      </w:r>
      <w:r>
        <w:rPr>
          <w:rFonts w:hint="eastAsia" w:hAnsi="宋体"/>
          <w:b/>
          <w:bCs/>
          <w:color w:val="auto"/>
          <w:sz w:val="28"/>
          <w:szCs w:val="28"/>
          <w:highlight w:val="none"/>
          <w:lang w:val="en-US" w:eastAsia="zh-CN"/>
        </w:rPr>
        <w:t>会计</w:t>
      </w:r>
      <w:r>
        <w:rPr>
          <w:rFonts w:hint="eastAsia" w:ascii="宋体" w:hAnsi="宋体"/>
          <w:b/>
          <w:bCs/>
          <w:color w:val="auto"/>
          <w:sz w:val="28"/>
          <w:szCs w:val="28"/>
          <w:highlight w:val="none"/>
          <w:lang w:val="en-US" w:eastAsia="zh-CN"/>
        </w:rPr>
        <w:t>制度</w:t>
      </w:r>
    </w:p>
    <w:p w14:paraId="13F31773">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center"/>
        <w:textAlignment w:val="auto"/>
        <w:outlineLvl w:val="9"/>
        <w:rPr>
          <w:rFonts w:hint="eastAsia" w:ascii="宋体" w:hAnsi="宋体" w:eastAsia="宋体" w:cs="宋体"/>
          <w:b/>
          <w:color w:val="auto"/>
          <w:sz w:val="24"/>
          <w:szCs w:val="24"/>
          <w:highlight w:val="none"/>
          <w:lang w:val="en-US" w:eastAsia="zh-CN"/>
        </w:rPr>
        <w:sectPr>
          <w:footerReference r:id="rId9" w:type="default"/>
          <w:pgSz w:w="11850" w:h="16783"/>
          <w:pgMar w:top="1417" w:right="1134" w:bottom="1417" w:left="1134" w:header="720" w:footer="720"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仿宋" w:hAnsi="仿宋" w:eastAsia="仿宋" w:cs="仿宋"/>
          <w:b/>
          <w:color w:val="auto"/>
          <w:sz w:val="24"/>
          <w:szCs w:val="24"/>
          <w:highlight w:val="none"/>
          <w:lang w:val="en-US" w:eastAsia="zh-CN"/>
        </w:rPr>
        <w:t>根据第五章要求提供</w:t>
      </w:r>
    </w:p>
    <w:p w14:paraId="4C3BC42F">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auto"/>
          <w:sz w:val="30"/>
          <w:szCs w:val="30"/>
          <w:highlight w:val="none"/>
          <w:lang w:val="en-US" w:eastAsia="zh-CN"/>
        </w:rPr>
      </w:pPr>
      <w:bookmarkStart w:id="222" w:name="_Toc2262"/>
      <w:bookmarkStart w:id="223" w:name="_Toc14634"/>
      <w:bookmarkStart w:id="224" w:name="_Toc11803"/>
      <w:bookmarkStart w:id="225" w:name="_Toc962"/>
      <w:bookmarkStart w:id="226" w:name="_Toc22172"/>
      <w:bookmarkStart w:id="227" w:name="_Toc15175"/>
      <w:bookmarkStart w:id="228" w:name="_Toc28991"/>
      <w:bookmarkStart w:id="229" w:name="_Toc32470"/>
      <w:r>
        <w:rPr>
          <w:rFonts w:hint="eastAsia" w:ascii="仿宋" w:hAnsi="仿宋" w:eastAsia="仿宋" w:cs="仿宋"/>
          <w:b/>
          <w:bCs/>
          <w:color w:val="auto"/>
          <w:sz w:val="30"/>
          <w:szCs w:val="30"/>
          <w:highlight w:val="none"/>
          <w:lang w:val="en-US" w:eastAsia="zh-CN"/>
        </w:rPr>
        <w:t>格式4具有履行合同所必需的设备和专业技术能力</w:t>
      </w:r>
      <w:bookmarkEnd w:id="221"/>
      <w:bookmarkEnd w:id="222"/>
      <w:bookmarkEnd w:id="223"/>
      <w:bookmarkEnd w:id="224"/>
      <w:bookmarkEnd w:id="225"/>
      <w:bookmarkEnd w:id="226"/>
      <w:bookmarkEnd w:id="227"/>
      <w:bookmarkEnd w:id="228"/>
      <w:bookmarkEnd w:id="229"/>
    </w:p>
    <w:p w14:paraId="4D4DA88B">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b/>
          <w:color w:val="auto"/>
          <w:sz w:val="30"/>
          <w:szCs w:val="30"/>
          <w:highlight w:val="none"/>
          <w:lang w:val="en-US" w:eastAsia="zh-CN"/>
        </w:rPr>
      </w:pPr>
    </w:p>
    <w:p w14:paraId="59DFCF79">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b/>
          <w:color w:val="auto"/>
          <w:sz w:val="24"/>
          <w:szCs w:val="24"/>
          <w:highlight w:val="none"/>
          <w:lang w:val="en-US" w:eastAsia="zh-CN"/>
        </w:rPr>
      </w:pPr>
      <w:bookmarkStart w:id="230" w:name="_Toc21694"/>
      <w:bookmarkStart w:id="231" w:name="_Toc8721"/>
      <w:bookmarkStart w:id="232" w:name="_Toc22056"/>
      <w:r>
        <w:rPr>
          <w:rFonts w:hint="eastAsia" w:ascii="仿宋" w:hAnsi="仿宋" w:eastAsia="仿宋" w:cs="仿宋"/>
          <w:b/>
          <w:color w:val="auto"/>
          <w:sz w:val="24"/>
          <w:szCs w:val="24"/>
          <w:highlight w:val="none"/>
          <w:lang w:val="en-US" w:eastAsia="zh-CN"/>
        </w:rPr>
        <w:t>根据第五章要求提供</w:t>
      </w:r>
    </w:p>
    <w:p w14:paraId="7217E84A">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4"/>
          <w:szCs w:val="24"/>
          <w:highlight w:val="none"/>
          <w:lang w:val="en-US" w:eastAsia="zh-CN"/>
        </w:rPr>
        <w:br w:type="page"/>
      </w:r>
      <w:bookmarkStart w:id="233" w:name="_Toc8314"/>
      <w:bookmarkStart w:id="234" w:name="_Toc11801"/>
      <w:bookmarkStart w:id="235" w:name="_Toc5398"/>
      <w:bookmarkStart w:id="236" w:name="_Toc17850"/>
      <w:bookmarkStart w:id="237" w:name="_Toc13070"/>
      <w:bookmarkStart w:id="238" w:name="_Toc14014"/>
      <w:r>
        <w:rPr>
          <w:rFonts w:hint="eastAsia" w:ascii="仿宋" w:hAnsi="仿宋" w:eastAsia="仿宋" w:cs="仿宋"/>
          <w:b/>
          <w:bCs/>
          <w:color w:val="auto"/>
          <w:sz w:val="30"/>
          <w:szCs w:val="30"/>
          <w:highlight w:val="none"/>
          <w:lang w:val="en-US" w:eastAsia="zh-CN"/>
        </w:rPr>
        <w:t>格式5具有依法缴纳税收和社会保障资金的良好记录</w:t>
      </w:r>
      <w:bookmarkEnd w:id="230"/>
      <w:bookmarkEnd w:id="231"/>
      <w:bookmarkEnd w:id="232"/>
      <w:bookmarkEnd w:id="233"/>
      <w:bookmarkEnd w:id="234"/>
      <w:bookmarkEnd w:id="235"/>
      <w:bookmarkEnd w:id="236"/>
      <w:bookmarkEnd w:id="237"/>
      <w:bookmarkEnd w:id="238"/>
    </w:p>
    <w:p w14:paraId="49AF278A">
      <w:pPr>
        <w:keepNext w:val="0"/>
        <w:keepLines w:val="0"/>
        <w:pageBreakBefore w:val="0"/>
        <w:widowControl w:val="0"/>
        <w:suppressLineNumbers w:val="0"/>
        <w:kinsoku/>
        <w:wordWrap/>
        <w:overflowPunct/>
        <w:topLinePunct w:val="0"/>
        <w:bidi w:val="0"/>
        <w:snapToGrid/>
        <w:spacing w:line="360" w:lineRule="auto"/>
        <w:jc w:val="center"/>
        <w:rPr>
          <w:rFonts w:hint="eastAsia" w:ascii="仿宋" w:hAnsi="仿宋" w:eastAsia="仿宋" w:cs="仿宋"/>
          <w:b/>
          <w:bCs/>
          <w:color w:val="auto"/>
          <w:kern w:val="0"/>
          <w:sz w:val="28"/>
          <w:szCs w:val="28"/>
          <w:highlight w:val="none"/>
          <w:lang w:val="en-US" w:eastAsia="zh-CN" w:bidi="ar"/>
        </w:rPr>
      </w:pPr>
    </w:p>
    <w:p w14:paraId="06467B0C">
      <w:pPr>
        <w:keepNext w:val="0"/>
        <w:keepLines w:val="0"/>
        <w:pageBreakBefore w:val="0"/>
        <w:widowControl w:val="0"/>
        <w:suppressLineNumbers w:val="0"/>
        <w:kinsoku/>
        <w:wordWrap/>
        <w:overflowPunct/>
        <w:topLinePunct w:val="0"/>
        <w:bidi w:val="0"/>
        <w:snapToGrid/>
        <w:spacing w:line="360" w:lineRule="auto"/>
        <w:jc w:val="center"/>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依法缴纳税收和社会保障资金的承诺函</w:t>
      </w:r>
    </w:p>
    <w:p w14:paraId="4F767DE4">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eastAsia="zh-CN"/>
        </w:rPr>
        <w:t>四川虹采招标代理有限责任公司</w:t>
      </w:r>
      <w:r>
        <w:rPr>
          <w:rFonts w:hint="eastAsia" w:ascii="仿宋" w:hAnsi="仿宋" w:eastAsia="仿宋" w:cs="仿宋"/>
          <w:color w:val="auto"/>
          <w:sz w:val="24"/>
          <w:szCs w:val="24"/>
          <w:highlight w:val="none"/>
          <w:u w:val="none"/>
        </w:rPr>
        <w:t xml:space="preserve"> </w:t>
      </w:r>
    </w:p>
    <w:p w14:paraId="3F46FCD5">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w:t>
      </w:r>
      <w:r>
        <w:rPr>
          <w:rFonts w:hint="eastAsia" w:ascii="仿宋" w:hAnsi="仿宋" w:eastAsia="仿宋" w:cs="仿宋"/>
          <w:color w:val="auto"/>
          <w:sz w:val="24"/>
          <w:szCs w:val="24"/>
          <w:highlight w:val="none"/>
          <w:lang w:eastAsia="zh-CN"/>
        </w:rPr>
        <w:t>单位</w:t>
      </w:r>
      <w:r>
        <w:rPr>
          <w:rFonts w:hint="eastAsia" w:ascii="仿宋" w:hAnsi="仿宋" w:eastAsia="仿宋" w:cs="仿宋"/>
          <w:color w:val="auto"/>
          <w:sz w:val="24"/>
          <w:szCs w:val="24"/>
          <w:highlight w:val="none"/>
        </w:rPr>
        <w:t>现参与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项目（</w:t>
      </w:r>
      <w:r>
        <w:rPr>
          <w:rFonts w:hint="eastAsia" w:ascii="仿宋" w:hAnsi="仿宋" w:eastAsia="仿宋" w:cs="仿宋"/>
          <w:color w:val="auto"/>
          <w:sz w:val="24"/>
          <w:szCs w:val="24"/>
          <w:highlight w:val="none"/>
          <w:lang w:eastAsia="zh-CN"/>
        </w:rPr>
        <w:t>招标编号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招标包号：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，并作出如下承诺：</w:t>
      </w:r>
    </w:p>
    <w:p w14:paraId="158B438C">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highlight w:val="none"/>
        </w:rPr>
        <w:t>我单位依法缴纳税收和员工社会保险，</w:t>
      </w:r>
      <w:r>
        <w:rPr>
          <w:rFonts w:hint="eastAsia" w:ascii="仿宋" w:hAnsi="仿宋" w:eastAsia="仿宋" w:cs="仿宋"/>
          <w:color w:val="auto"/>
          <w:sz w:val="24"/>
          <w:szCs w:val="24"/>
          <w:highlight w:val="none"/>
          <w:lang w:eastAsia="zh-CN"/>
        </w:rPr>
        <w:t>具有良好记录</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随时接受</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的检查验证。</w:t>
      </w:r>
      <w:r>
        <w:rPr>
          <w:rFonts w:hint="eastAsia" w:ascii="仿宋" w:hAnsi="仿宋" w:eastAsia="仿宋" w:cs="仿宋"/>
          <w:color w:val="auto"/>
          <w:sz w:val="24"/>
          <w:szCs w:val="24"/>
        </w:rPr>
        <w:t>如违反上述承诺，我单位将按照相关规定接受处罚，并通过媒体予以公布。</w:t>
      </w:r>
    </w:p>
    <w:p w14:paraId="1B18C458">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19F50579">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color w:val="auto"/>
          <w:sz w:val="24"/>
          <w:szCs w:val="24"/>
          <w:highlight w:val="none"/>
          <w:lang w:eastAsia="zh-CN"/>
        </w:rPr>
      </w:pPr>
    </w:p>
    <w:p w14:paraId="5FF2FC58">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color w:val="auto"/>
          <w:sz w:val="24"/>
          <w:szCs w:val="24"/>
          <w:highlight w:val="none"/>
          <w:lang w:eastAsia="zh-CN"/>
        </w:rPr>
      </w:pPr>
    </w:p>
    <w:p w14:paraId="40A9984E">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加盖</w:t>
      </w:r>
      <w:r>
        <w:rPr>
          <w:rFonts w:hint="eastAsia" w:ascii="仿宋" w:hAnsi="仿宋" w:eastAsia="仿宋" w:cs="仿宋"/>
          <w:color w:val="auto"/>
          <w:sz w:val="24"/>
          <w:szCs w:val="24"/>
          <w:highlight w:val="none"/>
        </w:rPr>
        <w:t>公章）：</w:t>
      </w:r>
    </w:p>
    <w:p w14:paraId="00C4CC4B">
      <w:pPr>
        <w:pStyle w:val="61"/>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jc w:val="both"/>
        <w:textAlignment w:val="auto"/>
        <w:outlineLvl w:val="9"/>
        <w:rPr>
          <w:rFonts w:hint="eastAsia"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:XXXX年XX月XX日</w:t>
      </w:r>
    </w:p>
    <w:p w14:paraId="2616F8A4">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default" w:ascii="仿宋" w:hAnsi="仿宋" w:eastAsia="仿宋" w:cs="仿宋"/>
          <w:b/>
          <w:color w:val="auto"/>
          <w:sz w:val="24"/>
          <w:szCs w:val="24"/>
          <w:highlight w:val="none"/>
          <w:lang w:val="en-US" w:eastAsia="zh-CN"/>
        </w:rPr>
        <w:sectPr>
          <w:footerReference r:id="rId10" w:type="default"/>
          <w:pgSz w:w="11850" w:h="16783"/>
          <w:pgMar w:top="1417" w:right="1134" w:bottom="1417" w:left="1134" w:header="720" w:footer="720" w:gutter="0"/>
          <w:pgBorders>
            <w:top w:val="none" w:sz="0" w:space="0"/>
            <w:left w:val="none" w:sz="0" w:space="0"/>
            <w:bottom w:val="none" w:sz="0" w:space="0"/>
            <w:right w:val="none" w:sz="0" w:space="0"/>
          </w:pgBorders>
          <w:pgNumType w:fmt="decimal"/>
          <w:cols w:space="720" w:num="1"/>
          <w:rtlGutter w:val="0"/>
          <w:docGrid w:linePitch="312" w:charSpace="0"/>
        </w:sectPr>
      </w:pPr>
    </w:p>
    <w:p w14:paraId="7DB13890">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auto"/>
          <w:sz w:val="30"/>
          <w:szCs w:val="30"/>
          <w:highlight w:val="none"/>
          <w:lang w:val="en-US" w:eastAsia="zh-CN"/>
        </w:rPr>
      </w:pPr>
      <w:bookmarkStart w:id="239" w:name="_Toc4466"/>
      <w:bookmarkStart w:id="240" w:name="_Toc16582"/>
      <w:bookmarkStart w:id="241" w:name="_Toc30156"/>
      <w:bookmarkStart w:id="242" w:name="_Toc22868"/>
      <w:bookmarkStart w:id="243" w:name="_Toc9110"/>
      <w:bookmarkStart w:id="244" w:name="_Toc18525"/>
      <w:bookmarkStart w:id="245" w:name="_Toc15321"/>
      <w:bookmarkStart w:id="246" w:name="_Toc6050"/>
      <w:r>
        <w:rPr>
          <w:rFonts w:hint="eastAsia" w:ascii="仿宋" w:hAnsi="仿宋" w:eastAsia="仿宋" w:cs="仿宋"/>
          <w:b/>
          <w:bCs/>
          <w:color w:val="auto"/>
          <w:sz w:val="30"/>
          <w:szCs w:val="30"/>
          <w:highlight w:val="none"/>
          <w:lang w:val="en-US" w:eastAsia="zh-CN"/>
        </w:rPr>
        <w:t>格式6参加本次采购活动前三年内，在经营活动中没有重大违法记录</w:t>
      </w:r>
      <w:bookmarkEnd w:id="239"/>
      <w:bookmarkEnd w:id="240"/>
      <w:bookmarkEnd w:id="241"/>
      <w:bookmarkEnd w:id="242"/>
      <w:bookmarkEnd w:id="243"/>
      <w:bookmarkEnd w:id="244"/>
      <w:bookmarkEnd w:id="245"/>
      <w:bookmarkEnd w:id="246"/>
    </w:p>
    <w:p w14:paraId="2B90A611">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b/>
          <w:color w:val="auto"/>
          <w:sz w:val="24"/>
          <w:szCs w:val="24"/>
          <w:highlight w:val="none"/>
          <w:lang w:val="en-US" w:eastAsia="zh-CN"/>
        </w:rPr>
      </w:pPr>
    </w:p>
    <w:p w14:paraId="466D1319">
      <w:pPr>
        <w:keepNext w:val="0"/>
        <w:keepLines w:val="0"/>
        <w:pageBreakBefore w:val="0"/>
        <w:widowControl w:val="0"/>
        <w:suppressLineNumbers w:val="0"/>
        <w:kinsoku/>
        <w:wordWrap/>
        <w:overflowPunct/>
        <w:topLinePunct w:val="0"/>
        <w:bidi w:val="0"/>
        <w:snapToGrid/>
        <w:jc w:val="center"/>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无</w:t>
      </w:r>
      <w:r>
        <w:rPr>
          <w:rFonts w:hint="eastAsia" w:ascii="仿宋" w:hAnsi="仿宋" w:eastAsia="仿宋" w:cs="仿宋"/>
          <w:b/>
          <w:color w:val="auto"/>
          <w:sz w:val="28"/>
          <w:szCs w:val="28"/>
          <w:highlight w:val="none"/>
          <w:lang w:val="en-US" w:eastAsia="zh-CN"/>
        </w:rPr>
        <w:t>重大违法记录</w:t>
      </w:r>
      <w:r>
        <w:rPr>
          <w:rFonts w:hint="eastAsia" w:ascii="仿宋" w:hAnsi="仿宋" w:eastAsia="仿宋" w:cs="仿宋"/>
          <w:b/>
          <w:bCs/>
          <w:color w:val="auto"/>
          <w:kern w:val="0"/>
          <w:sz w:val="28"/>
          <w:szCs w:val="28"/>
          <w:highlight w:val="none"/>
          <w:lang w:val="en-US" w:eastAsia="zh-CN" w:bidi="ar"/>
        </w:rPr>
        <w:t>承诺函</w:t>
      </w:r>
    </w:p>
    <w:p w14:paraId="198C615E">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eastAsia="zh-CN"/>
        </w:rPr>
        <w:t>四川虹采招标代理有限责任公司</w:t>
      </w:r>
      <w:r>
        <w:rPr>
          <w:rFonts w:hint="eastAsia" w:ascii="仿宋" w:hAnsi="仿宋" w:eastAsia="仿宋" w:cs="仿宋"/>
          <w:color w:val="auto"/>
          <w:sz w:val="24"/>
          <w:szCs w:val="24"/>
          <w:highlight w:val="none"/>
          <w:u w:val="none"/>
        </w:rPr>
        <w:t xml:space="preserve"> </w:t>
      </w:r>
    </w:p>
    <w:p w14:paraId="7D92A9D1">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w:t>
      </w:r>
      <w:r>
        <w:rPr>
          <w:rFonts w:hint="eastAsia" w:ascii="仿宋" w:hAnsi="仿宋" w:eastAsia="仿宋" w:cs="仿宋"/>
          <w:color w:val="auto"/>
          <w:sz w:val="24"/>
          <w:szCs w:val="24"/>
          <w:highlight w:val="none"/>
          <w:lang w:eastAsia="zh-CN"/>
        </w:rPr>
        <w:t>单位</w:t>
      </w:r>
      <w:r>
        <w:rPr>
          <w:rFonts w:hint="eastAsia" w:ascii="仿宋" w:hAnsi="仿宋" w:eastAsia="仿宋" w:cs="仿宋"/>
          <w:color w:val="auto"/>
          <w:sz w:val="24"/>
          <w:szCs w:val="24"/>
          <w:highlight w:val="none"/>
        </w:rPr>
        <w:t>现参与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项目（</w:t>
      </w:r>
      <w:r>
        <w:rPr>
          <w:rFonts w:hint="eastAsia" w:ascii="仿宋" w:hAnsi="仿宋" w:eastAsia="仿宋" w:cs="仿宋"/>
          <w:color w:val="auto"/>
          <w:sz w:val="24"/>
          <w:szCs w:val="24"/>
          <w:highlight w:val="none"/>
          <w:lang w:eastAsia="zh-CN"/>
        </w:rPr>
        <w:t>招标编号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招标包号：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，并作出如下承诺：</w:t>
      </w:r>
    </w:p>
    <w:p w14:paraId="1E3CEC23">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我</w:t>
      </w:r>
      <w:r>
        <w:rPr>
          <w:rFonts w:hint="eastAsia" w:ascii="仿宋" w:hAnsi="仿宋" w:eastAsia="仿宋" w:cs="仿宋"/>
          <w:color w:val="auto"/>
          <w:sz w:val="24"/>
          <w:highlight w:val="none"/>
        </w:rPr>
        <w:t>单位</w:t>
      </w:r>
      <w:r>
        <w:rPr>
          <w:rFonts w:hint="eastAsia" w:ascii="仿宋" w:hAnsi="仿宋" w:eastAsia="仿宋" w:cs="仿宋"/>
          <w:color w:val="auto"/>
          <w:sz w:val="24"/>
          <w:highlight w:val="none"/>
          <w:lang w:eastAsia="zh-CN"/>
        </w:rPr>
        <w:t>在参</w:t>
      </w:r>
      <w:r>
        <w:rPr>
          <w:rFonts w:hint="eastAsia" w:ascii="仿宋" w:hAnsi="仿宋" w:eastAsia="仿宋" w:cs="仿宋"/>
          <w:color w:val="auto"/>
          <w:sz w:val="24"/>
          <w:highlight w:val="none"/>
          <w:lang w:val="en-US" w:eastAsia="zh-CN"/>
        </w:rPr>
        <w:t>加本次采购活动前三年内，在经营活动中没有重大违法记录</w:t>
      </w: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24"/>
          <w:highlight w:val="none"/>
        </w:rPr>
        <w:t>随时接受</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的检查验证。</w:t>
      </w:r>
      <w:r>
        <w:rPr>
          <w:rFonts w:hint="eastAsia" w:ascii="仿宋" w:hAnsi="仿宋" w:eastAsia="仿宋" w:cs="仿宋"/>
          <w:color w:val="auto"/>
          <w:sz w:val="24"/>
          <w:szCs w:val="24"/>
        </w:rPr>
        <w:t>如违反上述承诺，我单位将按照相关规定接受处罚，并通过媒体予以公布。</w:t>
      </w:r>
    </w:p>
    <w:p w14:paraId="5C98EB8C">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7D38FCF4">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highlight w:val="none"/>
          <w:lang w:eastAsia="zh-CN"/>
        </w:rPr>
      </w:pPr>
    </w:p>
    <w:p w14:paraId="304F6B8D">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highlight w:val="none"/>
          <w:lang w:eastAsia="zh-CN"/>
        </w:rPr>
      </w:pPr>
    </w:p>
    <w:p w14:paraId="11F2FC30">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加盖</w:t>
      </w:r>
      <w:r>
        <w:rPr>
          <w:rFonts w:hint="eastAsia" w:ascii="仿宋" w:hAnsi="仿宋" w:eastAsia="仿宋" w:cs="仿宋"/>
          <w:color w:val="auto"/>
          <w:sz w:val="24"/>
          <w:szCs w:val="24"/>
          <w:highlight w:val="none"/>
        </w:rPr>
        <w:t>公章）：</w:t>
      </w:r>
    </w:p>
    <w:p w14:paraId="5C79A557">
      <w:pPr>
        <w:pStyle w:val="61"/>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期：</w:t>
      </w:r>
      <w:r>
        <w:rPr>
          <w:rFonts w:hint="eastAsia" w:ascii="仿宋" w:hAnsi="仿宋" w:eastAsia="仿宋" w:cs="仿宋"/>
          <w:color w:val="auto"/>
          <w:sz w:val="24"/>
          <w:szCs w:val="24"/>
          <w:highlight w:val="none"/>
        </w:rPr>
        <w:t>XXXX年XX月XX日</w:t>
      </w:r>
    </w:p>
    <w:p w14:paraId="6BCE8452">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br w:type="page"/>
      </w:r>
      <w:bookmarkStart w:id="247" w:name="_Toc8371"/>
      <w:bookmarkStart w:id="248" w:name="_Toc16930"/>
      <w:bookmarkStart w:id="249" w:name="_Toc20140"/>
      <w:bookmarkStart w:id="250" w:name="_Toc29937"/>
      <w:bookmarkStart w:id="251" w:name="_Toc14944"/>
      <w:bookmarkStart w:id="252" w:name="_Toc32638"/>
      <w:bookmarkStart w:id="253" w:name="_Toc32065"/>
      <w:bookmarkStart w:id="254" w:name="_Toc9109"/>
      <w:bookmarkStart w:id="255" w:name="_Toc24026"/>
      <w:r>
        <w:rPr>
          <w:rFonts w:hint="eastAsia" w:ascii="仿宋" w:hAnsi="仿宋" w:eastAsia="仿宋" w:cs="仿宋"/>
          <w:b/>
          <w:bCs/>
          <w:color w:val="auto"/>
          <w:sz w:val="30"/>
          <w:szCs w:val="30"/>
          <w:highlight w:val="none"/>
          <w:lang w:val="en-US" w:eastAsia="zh-CN"/>
        </w:rPr>
        <w:t>格式7承诺函</w:t>
      </w:r>
      <w:bookmarkEnd w:id="247"/>
      <w:bookmarkEnd w:id="248"/>
      <w:bookmarkEnd w:id="249"/>
      <w:bookmarkEnd w:id="250"/>
      <w:bookmarkEnd w:id="251"/>
      <w:bookmarkEnd w:id="252"/>
      <w:r>
        <w:rPr>
          <w:rFonts w:hint="eastAsia" w:ascii="仿宋" w:hAnsi="仿宋" w:eastAsia="仿宋" w:cs="仿宋"/>
          <w:b/>
          <w:bCs/>
          <w:color w:val="auto"/>
          <w:sz w:val="30"/>
          <w:szCs w:val="30"/>
          <w:highlight w:val="none"/>
          <w:lang w:val="en-US" w:eastAsia="zh-CN"/>
        </w:rPr>
        <w:t>1</w:t>
      </w:r>
      <w:bookmarkEnd w:id="253"/>
      <w:bookmarkEnd w:id="254"/>
      <w:bookmarkEnd w:id="255"/>
    </w:p>
    <w:p w14:paraId="5A0B30AD">
      <w:pPr>
        <w:pStyle w:val="61"/>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562" w:firstLineChars="200"/>
        <w:jc w:val="center"/>
        <w:textAlignment w:val="auto"/>
        <w:outlineLvl w:val="9"/>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eastAsia="zh-CN"/>
        </w:rPr>
        <w:t>承诺函</w:t>
      </w:r>
      <w:r>
        <w:rPr>
          <w:rFonts w:hint="eastAsia" w:ascii="仿宋" w:hAnsi="仿宋" w:eastAsia="仿宋" w:cs="仿宋"/>
          <w:b/>
          <w:color w:val="auto"/>
          <w:sz w:val="28"/>
          <w:szCs w:val="28"/>
          <w:highlight w:val="none"/>
          <w:lang w:val="en-US" w:eastAsia="zh-CN"/>
        </w:rPr>
        <w:t>1</w:t>
      </w:r>
    </w:p>
    <w:p w14:paraId="1588CF81">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lang w:eastAsia="zh-CN"/>
        </w:rPr>
      </w:pPr>
      <w:bookmarkStart w:id="256" w:name="_Toc9954"/>
      <w:bookmarkStart w:id="257" w:name="_Toc27873"/>
      <w:bookmarkStart w:id="258" w:name="_Toc29320"/>
      <w:bookmarkStart w:id="259" w:name="_Toc8524"/>
      <w:bookmarkStart w:id="260" w:name="_Toc26355"/>
      <w:bookmarkStart w:id="261" w:name="_Toc3533"/>
    </w:p>
    <w:p w14:paraId="6F0E58A5">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四川虹采招标代理有限责任公司：</w:t>
      </w:r>
    </w:p>
    <w:p w14:paraId="5214C7A1">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（投标人名称）</w:t>
      </w:r>
      <w:r>
        <w:rPr>
          <w:rFonts w:hint="eastAsia" w:ascii="仿宋" w:hAnsi="仿宋" w:eastAsia="仿宋" w:cs="仿宋"/>
          <w:color w:val="auto"/>
          <w:sz w:val="24"/>
          <w:szCs w:val="24"/>
          <w:highlight w:val="none"/>
        </w:rPr>
        <w:t>作为参加本次</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采购活动（</w:t>
      </w:r>
      <w:r>
        <w:rPr>
          <w:rFonts w:hint="eastAsia" w:ascii="仿宋" w:hAnsi="仿宋" w:eastAsia="仿宋" w:cs="仿宋"/>
          <w:color w:val="auto"/>
          <w:sz w:val="24"/>
          <w:szCs w:val="24"/>
          <w:highlight w:val="none"/>
          <w:lang w:eastAsia="zh-CN"/>
        </w:rPr>
        <w:t>招标编号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招标包号：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，现郑重承诺：</w:t>
      </w:r>
    </w:p>
    <w:p w14:paraId="2A9361CC">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具备本项目规定的条件：</w:t>
      </w:r>
    </w:p>
    <w:p w14:paraId="1E40EA16">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（一）具有独立承担民事责任的能力； </w:t>
      </w:r>
    </w:p>
    <w:p w14:paraId="475C6539">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（二）具有良好的商业信誉和健全的财务会计制度； </w:t>
      </w:r>
    </w:p>
    <w:p w14:paraId="55CBE392">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（三）具有履行合同所必需的设备和专业技术能力； </w:t>
      </w:r>
    </w:p>
    <w:p w14:paraId="274ABC2D">
      <w:pPr>
        <w:keepNext w:val="0"/>
        <w:keepLines w:val="0"/>
        <w:pageBreakBefore w:val="0"/>
        <w:widowControl w:val="0"/>
        <w:kinsoku/>
        <w:wordWrap/>
        <w:overflowPunct/>
        <w:topLinePunct w:val="0"/>
        <w:autoSpaceDE/>
        <w:autoSpaceDN/>
        <w:bidi w:val="0"/>
        <w:adjustRightInd/>
        <w:snapToGrid/>
        <w:spacing w:after="0" w:line="360" w:lineRule="auto"/>
        <w:ind w:right="0" w:rightChars="0"/>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（四）有依法缴纳税收和社会保障资金的良好记录； </w:t>
      </w:r>
    </w:p>
    <w:p w14:paraId="4674214B">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（五）参加</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活动前三年内，在经营活动中没有重大违法记录；</w:t>
      </w:r>
    </w:p>
    <w:p w14:paraId="65F16ECE">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（六）法律、行政法规规定的其他条件；</w:t>
      </w:r>
    </w:p>
    <w:p w14:paraId="164BE89D">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r>
        <w:rPr>
          <w:rFonts w:hint="eastAsia" w:ascii="仿宋" w:hAnsi="仿宋" w:eastAsia="仿宋" w:cs="仿宋"/>
          <w:color w:val="auto"/>
          <w:sz w:val="24"/>
          <w:szCs w:val="24"/>
          <w:highlight w:val="none"/>
          <w:lang w:eastAsia="zh-CN"/>
        </w:rPr>
        <w:t>本</w:t>
      </w:r>
      <w:r>
        <w:rPr>
          <w:rFonts w:hint="eastAsia" w:ascii="仿宋" w:hAnsi="仿宋" w:eastAsia="仿宋" w:cs="仿宋"/>
          <w:color w:val="auto"/>
          <w:sz w:val="24"/>
          <w:szCs w:val="24"/>
          <w:highlight w:val="none"/>
        </w:rPr>
        <w:t>项目提出的特殊条件。</w:t>
      </w:r>
    </w:p>
    <w:p w14:paraId="3DA433C9">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p>
    <w:p w14:paraId="097EB19A">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本公司对上述承诺的内容事项真实性负责。如经查实上述承诺的内容事项存在虚假，我公司愿意接受以提供虚假材料谋取</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追究法律责任。</w:t>
      </w:r>
    </w:p>
    <w:p w14:paraId="165F36D3">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lang w:eastAsia="zh-CN"/>
        </w:rPr>
      </w:pPr>
    </w:p>
    <w:p w14:paraId="0AC4D1D2">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bookmarkStart w:id="262" w:name="_Toc12291"/>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lang w:eastAsia="zh-CN"/>
        </w:rPr>
        <w:t>加盖</w:t>
      </w:r>
      <w:r>
        <w:rPr>
          <w:rFonts w:hint="eastAsia" w:ascii="仿宋" w:hAnsi="仿宋" w:eastAsia="仿宋" w:cs="仿宋"/>
          <w:color w:val="auto"/>
          <w:sz w:val="24"/>
          <w:szCs w:val="24"/>
          <w:highlight w:val="none"/>
        </w:rPr>
        <w:t>公章）：</w:t>
      </w:r>
    </w:p>
    <w:p w14:paraId="536C0320">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default" w:ascii="仿宋" w:hAnsi="仿宋" w:eastAsia="仿宋" w:cs="仿宋"/>
          <w:color w:val="auto"/>
          <w:sz w:val="24"/>
          <w:szCs w:val="24"/>
          <w:highlight w:val="none"/>
          <w:lang w:val="en-US" w:eastAsia="zh-CN"/>
        </w:rPr>
        <w:sectPr>
          <w:pgSz w:w="11850" w:h="16783"/>
          <w:pgMar w:top="1417" w:right="1134" w:bottom="1417" w:left="1134" w:header="720" w:footer="720"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仿宋" w:hAnsi="仿宋" w:eastAsia="仿宋" w:cs="仿宋"/>
          <w:color w:val="auto"/>
          <w:sz w:val="24"/>
          <w:szCs w:val="24"/>
          <w:highlight w:val="none"/>
        </w:rPr>
        <w:t>日期：XXX年XXX</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XXX日</w:t>
      </w:r>
    </w:p>
    <w:p w14:paraId="3C55FD2E">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auto"/>
          <w:sz w:val="30"/>
          <w:szCs w:val="30"/>
          <w:highlight w:val="none"/>
          <w:lang w:val="en-US" w:eastAsia="zh-CN"/>
        </w:rPr>
      </w:pPr>
      <w:bookmarkStart w:id="263" w:name="_Toc29271"/>
      <w:bookmarkStart w:id="264" w:name="_Toc6964"/>
      <w:r>
        <w:rPr>
          <w:rFonts w:hint="eastAsia" w:ascii="仿宋" w:hAnsi="仿宋" w:eastAsia="仿宋" w:cs="仿宋"/>
          <w:b/>
          <w:bCs/>
          <w:color w:val="auto"/>
          <w:sz w:val="30"/>
          <w:szCs w:val="30"/>
          <w:highlight w:val="none"/>
          <w:lang w:val="en-US" w:eastAsia="zh-CN"/>
        </w:rPr>
        <w:t>格式8参加本项目投标人应提供的资质性证明材料</w:t>
      </w:r>
      <w:bookmarkEnd w:id="256"/>
      <w:bookmarkEnd w:id="257"/>
      <w:bookmarkEnd w:id="258"/>
      <w:bookmarkEnd w:id="259"/>
      <w:bookmarkEnd w:id="260"/>
      <w:bookmarkEnd w:id="261"/>
      <w:bookmarkEnd w:id="262"/>
      <w:bookmarkEnd w:id="263"/>
      <w:bookmarkEnd w:id="264"/>
    </w:p>
    <w:p w14:paraId="4CA2628C">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b/>
          <w:color w:val="auto"/>
          <w:sz w:val="28"/>
          <w:szCs w:val="28"/>
          <w:highlight w:val="none"/>
          <w:lang w:val="en-US" w:eastAsia="zh-CN"/>
        </w:rPr>
      </w:pPr>
    </w:p>
    <w:p w14:paraId="21748797">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仿宋" w:hAnsi="仿宋" w:eastAsia="仿宋" w:cs="仿宋"/>
          <w:color w:val="auto"/>
          <w:sz w:val="24"/>
          <w:szCs w:val="24"/>
          <w:highlight w:val="none"/>
          <w:lang w:val="en-US" w:eastAsia="zh-CN"/>
        </w:rPr>
      </w:pPr>
      <w:bookmarkStart w:id="265" w:name="_Toc16287"/>
      <w:r>
        <w:rPr>
          <w:rFonts w:hint="eastAsia" w:ascii="仿宋" w:hAnsi="仿宋" w:eastAsia="仿宋" w:cs="仿宋"/>
          <w:b/>
          <w:color w:val="auto"/>
          <w:sz w:val="24"/>
          <w:szCs w:val="24"/>
          <w:highlight w:val="none"/>
          <w:lang w:val="en-US" w:eastAsia="zh-CN"/>
        </w:rPr>
        <w:t>根据第五章要求提供</w:t>
      </w:r>
    </w:p>
    <w:p w14:paraId="7660FB30">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auto"/>
          <w:sz w:val="30"/>
          <w:szCs w:val="30"/>
          <w:highlight w:val="none"/>
          <w:lang w:val="en-US" w:eastAsia="zh-CN"/>
        </w:rPr>
      </w:pPr>
      <w:r>
        <w:rPr>
          <w:rFonts w:hint="eastAsia" w:ascii="仿宋" w:hAnsi="仿宋" w:eastAsia="仿宋" w:cs="仿宋"/>
          <w:b/>
          <w:color w:val="auto"/>
          <w:sz w:val="28"/>
          <w:szCs w:val="28"/>
          <w:highlight w:val="none"/>
          <w:lang w:val="en-US" w:eastAsia="zh-CN"/>
        </w:rPr>
        <w:br w:type="page"/>
      </w:r>
      <w:bookmarkStart w:id="266" w:name="_Toc864"/>
      <w:bookmarkStart w:id="267" w:name="_Toc14574"/>
      <w:bookmarkStart w:id="268" w:name="_Toc32376"/>
      <w:bookmarkStart w:id="269" w:name="_Toc9450"/>
      <w:bookmarkStart w:id="270" w:name="_Toc20937"/>
      <w:bookmarkStart w:id="271" w:name="_Toc21454"/>
      <w:bookmarkStart w:id="272" w:name="_Toc10664"/>
      <w:bookmarkStart w:id="273" w:name="_Toc2700"/>
      <w:r>
        <w:rPr>
          <w:rFonts w:hint="eastAsia" w:ascii="仿宋" w:hAnsi="仿宋" w:eastAsia="仿宋" w:cs="仿宋"/>
          <w:b/>
          <w:bCs/>
          <w:color w:val="auto"/>
          <w:sz w:val="30"/>
          <w:szCs w:val="30"/>
          <w:highlight w:val="none"/>
          <w:lang w:val="en-US" w:eastAsia="zh-CN"/>
        </w:rPr>
        <w:t>格式</w:t>
      </w:r>
      <w:bookmarkEnd w:id="265"/>
      <w:bookmarkEnd w:id="266"/>
      <w:bookmarkEnd w:id="267"/>
      <w:bookmarkEnd w:id="268"/>
      <w:bookmarkEnd w:id="269"/>
      <w:bookmarkEnd w:id="270"/>
      <w:bookmarkEnd w:id="271"/>
      <w:r>
        <w:rPr>
          <w:rFonts w:hint="eastAsia" w:ascii="仿宋" w:hAnsi="仿宋" w:eastAsia="仿宋" w:cs="仿宋"/>
          <w:b/>
          <w:bCs/>
          <w:color w:val="auto"/>
          <w:sz w:val="30"/>
          <w:szCs w:val="30"/>
          <w:highlight w:val="none"/>
          <w:lang w:val="en-US" w:eastAsia="zh-CN"/>
        </w:rPr>
        <w:t>9</w:t>
      </w:r>
      <w:r>
        <w:rPr>
          <w:rFonts w:hint="eastAsia" w:ascii="仿宋" w:hAnsi="仿宋" w:eastAsia="仿宋" w:cs="仿宋"/>
          <w:b/>
          <w:bCs/>
          <w:color w:val="auto"/>
          <w:sz w:val="30"/>
          <w:szCs w:val="30"/>
          <w:highlight w:val="none"/>
          <w:lang w:val="en-US" w:eastAsia="zh-CN"/>
        </w:rPr>
        <w:t>参加本次投标活动的投标人代表</w:t>
      </w:r>
      <w:bookmarkEnd w:id="272"/>
      <w:bookmarkEnd w:id="273"/>
    </w:p>
    <w:p w14:paraId="5F4FE3E3">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_GB2312" w:hAnsi="仿宋_GB2312" w:eastAsia="仿宋_GB2312" w:cs="仿宋_GB2312"/>
          <w:color w:val="auto"/>
          <w:sz w:val="24"/>
          <w:highlight w:val="none"/>
          <w:lang w:val="en-US" w:eastAsia="zh-CN"/>
        </w:rPr>
      </w:pPr>
    </w:p>
    <w:p w14:paraId="00A27DCE">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2" w:firstLineChars="200"/>
        <w:jc w:val="center"/>
        <w:textAlignment w:val="auto"/>
        <w:outlineLvl w:val="9"/>
        <w:rPr>
          <w:rFonts w:hint="eastAsia" w:ascii="仿宋" w:hAnsi="仿宋" w:eastAsia="仿宋" w:cs="仿宋"/>
          <w:b/>
          <w:bCs/>
          <w:color w:val="auto"/>
          <w:sz w:val="28"/>
          <w:szCs w:val="28"/>
          <w:highlight w:val="none"/>
          <w:lang w:val="en-US" w:eastAsia="zh-CN"/>
        </w:rPr>
      </w:pPr>
      <w:bookmarkStart w:id="274" w:name="_Toc24730"/>
      <w:r>
        <w:rPr>
          <w:rFonts w:hint="eastAsia" w:ascii="仿宋" w:hAnsi="仿宋" w:eastAsia="仿宋" w:cs="仿宋"/>
          <w:b/>
          <w:bCs/>
          <w:color w:val="auto"/>
          <w:sz w:val="28"/>
          <w:szCs w:val="28"/>
          <w:highlight w:val="none"/>
          <w:lang w:val="en-US" w:eastAsia="zh-CN"/>
        </w:rPr>
        <w:t>法定代表人/负责人身份证明</w:t>
      </w:r>
    </w:p>
    <w:p w14:paraId="4AD54ED1">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center"/>
        <w:textAlignment w:val="auto"/>
        <w:outlineLvl w:val="9"/>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（若投标人代表为“法定代表人/单位负责人”时提供此页）</w:t>
      </w:r>
    </w:p>
    <w:p w14:paraId="4A5FF9E1">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single"/>
          <w:lang w:val="en-US" w:eastAsia="zh-CN"/>
        </w:rPr>
      </w:pPr>
    </w:p>
    <w:p w14:paraId="55A0F8AB">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single"/>
          <w:lang w:val="en-US" w:eastAsia="zh-CN"/>
        </w:rPr>
      </w:pPr>
    </w:p>
    <w:p w14:paraId="6A8A1675">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720" w:firstLineChars="300"/>
        <w:jc w:val="left"/>
        <w:textAlignment w:val="auto"/>
        <w:outlineLvl w:val="9"/>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（姓名）</w:t>
      </w:r>
      <w:r>
        <w:rPr>
          <w:rFonts w:hint="eastAsia" w:ascii="仿宋" w:hAnsi="仿宋" w:eastAsia="仿宋" w:cs="仿宋"/>
          <w:b w:val="0"/>
          <w:bCs w:val="0"/>
          <w:color w:val="auto"/>
          <w:sz w:val="24"/>
          <w:szCs w:val="24"/>
          <w:highlight w:val="none"/>
          <w:lang w:val="en-US" w:eastAsia="zh-CN"/>
        </w:rPr>
        <w:t>系</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（投标人名称）</w:t>
      </w:r>
      <w:r>
        <w:rPr>
          <w:rFonts w:hint="eastAsia" w:ascii="仿宋" w:hAnsi="仿宋" w:eastAsia="仿宋" w:cs="仿宋"/>
          <w:b w:val="0"/>
          <w:bCs w:val="0"/>
          <w:color w:val="auto"/>
          <w:sz w:val="24"/>
          <w:szCs w:val="24"/>
          <w:highlight w:val="none"/>
          <w:lang w:val="en-US" w:eastAsia="zh-CN"/>
        </w:rPr>
        <w:t>的法定代表人/单位负责人（职务</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电话</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w:t>
      </w:r>
    </w:p>
    <w:p w14:paraId="4E0C42DA">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特此证明。</w:t>
      </w:r>
    </w:p>
    <w:p w14:paraId="72E924B9">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none"/>
          <w:lang w:val="en-US" w:eastAsia="zh-CN"/>
        </w:rPr>
      </w:pPr>
    </w:p>
    <w:p w14:paraId="0DE78139">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360" w:firstLineChars="200"/>
        <w:jc w:val="left"/>
        <w:textAlignment w:val="auto"/>
        <w:outlineLvl w:val="9"/>
        <w:rPr>
          <w:rFonts w:hint="eastAsia"/>
          <w:color w:val="auto"/>
          <w:lang w:val="en-US" w:eastAsia="zh-CN"/>
        </w:rPr>
      </w:pPr>
    </w:p>
    <w:p w14:paraId="2CD31348">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投标人名称（加盖公章）：</w:t>
      </w:r>
    </w:p>
    <w:p w14:paraId="702E441D">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法定代表人/单位负责人（签字）：</w:t>
      </w:r>
    </w:p>
    <w:p w14:paraId="1472787A">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default"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日期：XXXX年XX月XX日</w:t>
      </w:r>
    </w:p>
    <w:p w14:paraId="33BB9F66">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none"/>
          <w:lang w:val="en-US" w:eastAsia="zh-CN"/>
        </w:rPr>
      </w:pPr>
    </w:p>
    <w:p w14:paraId="74CBF31E">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outlineLvl w:val="9"/>
        <w:rPr>
          <w:b/>
          <w:bCs/>
          <w:color w:val="auto"/>
        </w:rPr>
      </w:pPr>
      <w:r>
        <w:rPr>
          <w:rFonts w:hint="eastAsia" w:ascii="仿宋" w:hAnsi="仿宋" w:eastAsia="仿宋" w:cs="仿宋"/>
          <w:b/>
          <w:bCs/>
          <w:color w:val="auto"/>
          <w:sz w:val="24"/>
          <w:szCs w:val="24"/>
          <w:highlight w:val="none"/>
          <w:u w:val="none"/>
          <w:lang w:val="en-US" w:eastAsia="zh-CN"/>
        </w:rPr>
        <w:t>附：</w:t>
      </w:r>
      <w:r>
        <w:rPr>
          <w:rFonts w:hint="eastAsia" w:ascii="仿宋" w:hAnsi="仿宋" w:eastAsia="仿宋" w:cs="仿宋"/>
          <w:b/>
          <w:bCs/>
          <w:color w:val="auto"/>
          <w:sz w:val="24"/>
          <w:szCs w:val="24"/>
          <w:highlight w:val="none"/>
          <w:lang w:val="en-US" w:eastAsia="zh-CN"/>
        </w:rPr>
        <w:t>法定代表人/单位负责人身份证明材料复印件</w:t>
      </w:r>
    </w:p>
    <w:p w14:paraId="5D02CD09">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i w:val="0"/>
          <w:iCs w:val="0"/>
          <w:color w:val="auto"/>
          <w:sz w:val="24"/>
          <w:szCs w:val="24"/>
          <w:highlight w:val="none"/>
          <w:u w:val="none"/>
          <w:lang w:val="en-US" w:eastAsia="zh-CN"/>
        </w:rPr>
      </w:pPr>
    </w:p>
    <w:p w14:paraId="7F20123E">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sz w:val="24"/>
          <w:szCs w:val="24"/>
          <w:highlight w:val="none"/>
          <w:u w:val="none"/>
          <w:lang w:val="en-US" w:eastAsia="zh-CN"/>
        </w:rPr>
        <w:t>注：</w:t>
      </w:r>
    </w:p>
    <w:p w14:paraId="6206E1CD">
      <w:pPr>
        <w:pStyle w:val="29"/>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outlineLvl w:val="9"/>
        <w:rPr>
          <w:rFonts w:hint="eastAsia"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sz w:val="24"/>
          <w:szCs w:val="24"/>
          <w:highlight w:val="none"/>
          <w:u w:val="none"/>
          <w:lang w:val="en-US" w:eastAsia="zh-CN"/>
        </w:rPr>
        <w:t>投标人为自然人时提供“自然人身份证明材料”。</w:t>
      </w:r>
    </w:p>
    <w:p w14:paraId="06398E53">
      <w:pPr>
        <w:pStyle w:val="29"/>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outlineLvl w:val="9"/>
        <w:rPr>
          <w:rFonts w:hint="eastAsia"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sz w:val="24"/>
          <w:szCs w:val="24"/>
          <w:highlight w:val="none"/>
          <w:u w:val="none"/>
          <w:lang w:val="en-US" w:eastAsia="zh-CN"/>
        </w:rPr>
        <w:t>提供其有效的证明材料，若提供居民身份证，须为正、反面复印件。</w:t>
      </w:r>
    </w:p>
    <w:p w14:paraId="211B9A29">
      <w:pPr>
        <w:pStyle w:val="29"/>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outlineLvl w:val="9"/>
        <w:rPr>
          <w:rFonts w:hint="eastAsia"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sz w:val="24"/>
          <w:szCs w:val="24"/>
          <w:highlight w:val="none"/>
          <w:u w:val="none"/>
          <w:lang w:val="en-US" w:eastAsia="zh-CN"/>
        </w:rPr>
        <w:t>身份证明材料包括居民身份证或户口本或军官证或护照等。</w:t>
      </w:r>
    </w:p>
    <w:p w14:paraId="2FDBC114">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Chars="200" w:right="0" w:rightChars="0"/>
        <w:jc w:val="left"/>
        <w:textAlignment w:val="auto"/>
        <w:outlineLvl w:val="9"/>
        <w:rPr>
          <w:rFonts w:hint="eastAsia" w:ascii="仿宋" w:hAnsi="仿宋" w:eastAsia="仿宋" w:cs="仿宋"/>
          <w:b w:val="0"/>
          <w:bCs w:val="0"/>
          <w:i w:val="0"/>
          <w:iCs w:val="0"/>
          <w:color w:val="auto"/>
          <w:sz w:val="24"/>
          <w:szCs w:val="24"/>
          <w:highlight w:val="none"/>
          <w:u w:val="none"/>
          <w:lang w:val="en-US" w:eastAsia="zh-CN"/>
        </w:rPr>
      </w:pPr>
    </w:p>
    <w:p w14:paraId="697016A5">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Chars="200" w:right="0" w:rightChars="0"/>
        <w:jc w:val="left"/>
        <w:textAlignment w:val="auto"/>
        <w:outlineLvl w:val="9"/>
        <w:rPr>
          <w:rFonts w:hint="eastAsia" w:ascii="仿宋" w:hAnsi="仿宋" w:eastAsia="仿宋" w:cs="仿宋"/>
          <w:b w:val="0"/>
          <w:bCs w:val="0"/>
          <w:i w:val="0"/>
          <w:iCs w:val="0"/>
          <w:color w:val="auto"/>
          <w:sz w:val="24"/>
          <w:szCs w:val="24"/>
          <w:highlight w:val="none"/>
          <w:u w:val="none"/>
          <w:lang w:val="en-US" w:eastAsia="zh-CN"/>
        </w:rPr>
      </w:pPr>
    </w:p>
    <w:p w14:paraId="0222CD7A">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Chars="200" w:right="0" w:rightChars="0"/>
        <w:jc w:val="left"/>
        <w:textAlignment w:val="auto"/>
        <w:outlineLvl w:val="9"/>
        <w:rPr>
          <w:rFonts w:hint="eastAsia" w:ascii="仿宋" w:hAnsi="仿宋" w:eastAsia="仿宋" w:cs="仿宋"/>
          <w:b w:val="0"/>
          <w:bCs w:val="0"/>
          <w:color w:val="auto"/>
          <w:sz w:val="24"/>
          <w:szCs w:val="24"/>
          <w:highlight w:val="none"/>
          <w:lang w:val="en-US" w:eastAsia="zh-CN"/>
        </w:rPr>
      </w:pPr>
    </w:p>
    <w:p w14:paraId="2264D5ED">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br w:type="page"/>
      </w:r>
      <w:r>
        <w:rPr>
          <w:rFonts w:hint="eastAsia" w:ascii="仿宋" w:hAnsi="仿宋" w:eastAsia="仿宋" w:cs="仿宋"/>
          <w:b/>
          <w:color w:val="auto"/>
          <w:sz w:val="28"/>
          <w:szCs w:val="28"/>
          <w:highlight w:val="none"/>
          <w:lang w:val="en-US" w:eastAsia="zh-CN"/>
        </w:rPr>
        <w:t>法定代表人/单位负责人授权委托书</w:t>
      </w:r>
    </w:p>
    <w:p w14:paraId="6CC36EB6">
      <w:pPr>
        <w:pStyle w:val="61"/>
        <w:pageBreakBefore w:val="0"/>
        <w:widowControl w:val="0"/>
        <w:kinsoku/>
        <w:wordWrap/>
        <w:overflowPunct/>
        <w:topLinePunct w:val="0"/>
        <w:bidi w:val="0"/>
        <w:snapToGrid/>
        <w:spacing w:line="360" w:lineRule="auto"/>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color w:val="auto"/>
          <w:kern w:val="2"/>
          <w:sz w:val="24"/>
          <w:szCs w:val="24"/>
          <w:highlight w:val="none"/>
          <w:lang w:val="en-US" w:eastAsia="zh-CN" w:bidi="ar-SA"/>
        </w:rPr>
        <w:t>（若投标人代表为“授权代表”时提供此页）</w:t>
      </w:r>
    </w:p>
    <w:p w14:paraId="057A18DC">
      <w:pPr>
        <w:pStyle w:val="61"/>
        <w:pageBreakBefore w:val="0"/>
        <w:widowControl w:val="0"/>
        <w:kinsoku/>
        <w:wordWrap/>
        <w:overflowPunct/>
        <w:topLinePunct w:val="0"/>
        <w:bidi w:val="0"/>
        <w:snapToGrid/>
        <w:spacing w:line="360" w:lineRule="auto"/>
        <w:ind w:firstLine="480" w:firstLineChars="200"/>
        <w:rPr>
          <w:rFonts w:hint="eastAsia" w:ascii="仿宋" w:hAnsi="仿宋" w:eastAsia="仿宋" w:cs="仿宋"/>
          <w:color w:val="auto"/>
          <w:sz w:val="24"/>
          <w:highlight w:val="none"/>
        </w:rPr>
      </w:pPr>
    </w:p>
    <w:p w14:paraId="6CFA0588">
      <w:pPr>
        <w:pStyle w:val="61"/>
        <w:pageBreakBefore w:val="0"/>
        <w:widowControl w:val="0"/>
        <w:kinsoku/>
        <w:wordWrap/>
        <w:overflowPunct/>
        <w:topLinePunct w:val="0"/>
        <w:bidi w:val="0"/>
        <w:snapToGrid/>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四川虹采招标代理有限责任公司</w:t>
      </w:r>
      <w:r>
        <w:rPr>
          <w:rFonts w:hint="eastAsia" w:ascii="仿宋" w:hAnsi="仿宋" w:eastAsia="仿宋" w:cs="仿宋"/>
          <w:color w:val="auto"/>
          <w:sz w:val="24"/>
          <w:highlight w:val="none"/>
          <w:u w:val="single"/>
        </w:rPr>
        <w:t xml:space="preserve"> </w:t>
      </w:r>
    </w:p>
    <w:p w14:paraId="07060C2F">
      <w:pPr>
        <w:pStyle w:val="61"/>
        <w:pageBreakBefore w:val="0"/>
        <w:widowControl w:val="0"/>
        <w:kinsoku/>
        <w:wordWrap/>
        <w:overflowPunct/>
        <w:topLinePunct w:val="0"/>
        <w:bidi w:val="0"/>
        <w:snapToGrid/>
        <w:spacing w:line="360" w:lineRule="auto"/>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__________________（投标人全称）法定代表人</w:t>
      </w:r>
      <w:r>
        <w:rPr>
          <w:rFonts w:hint="eastAsia" w:ascii="仿宋" w:hAnsi="仿宋" w:eastAsia="仿宋" w:cs="仿宋"/>
          <w:color w:val="auto"/>
          <w:sz w:val="24"/>
          <w:highlight w:val="none"/>
          <w:lang w:val="en-US" w:eastAsia="zh-CN"/>
        </w:rPr>
        <w:t>/单位负责人</w:t>
      </w:r>
      <w:r>
        <w:rPr>
          <w:rFonts w:hint="eastAsia" w:ascii="仿宋" w:hAnsi="仿宋" w:eastAsia="仿宋" w:cs="仿宋"/>
          <w:color w:val="auto"/>
          <w:sz w:val="24"/>
          <w:highlight w:val="none"/>
        </w:rPr>
        <w:t>____________ 授权委托_____________为我的代理人，参加贵单位组织的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招标名称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招标编号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szCs w:val="24"/>
          <w:highlight w:val="none"/>
          <w:lang w:eastAsia="zh-CN"/>
        </w:rPr>
        <w:t>招标包号：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highlight w:val="none"/>
        </w:rPr>
        <w:t>的投标</w:t>
      </w:r>
      <w:r>
        <w:rPr>
          <w:rFonts w:hint="eastAsia" w:ascii="仿宋" w:hAnsi="仿宋" w:eastAsia="仿宋" w:cs="仿宋"/>
          <w:color w:val="auto"/>
          <w:sz w:val="24"/>
          <w:highlight w:val="none"/>
        </w:rPr>
        <w:t>。代理人在本次招标中所签署的一切文件和处理的一切有关事宜，我公司</w:t>
      </w:r>
      <w:r>
        <w:rPr>
          <w:rFonts w:hint="eastAsia" w:ascii="仿宋" w:hAnsi="仿宋" w:eastAsia="仿宋" w:cs="仿宋"/>
          <w:color w:val="auto"/>
          <w:sz w:val="24"/>
          <w:highlight w:val="none"/>
          <w:lang w:val="en-US" w:eastAsia="zh-CN"/>
        </w:rPr>
        <w:t>/我单位</w:t>
      </w:r>
      <w:r>
        <w:rPr>
          <w:rFonts w:hint="eastAsia" w:ascii="仿宋" w:hAnsi="仿宋" w:eastAsia="仿宋" w:cs="仿宋"/>
          <w:color w:val="auto"/>
          <w:sz w:val="24"/>
          <w:highlight w:val="none"/>
        </w:rPr>
        <w:t>均予承认，所产生的法律后果均由我</w:t>
      </w:r>
      <w:r>
        <w:rPr>
          <w:rFonts w:hint="eastAsia" w:ascii="仿宋" w:hAnsi="仿宋" w:eastAsia="仿宋" w:cs="仿宋"/>
          <w:color w:val="auto"/>
          <w:sz w:val="24"/>
          <w:highlight w:val="none"/>
          <w:lang w:eastAsia="zh-CN"/>
        </w:rPr>
        <w:t>公司</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单位承担。</w:t>
      </w:r>
    </w:p>
    <w:p w14:paraId="2A51AECC">
      <w:pPr>
        <w:pStyle w:val="61"/>
        <w:pageBreakBefore w:val="0"/>
        <w:widowControl w:val="0"/>
        <w:kinsoku/>
        <w:wordWrap/>
        <w:overflowPunct/>
        <w:topLinePunct w:val="0"/>
        <w:bidi w:val="0"/>
        <w:snapToGrid/>
        <w:spacing w:line="360" w:lineRule="auto"/>
        <w:ind w:firstLine="480" w:firstLineChars="200"/>
        <w:jc w:val="both"/>
        <w:rPr>
          <w:rFonts w:hint="eastAsia" w:ascii="仿宋" w:hAnsi="仿宋" w:eastAsia="仿宋" w:cs="仿宋"/>
          <w:color w:val="auto"/>
          <w:sz w:val="24"/>
          <w:highlight w:val="none"/>
        </w:rPr>
      </w:pPr>
    </w:p>
    <w:p w14:paraId="0E36FA1D">
      <w:pPr>
        <w:pStyle w:val="61"/>
        <w:pageBreakBefore w:val="0"/>
        <w:widowControl w:val="0"/>
        <w:kinsoku/>
        <w:wordWrap/>
        <w:overflowPunct/>
        <w:topLinePunct w:val="0"/>
        <w:bidi w:val="0"/>
        <w:snapToGrid/>
        <w:spacing w:line="360" w:lineRule="auto"/>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72077711">
      <w:pPr>
        <w:pStyle w:val="61"/>
        <w:pageBreakBefore w:val="0"/>
        <w:widowControl w:val="0"/>
        <w:kinsoku/>
        <w:wordWrap/>
        <w:overflowPunct/>
        <w:topLinePunct w:val="0"/>
        <w:bidi w:val="0"/>
        <w:snapToGrid/>
        <w:spacing w:line="360" w:lineRule="auto"/>
        <w:ind w:firstLine="480" w:firstLineChars="200"/>
        <w:jc w:val="both"/>
        <w:rPr>
          <w:rFonts w:hint="eastAsia" w:ascii="仿宋" w:hAnsi="仿宋" w:eastAsia="仿宋" w:cs="仿宋"/>
          <w:color w:val="auto"/>
          <w:sz w:val="24"/>
          <w:highlight w:val="none"/>
        </w:rPr>
      </w:pPr>
    </w:p>
    <w:p w14:paraId="6E30DF11">
      <w:pPr>
        <w:pStyle w:val="61"/>
        <w:pageBreakBefore w:val="0"/>
        <w:widowControl w:val="0"/>
        <w:kinsoku/>
        <w:wordWrap/>
        <w:overflowPunct/>
        <w:topLinePunct w:val="0"/>
        <w:bidi w:val="0"/>
        <w:snapToGrid/>
        <w:spacing w:line="360" w:lineRule="auto"/>
        <w:ind w:firstLine="480" w:firstLineChars="200"/>
        <w:rPr>
          <w:rFonts w:hint="eastAsia" w:ascii="仿宋" w:hAnsi="仿宋" w:eastAsia="仿宋" w:cs="仿宋"/>
          <w:color w:val="auto"/>
          <w:sz w:val="24"/>
          <w:highlight w:val="none"/>
        </w:rPr>
      </w:pPr>
    </w:p>
    <w:p w14:paraId="76056AA1">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lang w:eastAsia="zh-CN"/>
        </w:rPr>
        <w:t>加盖</w:t>
      </w:r>
      <w:r>
        <w:rPr>
          <w:rFonts w:hint="eastAsia" w:ascii="仿宋" w:hAnsi="仿宋" w:eastAsia="仿宋" w:cs="仿宋"/>
          <w:color w:val="auto"/>
          <w:sz w:val="24"/>
          <w:highlight w:val="none"/>
        </w:rPr>
        <w:t>公章）：</w:t>
      </w:r>
    </w:p>
    <w:p w14:paraId="7940CD4E">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70" w:firstLineChars="196"/>
        <w:jc w:val="left"/>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法定代表人/单位负责人（签字）：</w:t>
      </w:r>
    </w:p>
    <w:p w14:paraId="540C6F80">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授权代表（签字）：</w:t>
      </w:r>
    </w:p>
    <w:p w14:paraId="0292ED9D">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p>
    <w:p w14:paraId="60F695B0">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outlineLvl w:val="9"/>
        <w:rPr>
          <w:rFonts w:hint="eastAsia" w:ascii="仿宋" w:hAnsi="仿宋" w:eastAsia="仿宋" w:cs="仿宋"/>
          <w:b w:val="0"/>
          <w:bCs/>
          <w:color w:val="auto"/>
          <w:sz w:val="24"/>
          <w:highlight w:val="none"/>
          <w:lang w:val="zh-CN"/>
        </w:rPr>
      </w:pPr>
    </w:p>
    <w:p w14:paraId="5CDF2E62">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outlineLvl w:val="9"/>
        <w:rPr>
          <w:rFonts w:hint="eastAsia" w:ascii="仿宋" w:hAnsi="仿宋" w:eastAsia="仿宋" w:cs="仿宋"/>
          <w:b w:val="0"/>
          <w:bCs/>
          <w:color w:val="auto"/>
          <w:sz w:val="24"/>
          <w:highlight w:val="none"/>
          <w:lang w:val="zh-CN"/>
        </w:rPr>
      </w:pPr>
    </w:p>
    <w:p w14:paraId="6EDB8051">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val="0"/>
          <w:color w:val="auto"/>
          <w:sz w:val="24"/>
          <w:highlight w:val="none"/>
          <w:lang w:val="zh-CN"/>
        </w:rPr>
      </w:pPr>
      <w:r>
        <w:rPr>
          <w:rFonts w:hint="eastAsia" w:ascii="仿宋" w:hAnsi="仿宋" w:eastAsia="仿宋" w:cs="仿宋"/>
          <w:b/>
          <w:bCs w:val="0"/>
          <w:color w:val="auto"/>
          <w:sz w:val="24"/>
          <w:highlight w:val="none"/>
          <w:lang w:val="zh-CN"/>
        </w:rPr>
        <w:t>附：</w:t>
      </w:r>
      <w:r>
        <w:rPr>
          <w:rFonts w:hint="eastAsia" w:ascii="仿宋" w:hAnsi="仿宋" w:eastAsia="仿宋" w:cs="仿宋"/>
          <w:b/>
          <w:bCs w:val="0"/>
          <w:color w:val="auto"/>
          <w:sz w:val="24"/>
          <w:highlight w:val="none"/>
          <w:lang w:val="en-US" w:eastAsia="zh-CN"/>
        </w:rPr>
        <w:t>1、</w:t>
      </w:r>
      <w:r>
        <w:rPr>
          <w:rFonts w:hint="eastAsia" w:ascii="仿宋" w:hAnsi="仿宋" w:eastAsia="仿宋" w:cs="仿宋"/>
          <w:b/>
          <w:bCs w:val="0"/>
          <w:color w:val="auto"/>
          <w:sz w:val="24"/>
          <w:highlight w:val="none"/>
          <w:lang w:val="zh-CN"/>
        </w:rPr>
        <w:t>代理人身份证明材料复印件（加盖公章）</w:t>
      </w:r>
    </w:p>
    <w:p w14:paraId="122313B2">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default"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 xml:space="preserve">    2、法定代表人/单位负责人身份证明材料复印件</w:t>
      </w:r>
      <w:r>
        <w:rPr>
          <w:rFonts w:hint="eastAsia" w:ascii="仿宋" w:hAnsi="仿宋" w:eastAsia="仿宋" w:cs="仿宋"/>
          <w:b/>
          <w:bCs w:val="0"/>
          <w:color w:val="auto"/>
          <w:sz w:val="24"/>
          <w:highlight w:val="none"/>
          <w:lang w:val="zh-CN"/>
        </w:rPr>
        <w:t>（加盖公章）</w:t>
      </w:r>
    </w:p>
    <w:p w14:paraId="10C53E4D">
      <w:pPr>
        <w:pStyle w:val="61"/>
        <w:pageBreakBefore w:val="0"/>
        <w:widowControl w:val="0"/>
        <w:kinsoku/>
        <w:wordWrap/>
        <w:overflowPunct/>
        <w:topLinePunct w:val="0"/>
        <w:bidi w:val="0"/>
        <w:snapToGrid/>
        <w:spacing w:line="360" w:lineRule="auto"/>
        <w:ind w:firstLine="482" w:firstLineChars="200"/>
        <w:rPr>
          <w:rFonts w:hint="eastAsia" w:ascii="仿宋" w:hAnsi="仿宋" w:eastAsia="仿宋" w:cs="仿宋"/>
          <w:b/>
          <w:bCs w:val="0"/>
          <w:color w:val="auto"/>
          <w:sz w:val="24"/>
          <w:highlight w:val="none"/>
        </w:rPr>
      </w:pPr>
    </w:p>
    <w:p w14:paraId="7C640C40">
      <w:pPr>
        <w:pStyle w:val="61"/>
        <w:pageBreakBefore w:val="0"/>
        <w:widowControl w:val="0"/>
        <w:kinsoku/>
        <w:wordWrap/>
        <w:overflowPunct/>
        <w:topLinePunct w:val="0"/>
        <w:bidi w:val="0"/>
        <w:snapToGrid/>
        <w:spacing w:line="360" w:lineRule="auto"/>
        <w:ind w:firstLine="482" w:firstLineChars="200"/>
        <w:rPr>
          <w:rFonts w:hint="eastAsia" w:ascii="仿宋" w:hAnsi="仿宋" w:eastAsia="仿宋" w:cs="仿宋"/>
          <w:b/>
          <w:bCs w:val="0"/>
          <w:color w:val="auto"/>
          <w:sz w:val="24"/>
          <w:highlight w:val="none"/>
        </w:rPr>
      </w:pPr>
    </w:p>
    <w:p w14:paraId="07D6C887">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val="0"/>
          <w:color w:val="auto"/>
          <w:sz w:val="24"/>
          <w:highlight w:val="none"/>
          <w:lang w:val="zh-CN" w:eastAsia="zh-CN"/>
        </w:rPr>
      </w:pPr>
      <w:r>
        <w:rPr>
          <w:rFonts w:hint="eastAsia" w:ascii="仿宋" w:hAnsi="仿宋" w:eastAsia="仿宋" w:cs="仿宋"/>
          <w:b/>
          <w:bCs w:val="0"/>
          <w:color w:val="auto"/>
          <w:sz w:val="24"/>
          <w:highlight w:val="none"/>
          <w:lang w:val="zh-CN" w:eastAsia="zh-CN"/>
        </w:rPr>
        <w:t>注：</w:t>
      </w:r>
    </w:p>
    <w:p w14:paraId="5F16FA9B">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1、提供其有效的证明材料，若提供居民身份证，须为正、反面复印件。</w:t>
      </w:r>
    </w:p>
    <w:p w14:paraId="61F5DAD6">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2、身份证明材料包括居民身份证或户口本或军官证或护照等。</w:t>
      </w:r>
    </w:p>
    <w:p w14:paraId="24511A7B">
      <w:pPr>
        <w:pStyle w:val="61"/>
        <w:pageBreakBefore w:val="0"/>
        <w:widowControl w:val="0"/>
        <w:kinsoku/>
        <w:wordWrap/>
        <w:overflowPunct/>
        <w:topLinePunct w:val="0"/>
        <w:bidi w:val="0"/>
        <w:snapToGrid/>
        <w:spacing w:line="360" w:lineRule="auto"/>
        <w:ind w:firstLine="480" w:firstLineChars="200"/>
        <w:rPr>
          <w:rFonts w:hint="eastAsia" w:ascii="仿宋" w:hAnsi="仿宋" w:eastAsia="仿宋" w:cs="仿宋"/>
          <w:color w:val="auto"/>
          <w:sz w:val="24"/>
          <w:highlight w:val="none"/>
          <w:lang w:val="en-US" w:eastAsia="zh-CN"/>
        </w:rPr>
      </w:pPr>
    </w:p>
    <w:p w14:paraId="186DFEFA">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1200" w:firstLineChars="500"/>
        <w:jc w:val="left"/>
        <w:textAlignment w:val="auto"/>
        <w:outlineLvl w:val="9"/>
        <w:rPr>
          <w:rFonts w:hint="eastAsia" w:ascii="仿宋" w:hAnsi="仿宋" w:eastAsia="仿宋" w:cs="仿宋"/>
          <w:b w:val="0"/>
          <w:bCs w:val="0"/>
          <w:i w:val="0"/>
          <w:iCs w:val="0"/>
          <w:color w:val="auto"/>
          <w:sz w:val="24"/>
          <w:szCs w:val="24"/>
          <w:highlight w:val="none"/>
          <w:u w:val="none"/>
          <w:lang w:val="en-US" w:eastAsia="zh-CN"/>
        </w:rPr>
      </w:pPr>
    </w:p>
    <w:p w14:paraId="34271637">
      <w:pPr>
        <w:keepNext w:val="0"/>
        <w:keepLines w:val="0"/>
        <w:pageBreakBefore w:val="0"/>
        <w:widowControl w:val="0"/>
        <w:tabs>
          <w:tab w:val="left" w:pos="7665"/>
        </w:tabs>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color w:val="auto"/>
          <w:sz w:val="30"/>
          <w:szCs w:val="30"/>
          <w:highlight w:val="yellow"/>
        </w:rPr>
      </w:pPr>
      <w:bookmarkStart w:id="275" w:name="_Toc18130"/>
      <w:bookmarkStart w:id="276" w:name="_Toc12650"/>
      <w:bookmarkStart w:id="277" w:name="_Toc6097"/>
      <w:bookmarkStart w:id="278" w:name="_Toc12873"/>
      <w:bookmarkStart w:id="279" w:name="_Toc2769"/>
      <w:bookmarkStart w:id="280" w:name="_Toc25951"/>
      <w:bookmarkStart w:id="281" w:name="_Toc10615"/>
      <w:bookmarkStart w:id="282" w:name="_Toc16155"/>
      <w:bookmarkStart w:id="283" w:name="_Toc16074"/>
      <w:bookmarkStart w:id="284" w:name="_Toc10992"/>
      <w:r>
        <w:rPr>
          <w:rFonts w:hint="eastAsia" w:ascii="仿宋" w:hAnsi="仿宋" w:eastAsia="仿宋" w:cs="仿宋"/>
          <w:b/>
          <w:bCs/>
          <w:color w:val="auto"/>
          <w:sz w:val="30"/>
          <w:szCs w:val="30"/>
          <w:highlight w:val="none"/>
          <w:lang w:eastAsia="zh-CN"/>
        </w:rPr>
        <w:br w:type="page"/>
      </w:r>
      <w:bookmarkEnd w:id="275"/>
      <w:bookmarkStart w:id="285" w:name="_Toc16463"/>
      <w:bookmarkStart w:id="286" w:name="_Toc29036"/>
      <w:bookmarkStart w:id="287" w:name="_Toc26153"/>
      <w:bookmarkStart w:id="288" w:name="_Toc27967"/>
      <w:bookmarkStart w:id="289" w:name="_Toc23825"/>
      <w:bookmarkStart w:id="290" w:name="_Toc7966"/>
      <w:bookmarkStart w:id="291" w:name="_Toc10998"/>
      <w:bookmarkStart w:id="292" w:name="_Toc22208"/>
      <w:bookmarkStart w:id="293" w:name="_Toc11750"/>
      <w:bookmarkStart w:id="294" w:name="_Toc8767"/>
      <w:bookmarkStart w:id="295" w:name="_Toc25399"/>
      <w:r>
        <w:rPr>
          <w:rFonts w:hint="eastAsia" w:ascii="仿宋" w:hAnsi="仿宋" w:eastAsia="仿宋" w:cs="仿宋"/>
          <w:b/>
          <w:color w:val="auto"/>
          <w:sz w:val="30"/>
          <w:szCs w:val="30"/>
          <w:highlight w:val="none"/>
          <w:lang w:eastAsia="zh-CN"/>
        </w:rPr>
        <w:t>格式</w:t>
      </w:r>
      <w:bookmarkEnd w:id="285"/>
      <w:bookmarkEnd w:id="286"/>
      <w:r>
        <w:rPr>
          <w:rFonts w:hint="eastAsia" w:ascii="仿宋" w:hAnsi="仿宋" w:eastAsia="仿宋" w:cs="仿宋"/>
          <w:b/>
          <w:color w:val="auto"/>
          <w:sz w:val="30"/>
          <w:szCs w:val="30"/>
          <w:highlight w:val="none"/>
          <w:lang w:val="en-US" w:eastAsia="zh-CN"/>
        </w:rPr>
        <w:t>10</w:t>
      </w:r>
      <w:r>
        <w:rPr>
          <w:rFonts w:hint="eastAsia" w:ascii="仿宋" w:hAnsi="仿宋" w:eastAsia="仿宋" w:cs="仿宋"/>
          <w:b/>
          <w:color w:val="auto"/>
          <w:sz w:val="30"/>
          <w:szCs w:val="30"/>
          <w:highlight w:val="none"/>
          <w:lang w:eastAsia="zh-CN"/>
        </w:rPr>
        <w:t>开标一览表</w:t>
      </w:r>
      <w:bookmarkEnd w:id="287"/>
      <w:bookmarkEnd w:id="288"/>
      <w:bookmarkEnd w:id="289"/>
      <w:bookmarkEnd w:id="290"/>
      <w:bookmarkEnd w:id="291"/>
      <w:bookmarkEnd w:id="292"/>
      <w:bookmarkEnd w:id="293"/>
      <w:bookmarkEnd w:id="294"/>
      <w:bookmarkEnd w:id="295"/>
    </w:p>
    <w:p w14:paraId="7247D926">
      <w:pPr>
        <w:pageBreakBefore w:val="0"/>
        <w:widowControl w:val="0"/>
        <w:kinsoku/>
        <w:wordWrap/>
        <w:overflowPunct/>
        <w:topLinePunct w:val="0"/>
        <w:bidi w:val="0"/>
        <w:snapToGrid/>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b/>
          <w:color w:val="auto"/>
          <w:sz w:val="32"/>
          <w:szCs w:val="32"/>
        </w:rPr>
        <w:t>开标一览表</w:t>
      </w:r>
    </w:p>
    <w:p w14:paraId="21A99DC5">
      <w:pPr>
        <w:pStyle w:val="9"/>
        <w:keepNext w:val="0"/>
        <w:keepLines w:val="0"/>
        <w:pageBreakBefore w:val="0"/>
        <w:widowControl w:val="0"/>
        <w:tabs>
          <w:tab w:val="left" w:pos="7020"/>
        </w:tabs>
        <w:kinsoku/>
        <w:wordWrap/>
        <w:overflowPunct/>
        <w:topLinePunct w:val="0"/>
        <w:autoSpaceDE/>
        <w:autoSpaceDN/>
        <w:bidi w:val="0"/>
        <w:adjustRightInd/>
        <w:snapToGrid/>
        <w:spacing w:after="0" w:line="360" w:lineRule="auto"/>
        <w:ind w:left="0" w:leftChars="0"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招标名称</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ab/>
      </w:r>
    </w:p>
    <w:p w14:paraId="16C554EC">
      <w:pPr>
        <w:pStyle w:val="9"/>
        <w:keepNext w:val="0"/>
        <w:keepLines w:val="0"/>
        <w:pageBreakBefore w:val="0"/>
        <w:widowControl w:val="0"/>
        <w:tabs>
          <w:tab w:val="left" w:pos="7560"/>
        </w:tabs>
        <w:kinsoku/>
        <w:wordWrap/>
        <w:overflowPunct/>
        <w:topLinePunct w:val="0"/>
        <w:autoSpaceDE/>
        <w:autoSpaceDN/>
        <w:bidi w:val="0"/>
        <w:adjustRightInd/>
        <w:snapToGrid/>
        <w:spacing w:after="0" w:line="360" w:lineRule="auto"/>
        <w:ind w:left="0" w:leftChars="0" w:firstLine="0" w:firstLineChars="0"/>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招标编号</w:t>
      </w:r>
      <w:r>
        <w:rPr>
          <w:rFonts w:hint="eastAsia" w:ascii="仿宋_GB2312" w:hAnsi="仿宋_GB2312" w:eastAsia="仿宋_GB2312" w:cs="仿宋_GB2312"/>
          <w:color w:val="auto"/>
          <w:kern w:val="0"/>
          <w:sz w:val="24"/>
          <w:szCs w:val="24"/>
          <w:highlight w:val="none"/>
        </w:rPr>
        <w:t>：</w:t>
      </w:r>
    </w:p>
    <w:p w14:paraId="4EA33839">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outlineLvl w:val="9"/>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招标包号：</w:t>
      </w:r>
    </w:p>
    <w:tbl>
      <w:tblPr>
        <w:tblStyle w:val="33"/>
        <w:tblW w:w="9894"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2"/>
        <w:gridCol w:w="1005"/>
        <w:gridCol w:w="882"/>
        <w:gridCol w:w="1237"/>
        <w:gridCol w:w="750"/>
        <w:gridCol w:w="806"/>
        <w:gridCol w:w="1275"/>
        <w:gridCol w:w="1982"/>
      </w:tblGrid>
      <w:tr w14:paraId="5A6E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14:paraId="1545D7D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序号</w:t>
            </w:r>
          </w:p>
        </w:tc>
        <w:tc>
          <w:tcPr>
            <w:tcW w:w="1232" w:type="dxa"/>
            <w:noWrap w:val="0"/>
            <w:vAlign w:val="center"/>
          </w:tcPr>
          <w:p w14:paraId="7944F26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产品名称</w:t>
            </w:r>
          </w:p>
        </w:tc>
        <w:tc>
          <w:tcPr>
            <w:tcW w:w="1005" w:type="dxa"/>
            <w:noWrap w:val="0"/>
            <w:vAlign w:val="center"/>
          </w:tcPr>
          <w:p w14:paraId="498D73DD">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制造商</w:t>
            </w:r>
          </w:p>
        </w:tc>
        <w:tc>
          <w:tcPr>
            <w:tcW w:w="882" w:type="dxa"/>
            <w:noWrap w:val="0"/>
            <w:vAlign w:val="center"/>
          </w:tcPr>
          <w:p w14:paraId="1890760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品牌</w:t>
            </w:r>
          </w:p>
        </w:tc>
        <w:tc>
          <w:tcPr>
            <w:tcW w:w="1237" w:type="dxa"/>
            <w:noWrap w:val="0"/>
            <w:vAlign w:val="center"/>
          </w:tcPr>
          <w:p w14:paraId="2D55454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规格型号</w:t>
            </w:r>
          </w:p>
        </w:tc>
        <w:tc>
          <w:tcPr>
            <w:tcW w:w="750" w:type="dxa"/>
            <w:noWrap w:val="0"/>
            <w:vAlign w:val="center"/>
          </w:tcPr>
          <w:p w14:paraId="4F581EB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预估</w:t>
            </w:r>
            <w:r>
              <w:rPr>
                <w:rFonts w:hint="eastAsia" w:ascii="仿宋_GB2312" w:hAnsi="仿宋_GB2312" w:eastAsia="仿宋_GB2312" w:cs="仿宋_GB2312"/>
                <w:color w:val="auto"/>
                <w:sz w:val="24"/>
                <w:szCs w:val="24"/>
                <w:highlight w:val="none"/>
                <w:lang w:eastAsia="zh-CN"/>
              </w:rPr>
              <w:t>数量</w:t>
            </w:r>
          </w:p>
        </w:tc>
        <w:tc>
          <w:tcPr>
            <w:tcW w:w="806" w:type="dxa"/>
            <w:noWrap w:val="0"/>
            <w:vAlign w:val="center"/>
          </w:tcPr>
          <w:p w14:paraId="00B58D3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单位</w:t>
            </w:r>
          </w:p>
        </w:tc>
        <w:tc>
          <w:tcPr>
            <w:tcW w:w="1275" w:type="dxa"/>
            <w:noWrap w:val="0"/>
            <w:vAlign w:val="center"/>
          </w:tcPr>
          <w:p w14:paraId="4874CB2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单价（元）</w:t>
            </w:r>
          </w:p>
        </w:tc>
        <w:tc>
          <w:tcPr>
            <w:tcW w:w="1982" w:type="dxa"/>
            <w:noWrap w:val="0"/>
            <w:vAlign w:val="center"/>
          </w:tcPr>
          <w:p w14:paraId="774DFAA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总价（元）</w:t>
            </w:r>
          </w:p>
        </w:tc>
      </w:tr>
      <w:tr w14:paraId="49D0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14:paraId="6E1AD1B3">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32" w:type="dxa"/>
            <w:noWrap w:val="0"/>
            <w:vAlign w:val="top"/>
          </w:tcPr>
          <w:p w14:paraId="70EA1FDD">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005" w:type="dxa"/>
            <w:noWrap w:val="0"/>
            <w:vAlign w:val="top"/>
          </w:tcPr>
          <w:p w14:paraId="7BC92CF0">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882" w:type="dxa"/>
            <w:noWrap w:val="0"/>
            <w:vAlign w:val="top"/>
          </w:tcPr>
          <w:p w14:paraId="3777638E">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37" w:type="dxa"/>
            <w:noWrap w:val="0"/>
            <w:vAlign w:val="top"/>
          </w:tcPr>
          <w:p w14:paraId="0E4824FF">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750" w:type="dxa"/>
            <w:noWrap w:val="0"/>
            <w:vAlign w:val="top"/>
          </w:tcPr>
          <w:p w14:paraId="4725CE26">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806" w:type="dxa"/>
            <w:noWrap w:val="0"/>
            <w:vAlign w:val="top"/>
          </w:tcPr>
          <w:p w14:paraId="787AED9B">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75" w:type="dxa"/>
            <w:noWrap w:val="0"/>
            <w:vAlign w:val="top"/>
          </w:tcPr>
          <w:p w14:paraId="243A0809">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982" w:type="dxa"/>
            <w:noWrap w:val="0"/>
            <w:vAlign w:val="top"/>
          </w:tcPr>
          <w:p w14:paraId="35145173">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r>
      <w:tr w14:paraId="0910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14:paraId="065AE879">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32" w:type="dxa"/>
            <w:noWrap w:val="0"/>
            <w:vAlign w:val="top"/>
          </w:tcPr>
          <w:p w14:paraId="7B0AD79F">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005" w:type="dxa"/>
            <w:noWrap w:val="0"/>
            <w:vAlign w:val="top"/>
          </w:tcPr>
          <w:p w14:paraId="63D58692">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882" w:type="dxa"/>
            <w:noWrap w:val="0"/>
            <w:vAlign w:val="top"/>
          </w:tcPr>
          <w:p w14:paraId="7227DC4B">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37" w:type="dxa"/>
            <w:noWrap w:val="0"/>
            <w:vAlign w:val="top"/>
          </w:tcPr>
          <w:p w14:paraId="78015502">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750" w:type="dxa"/>
            <w:noWrap w:val="0"/>
            <w:vAlign w:val="top"/>
          </w:tcPr>
          <w:p w14:paraId="4662DE39">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806" w:type="dxa"/>
            <w:noWrap w:val="0"/>
            <w:vAlign w:val="top"/>
          </w:tcPr>
          <w:p w14:paraId="5A6263BD">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75" w:type="dxa"/>
            <w:noWrap w:val="0"/>
            <w:vAlign w:val="top"/>
          </w:tcPr>
          <w:p w14:paraId="50313A1C">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982" w:type="dxa"/>
            <w:noWrap w:val="0"/>
            <w:vAlign w:val="top"/>
          </w:tcPr>
          <w:p w14:paraId="5D397307">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r>
      <w:tr w14:paraId="48DA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14:paraId="62627B78">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32" w:type="dxa"/>
            <w:noWrap w:val="0"/>
            <w:vAlign w:val="top"/>
          </w:tcPr>
          <w:p w14:paraId="41F2E5AE">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005" w:type="dxa"/>
            <w:noWrap w:val="0"/>
            <w:vAlign w:val="top"/>
          </w:tcPr>
          <w:p w14:paraId="78C80393">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882" w:type="dxa"/>
            <w:noWrap w:val="0"/>
            <w:vAlign w:val="top"/>
          </w:tcPr>
          <w:p w14:paraId="3C92E750">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37" w:type="dxa"/>
            <w:noWrap w:val="0"/>
            <w:vAlign w:val="top"/>
          </w:tcPr>
          <w:p w14:paraId="42F24430">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750" w:type="dxa"/>
            <w:noWrap w:val="0"/>
            <w:vAlign w:val="top"/>
          </w:tcPr>
          <w:p w14:paraId="007EFE9C">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806" w:type="dxa"/>
            <w:noWrap w:val="0"/>
            <w:vAlign w:val="top"/>
          </w:tcPr>
          <w:p w14:paraId="4CAC8243">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75" w:type="dxa"/>
            <w:noWrap w:val="0"/>
            <w:vAlign w:val="top"/>
          </w:tcPr>
          <w:p w14:paraId="6B44806E">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982" w:type="dxa"/>
            <w:noWrap w:val="0"/>
            <w:vAlign w:val="top"/>
          </w:tcPr>
          <w:p w14:paraId="42490EBA">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r>
      <w:tr w14:paraId="2F0A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9894" w:type="dxa"/>
            <w:gridSpan w:val="9"/>
            <w:noWrap w:val="0"/>
            <w:vAlign w:val="top"/>
          </w:tcPr>
          <w:p w14:paraId="5563C414">
            <w:pPr>
              <w:keepNext w:val="0"/>
              <w:keepLines w:val="0"/>
              <w:pageBreakBefore w:val="0"/>
              <w:widowControl w:val="0"/>
              <w:kinsoku/>
              <w:wordWrap/>
              <w:overflowPunct/>
              <w:topLinePunct w:val="0"/>
              <w:autoSpaceDE/>
              <w:autoSpaceDN/>
              <w:bidi w:val="0"/>
              <w:adjustRightInd/>
              <w:snapToGrid/>
              <w:spacing w:after="0" w:line="360" w:lineRule="auto"/>
              <w:ind w:left="355" w:leftChars="0" w:hanging="355" w:hangingChars="148"/>
              <w:jc w:val="both"/>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lang w:eastAsia="zh-CN"/>
              </w:rPr>
              <w:t>投标</w:t>
            </w:r>
            <w:r>
              <w:rPr>
                <w:rFonts w:hint="eastAsia" w:ascii="仿宋_GB2312" w:hAnsi="仿宋_GB2312" w:eastAsia="仿宋_GB2312" w:cs="仿宋_GB2312"/>
                <w:color w:val="auto"/>
                <w:sz w:val="24"/>
                <w:szCs w:val="24"/>
                <w:highlight w:val="none"/>
              </w:rPr>
              <w:t>报价金额合计（元）</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元</w:t>
            </w:r>
          </w:p>
          <w:p w14:paraId="2249DD50">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（大写：</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仟</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拾</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万</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仟</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拾</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元</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角</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分 ）</w:t>
            </w:r>
          </w:p>
        </w:tc>
      </w:tr>
    </w:tbl>
    <w:p w14:paraId="6DF54A3F">
      <w:pPr>
        <w:pStyle w:val="2"/>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w:t>
      </w:r>
    </w:p>
    <w:p w14:paraId="76CF1AF5">
      <w:pPr>
        <w:pStyle w:val="2"/>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所有报价均用人民币表示，所报价格是交货地的验收价格，其总价即为履行合同的固定价格。运输、安装、调试、检验、培训、税金和保险等费用以及招标文件规定的其他费用均应包含在报价中；应完整填写产品的品牌和型号。</w:t>
      </w:r>
    </w:p>
    <w:p w14:paraId="05B431FE">
      <w:pPr>
        <w:pStyle w:val="2"/>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2、投标人应详细报出投标总价的各个组成部分的报价内容。</w:t>
      </w:r>
    </w:p>
    <w:p w14:paraId="18E6ACD1">
      <w:pPr>
        <w:pStyle w:val="2"/>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3、本表内任何有选择或可调整的报价将按无效投标处理,开标一览表内填写的投标报价将作为本次采购唯一的报价依据。</w:t>
      </w:r>
    </w:p>
    <w:p w14:paraId="4B64FC31">
      <w:pPr>
        <w:pStyle w:val="2"/>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4、用于现场开标唱标的开标一览表作为报价文件单独封装。</w:t>
      </w:r>
    </w:p>
    <w:p w14:paraId="7CAFBE32">
      <w:pPr>
        <w:pStyle w:val="2"/>
        <w:rPr>
          <w:rFonts w:hint="eastAsia" w:ascii="仿宋_GB2312" w:hAnsi="仿宋_GB2312" w:eastAsia="仿宋_GB2312" w:cs="仿宋_GB2312"/>
          <w:b/>
          <w:bCs/>
          <w:color w:val="auto"/>
          <w:kern w:val="0"/>
          <w:sz w:val="24"/>
          <w:szCs w:val="24"/>
          <w:highlight w:val="none"/>
          <w:lang w:val="en-US" w:eastAsia="zh-CN" w:bidi="ar-SA"/>
        </w:rPr>
      </w:pPr>
    </w:p>
    <w:bookmarkEnd w:id="197"/>
    <w:bookmarkEnd w:id="198"/>
    <w:bookmarkEnd w:id="274"/>
    <w:bookmarkEnd w:id="276"/>
    <w:bookmarkEnd w:id="277"/>
    <w:bookmarkEnd w:id="278"/>
    <w:bookmarkEnd w:id="279"/>
    <w:bookmarkEnd w:id="280"/>
    <w:bookmarkEnd w:id="281"/>
    <w:bookmarkEnd w:id="282"/>
    <w:bookmarkEnd w:id="283"/>
    <w:bookmarkEnd w:id="284"/>
    <w:p w14:paraId="4929CE28">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bookmarkStart w:id="296" w:name="_Toc5966"/>
      <w:bookmarkStart w:id="297" w:name="_Toc4582"/>
      <w:bookmarkStart w:id="298" w:name="_Toc21808"/>
      <w:bookmarkStart w:id="299" w:name="_Toc23111"/>
      <w:bookmarkStart w:id="300" w:name="_Toc16295"/>
      <w:bookmarkStart w:id="301" w:name="_Toc3800"/>
      <w:bookmarkStart w:id="302" w:name="_Toc7304"/>
      <w:bookmarkStart w:id="303" w:name="_Toc18480"/>
      <w:bookmarkStart w:id="304" w:name="_Toc15585"/>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lang w:eastAsia="zh-CN"/>
        </w:rPr>
        <w:t>加盖</w:t>
      </w:r>
      <w:r>
        <w:rPr>
          <w:rFonts w:hint="eastAsia" w:ascii="仿宋_GB2312" w:hAnsi="仿宋_GB2312" w:eastAsia="仿宋_GB2312" w:cs="仿宋_GB2312"/>
          <w:color w:val="auto"/>
          <w:sz w:val="24"/>
          <w:szCs w:val="24"/>
          <w:highlight w:val="none"/>
        </w:rPr>
        <w:t>公章</w:t>
      </w:r>
      <w:r>
        <w:rPr>
          <w:rFonts w:hint="eastAsia" w:ascii="仿宋_GB2312" w:hAnsi="仿宋_GB2312" w:eastAsia="仿宋_GB2312" w:cs="仿宋_GB2312"/>
          <w:color w:val="auto"/>
          <w:sz w:val="24"/>
          <w:szCs w:val="24"/>
          <w:highlight w:val="none"/>
        </w:rPr>
        <w:t>）：</w:t>
      </w:r>
    </w:p>
    <w:p w14:paraId="77B1B5D3">
      <w:pPr>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ascii="仿宋_GB2312" w:hAnsi="仿宋_GB2312" w:eastAsia="仿宋_GB2312" w:cs="仿宋_GB2312"/>
          <w:color w:val="auto"/>
          <w:sz w:val="24"/>
          <w:szCs w:val="24"/>
          <w:highlight w:val="none"/>
          <w:lang w:eastAsia="zh-CN"/>
        </w:rPr>
        <w:sectPr>
          <w:footerReference r:id="rId11" w:type="default"/>
          <w:pgSz w:w="11850" w:h="16783"/>
          <w:pgMar w:top="1417" w:right="1134" w:bottom="1417" w:left="1134" w:header="720" w:footer="720"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lang w:eastAsia="zh-CN"/>
        </w:rPr>
        <w:t>：</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p>
    <w:bookmarkEnd w:id="296"/>
    <w:bookmarkEnd w:id="297"/>
    <w:bookmarkEnd w:id="298"/>
    <w:bookmarkEnd w:id="299"/>
    <w:bookmarkEnd w:id="300"/>
    <w:bookmarkEnd w:id="301"/>
    <w:bookmarkEnd w:id="302"/>
    <w:p w14:paraId="774C5AAA">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1"/>
        <w:rPr>
          <w:rFonts w:hint="default" w:ascii="仿宋" w:hAnsi="仿宋" w:eastAsia="仿宋" w:cs="仿宋"/>
          <w:b/>
          <w:color w:val="auto"/>
          <w:sz w:val="30"/>
          <w:szCs w:val="30"/>
          <w:highlight w:val="none"/>
          <w:lang w:val="en-US"/>
        </w:rPr>
      </w:pPr>
      <w:bookmarkStart w:id="305" w:name="_Toc19437"/>
      <w:bookmarkStart w:id="306" w:name="_Toc21207"/>
      <w:bookmarkStart w:id="307" w:name="_Toc30083"/>
      <w:bookmarkStart w:id="308" w:name="_Toc21569"/>
      <w:bookmarkStart w:id="309" w:name="_Toc2196"/>
      <w:bookmarkStart w:id="310" w:name="_Toc1278"/>
      <w:bookmarkStart w:id="311" w:name="_Toc24703"/>
      <w:bookmarkStart w:id="312" w:name="_Toc17920"/>
      <w:bookmarkStart w:id="313" w:name="_Toc28110"/>
      <w:bookmarkStart w:id="314" w:name="_Toc16909"/>
      <w:bookmarkStart w:id="315" w:name="_Toc18109"/>
      <w:bookmarkStart w:id="316" w:name="_Toc17952"/>
      <w:bookmarkStart w:id="317" w:name="_Toc20657"/>
      <w:bookmarkStart w:id="318" w:name="_Toc2078"/>
      <w:r>
        <w:rPr>
          <w:rFonts w:hint="eastAsia" w:ascii="仿宋" w:hAnsi="仿宋" w:eastAsia="仿宋" w:cs="仿宋"/>
          <w:b/>
          <w:color w:val="auto"/>
          <w:sz w:val="30"/>
          <w:szCs w:val="30"/>
          <w:highlight w:val="none"/>
          <w:lang w:eastAsia="zh-CN"/>
        </w:rPr>
        <w:t>格式</w:t>
      </w:r>
      <w:bookmarkEnd w:id="305"/>
      <w:bookmarkEnd w:id="306"/>
      <w:bookmarkEnd w:id="307"/>
      <w:bookmarkEnd w:id="308"/>
      <w:r>
        <w:rPr>
          <w:rFonts w:hint="eastAsia" w:ascii="仿宋" w:hAnsi="仿宋" w:eastAsia="仿宋" w:cs="仿宋"/>
          <w:b/>
          <w:bCs/>
          <w:color w:val="auto"/>
          <w:sz w:val="30"/>
          <w:szCs w:val="30"/>
          <w:highlight w:val="none"/>
          <w:lang w:val="en-US" w:eastAsia="zh-CN"/>
        </w:rPr>
        <w:t>1</w:t>
      </w:r>
      <w:bookmarkEnd w:id="309"/>
      <w:bookmarkEnd w:id="310"/>
      <w:r>
        <w:rPr>
          <w:rFonts w:hint="eastAsia" w:ascii="仿宋" w:hAnsi="仿宋" w:eastAsia="仿宋" w:cs="仿宋"/>
          <w:b/>
          <w:bCs/>
          <w:color w:val="auto"/>
          <w:sz w:val="30"/>
          <w:szCs w:val="30"/>
          <w:highlight w:val="none"/>
          <w:lang w:val="en-US" w:eastAsia="zh-CN"/>
        </w:rPr>
        <w:t>1</w:t>
      </w:r>
      <w:r>
        <w:rPr>
          <w:rFonts w:hint="eastAsia" w:ascii="仿宋" w:hAnsi="仿宋" w:eastAsia="仿宋" w:cs="仿宋"/>
          <w:b/>
          <w:color w:val="auto"/>
          <w:sz w:val="30"/>
          <w:szCs w:val="30"/>
          <w:highlight w:val="none"/>
          <w:lang w:val="en-US" w:eastAsia="zh-CN"/>
        </w:rPr>
        <w:t>技术方案</w:t>
      </w:r>
      <w:bookmarkEnd w:id="311"/>
    </w:p>
    <w:p w14:paraId="26EB60C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b/>
          <w:bCs/>
          <w:color w:val="auto"/>
          <w:sz w:val="28"/>
          <w:szCs w:val="28"/>
          <w:highlight w:val="none"/>
          <w:lang w:eastAsia="zh-CN"/>
        </w:rPr>
      </w:pPr>
    </w:p>
    <w:p w14:paraId="786150F7">
      <w:pPr>
        <w:pStyle w:val="2"/>
        <w:keepNext w:val="0"/>
        <w:keepLines w:val="0"/>
        <w:pageBreakBefore w:val="0"/>
        <w:widowControl w:val="0"/>
        <w:kinsoku/>
        <w:wordWrap/>
        <w:overflowPunct/>
        <w:topLinePunct w:val="0"/>
        <w:autoSpaceDE/>
        <w:autoSpaceDN/>
        <w:bidi w:val="0"/>
        <w:snapToGrid/>
        <w:spacing w:after="0" w:line="360" w:lineRule="auto"/>
        <w:textAlignment w:val="auto"/>
        <w:rPr>
          <w:rFonts w:hint="eastAsia"/>
          <w:color w:val="auto"/>
          <w:lang w:eastAsia="zh-CN"/>
        </w:rPr>
      </w:pPr>
    </w:p>
    <w:p w14:paraId="497D1FC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技术方案</w:t>
      </w:r>
    </w:p>
    <w:p w14:paraId="340B7C6D">
      <w:pPr>
        <w:keepNext w:val="0"/>
        <w:keepLines w:val="0"/>
        <w:pageBreakBefore w:val="0"/>
        <w:widowControl w:val="0"/>
        <w:kinsoku/>
        <w:wordWrap/>
        <w:overflowPunct/>
        <w:topLinePunct w:val="0"/>
        <w:autoSpaceDE/>
        <w:autoSpaceDN/>
        <w:bidi w:val="0"/>
        <w:snapToGrid/>
        <w:spacing w:after="0" w:line="360" w:lineRule="auto"/>
        <w:textAlignment w:val="auto"/>
        <w:outlineLvl w:val="9"/>
        <w:rPr>
          <w:rFonts w:hint="eastAsia" w:ascii="仿宋" w:hAnsi="仿宋" w:eastAsia="仿宋" w:cs="仿宋"/>
          <w:color w:val="auto"/>
          <w:sz w:val="24"/>
          <w:szCs w:val="24"/>
          <w:highlight w:val="none"/>
          <w:lang w:eastAsia="zh-CN"/>
        </w:rPr>
      </w:pPr>
    </w:p>
    <w:p w14:paraId="734E4ABD">
      <w:pPr>
        <w:keepNext w:val="0"/>
        <w:keepLines w:val="0"/>
        <w:pageBreakBefore w:val="0"/>
        <w:widowControl w:val="0"/>
        <w:numPr>
          <w:ilvl w:val="0"/>
          <w:numId w:val="0"/>
        </w:numPr>
        <w:kinsoku/>
        <w:wordWrap/>
        <w:overflowPunct/>
        <w:topLinePunct w:val="0"/>
        <w:autoSpaceDE/>
        <w:autoSpaceDN/>
        <w:bidi w:val="0"/>
        <w:snapToGrid/>
        <w:spacing w:after="0" w:line="360" w:lineRule="auto"/>
        <w:ind w:leftChars="200" w:firstLine="240" w:firstLineChars="100"/>
        <w:textAlignment w:val="auto"/>
        <w:outlineLvl w:val="9"/>
        <w:rPr>
          <w:rFonts w:hint="eastAsia" w:eastAsia="仿宋"/>
          <w:color w:val="auto"/>
          <w:highlight w:val="none"/>
          <w:lang w:val="en-US" w:eastAsia="zh-CN"/>
        </w:rPr>
      </w:pPr>
      <w:r>
        <w:rPr>
          <w:rFonts w:hint="eastAsia" w:ascii="仿宋" w:hAnsi="仿宋" w:eastAsia="仿宋" w:cs="仿宋"/>
          <w:color w:val="auto"/>
          <w:sz w:val="24"/>
          <w:szCs w:val="24"/>
          <w:highlight w:val="none"/>
          <w:lang w:eastAsia="zh-CN"/>
        </w:rPr>
        <w:t>投标人自行拟项目技术方案或项目实施方案格式。</w:t>
      </w:r>
    </w:p>
    <w:p w14:paraId="5F45753E">
      <w:pPr>
        <w:pStyle w:val="2"/>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eastAsia="仿宋"/>
          <w:color w:val="auto"/>
          <w:sz w:val="24"/>
          <w:szCs w:val="32"/>
          <w:highlight w:val="yellow"/>
          <w:lang w:val="en-US" w:eastAsia="zh-CN"/>
        </w:rPr>
      </w:pPr>
    </w:p>
    <w:p w14:paraId="04E01FD9">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p w14:paraId="1C72A5A3">
      <w:pPr>
        <w:pStyle w:val="2"/>
        <w:keepNext w:val="0"/>
        <w:keepLines w:val="0"/>
        <w:pageBreakBefore w:val="0"/>
        <w:widowControl w:val="0"/>
        <w:kinsoku/>
        <w:wordWrap/>
        <w:overflowPunct/>
        <w:topLinePunct w:val="0"/>
        <w:autoSpaceDE/>
        <w:autoSpaceDN/>
        <w:bidi w:val="0"/>
        <w:snapToGrid/>
        <w:spacing w:after="0" w:line="360" w:lineRule="auto"/>
        <w:textAlignment w:val="auto"/>
        <w:rPr>
          <w:rFonts w:hint="eastAsia"/>
          <w:color w:val="auto"/>
          <w:highlight w:val="none"/>
        </w:rPr>
      </w:pPr>
    </w:p>
    <w:p w14:paraId="4E20BDE3">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lang w:eastAsia="zh-CN"/>
        </w:rPr>
        <w:t>加盖</w:t>
      </w:r>
      <w:r>
        <w:rPr>
          <w:rFonts w:hint="eastAsia" w:ascii="仿宋_GB2312" w:hAnsi="仿宋_GB2312" w:eastAsia="仿宋_GB2312" w:cs="仿宋_GB2312"/>
          <w:color w:val="auto"/>
          <w:sz w:val="24"/>
          <w:szCs w:val="24"/>
          <w:highlight w:val="none"/>
        </w:rPr>
        <w:t>公章</w:t>
      </w:r>
      <w:r>
        <w:rPr>
          <w:rFonts w:hint="eastAsia" w:ascii="仿宋_GB2312" w:hAnsi="仿宋_GB2312" w:eastAsia="仿宋_GB2312" w:cs="仿宋_GB2312"/>
          <w:color w:val="auto"/>
          <w:sz w:val="24"/>
          <w:szCs w:val="24"/>
          <w:highlight w:val="none"/>
        </w:rPr>
        <w:t>）：</w:t>
      </w:r>
    </w:p>
    <w:p w14:paraId="039C8A47">
      <w:pPr>
        <w:pStyle w:val="2"/>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color w:val="auto"/>
          <w:highlight w:val="none"/>
        </w:r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lang w:eastAsia="zh-CN"/>
        </w:rPr>
        <w:t>：</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p>
    <w:p w14:paraId="0506CEEA">
      <w:pPr>
        <w:pStyle w:val="3"/>
        <w:ind w:left="0" w:leftChars="0" w:firstLine="0" w:firstLineChars="0"/>
        <w:rPr>
          <w:rFonts w:hint="eastAsia"/>
          <w:color w:val="auto"/>
        </w:rPr>
      </w:pPr>
    </w:p>
    <w:p w14:paraId="57F828E0">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color w:val="auto"/>
          <w:sz w:val="30"/>
          <w:szCs w:val="30"/>
          <w:highlight w:val="none"/>
          <w:lang w:eastAsia="zh-CN"/>
        </w:rPr>
        <w:br w:type="page"/>
      </w:r>
      <w:bookmarkStart w:id="319" w:name="_Toc5430"/>
      <w:r>
        <w:rPr>
          <w:rFonts w:hint="eastAsia" w:ascii="仿宋" w:hAnsi="仿宋" w:eastAsia="仿宋" w:cs="仿宋"/>
          <w:b/>
          <w:bCs/>
          <w:color w:val="auto"/>
          <w:sz w:val="30"/>
          <w:szCs w:val="30"/>
          <w:highlight w:val="none"/>
          <w:lang w:eastAsia="zh-CN"/>
        </w:rPr>
        <w:t>格式</w:t>
      </w:r>
      <w:bookmarkEnd w:id="303"/>
      <w:bookmarkEnd w:id="304"/>
      <w:bookmarkEnd w:id="312"/>
      <w:bookmarkEnd w:id="313"/>
      <w:bookmarkEnd w:id="314"/>
      <w:bookmarkEnd w:id="315"/>
      <w:r>
        <w:rPr>
          <w:rFonts w:hint="eastAsia" w:ascii="仿宋" w:hAnsi="仿宋" w:eastAsia="仿宋" w:cs="仿宋"/>
          <w:b/>
          <w:bCs/>
          <w:color w:val="auto"/>
          <w:sz w:val="30"/>
          <w:szCs w:val="30"/>
          <w:highlight w:val="none"/>
          <w:lang w:val="en-US" w:eastAsia="zh-CN"/>
        </w:rPr>
        <w:t>1</w:t>
      </w:r>
      <w:r>
        <w:rPr>
          <w:rFonts w:hint="eastAsia" w:ascii="仿宋" w:hAnsi="仿宋" w:eastAsia="仿宋" w:cs="仿宋"/>
          <w:b/>
          <w:bCs/>
          <w:color w:val="auto"/>
          <w:sz w:val="30"/>
          <w:szCs w:val="30"/>
          <w:highlight w:val="none"/>
          <w:lang w:val="en-US" w:eastAsia="zh-CN"/>
        </w:rPr>
        <w:t>2技术</w:t>
      </w:r>
      <w:r>
        <w:rPr>
          <w:rFonts w:hint="eastAsia" w:ascii="仿宋" w:hAnsi="仿宋" w:eastAsia="仿宋" w:cs="仿宋"/>
          <w:b/>
          <w:bCs/>
          <w:color w:val="auto"/>
          <w:sz w:val="30"/>
          <w:szCs w:val="30"/>
          <w:highlight w:val="none"/>
        </w:rPr>
        <w:t>要求应答表</w:t>
      </w:r>
      <w:bookmarkEnd w:id="316"/>
      <w:bookmarkEnd w:id="317"/>
      <w:bookmarkEnd w:id="318"/>
      <w:bookmarkEnd w:id="319"/>
    </w:p>
    <w:p w14:paraId="786A6E1B">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after="0" w:line="360" w:lineRule="auto"/>
        <w:ind w:firstLine="0" w:firstLineChars="0"/>
        <w:jc w:val="center"/>
        <w:textAlignment w:val="auto"/>
        <w:outlineLvl w:val="9"/>
        <w:rPr>
          <w:rFonts w:hint="eastAsia" w:ascii="仿宋" w:hAnsi="仿宋" w:eastAsia="仿宋" w:cs="仿宋"/>
          <w:b/>
          <w:bCs/>
          <w:color w:val="auto"/>
          <w:sz w:val="28"/>
          <w:szCs w:val="28"/>
          <w:highlight w:val="none"/>
          <w:lang w:eastAsia="zh-CN"/>
        </w:rPr>
      </w:pPr>
    </w:p>
    <w:p w14:paraId="0FBFFD7F">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after="0" w:line="360" w:lineRule="auto"/>
        <w:ind w:firstLine="0" w:firstLineChars="0"/>
        <w:jc w:val="center"/>
        <w:textAlignment w:val="auto"/>
        <w:outlineLvl w:val="9"/>
        <w:rPr>
          <w:rFonts w:hint="eastAsia" w:ascii="仿宋" w:hAnsi="仿宋" w:eastAsia="仿宋" w:cs="仿宋"/>
          <w:color w:val="auto"/>
          <w:sz w:val="36"/>
          <w:szCs w:val="36"/>
          <w:highlight w:val="none"/>
        </w:rPr>
      </w:pPr>
      <w:r>
        <w:rPr>
          <w:rFonts w:hint="eastAsia" w:ascii="仿宋" w:hAnsi="仿宋" w:eastAsia="仿宋" w:cs="仿宋"/>
          <w:b/>
          <w:bCs/>
          <w:color w:val="auto"/>
          <w:sz w:val="28"/>
          <w:szCs w:val="28"/>
          <w:highlight w:val="none"/>
          <w:lang w:eastAsia="zh-CN"/>
        </w:rPr>
        <w:t>技术要求应答表</w:t>
      </w:r>
    </w:p>
    <w:p w14:paraId="10402DC0">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招标名称</w:t>
      </w:r>
      <w:r>
        <w:rPr>
          <w:rFonts w:hint="eastAsia" w:ascii="仿宋" w:hAnsi="仿宋" w:eastAsia="仿宋" w:cs="仿宋"/>
          <w:color w:val="auto"/>
          <w:sz w:val="24"/>
          <w:szCs w:val="24"/>
          <w:highlight w:val="none"/>
        </w:rPr>
        <w:t xml:space="preserve">： </w:t>
      </w:r>
    </w:p>
    <w:p w14:paraId="3951F731">
      <w:pPr>
        <w:keepNext w:val="0"/>
        <w:keepLines w:val="0"/>
        <w:pageBreakBefore w:val="0"/>
        <w:widowControl w:val="0"/>
        <w:kinsoku/>
        <w:wordWrap/>
        <w:overflowPunct/>
        <w:topLinePunct w:val="0"/>
        <w:autoSpaceDE/>
        <w:autoSpaceDN/>
        <w:bidi w:val="0"/>
        <w:adjustRightInd/>
        <w:snapToGrid/>
        <w:spacing w:after="0" w:line="360" w:lineRule="auto"/>
        <w:ind w:firstLine="48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招标编号</w:t>
      </w:r>
      <w:r>
        <w:rPr>
          <w:rFonts w:hint="eastAsia" w:ascii="仿宋" w:hAnsi="仿宋" w:eastAsia="仿宋" w:cs="仿宋"/>
          <w:color w:val="auto"/>
          <w:sz w:val="24"/>
          <w:szCs w:val="24"/>
          <w:highlight w:val="none"/>
        </w:rPr>
        <w:t>：</w:t>
      </w:r>
    </w:p>
    <w:p w14:paraId="3EF1ECCA">
      <w:pPr>
        <w:keepNext w:val="0"/>
        <w:keepLines w:val="0"/>
        <w:pageBreakBefore w:val="0"/>
        <w:widowControl w:val="0"/>
        <w:kinsoku/>
        <w:wordWrap/>
        <w:overflowPunct/>
        <w:topLinePunct w:val="0"/>
        <w:autoSpaceDE/>
        <w:autoSpaceDN/>
        <w:bidi w:val="0"/>
        <w:adjustRightInd/>
        <w:snapToGrid/>
        <w:spacing w:after="0" w:line="360" w:lineRule="auto"/>
        <w:ind w:firstLine="480"/>
        <w:jc w:val="both"/>
        <w:textAlignment w:val="auto"/>
        <w:outlineLvl w:val="9"/>
        <w:rPr>
          <w:rFonts w:hint="eastAsia" w:ascii="仿宋" w:hAnsi="仿宋" w:eastAsia="仿宋" w:cs="仿宋"/>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SA"/>
        </w:rPr>
        <w:t>招标包号：</w:t>
      </w:r>
      <w:r>
        <w:rPr>
          <w:rFonts w:hint="eastAsia" w:ascii="仿宋" w:hAnsi="仿宋" w:eastAsia="仿宋" w:cs="仿宋"/>
          <w:color w:val="auto"/>
          <w:sz w:val="24"/>
          <w:szCs w:val="24"/>
          <w:highlight w:val="none"/>
        </w:rPr>
        <w:t xml:space="preserve">                              </w:t>
      </w:r>
    </w:p>
    <w:tbl>
      <w:tblPr>
        <w:tblStyle w:val="32"/>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5247"/>
        <w:gridCol w:w="3240"/>
      </w:tblGrid>
      <w:tr w14:paraId="6099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311" w:type="dxa"/>
            <w:noWrap w:val="0"/>
            <w:vAlign w:val="center"/>
          </w:tcPr>
          <w:p w14:paraId="7EDD31FF">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序号</w:t>
            </w:r>
          </w:p>
        </w:tc>
        <w:tc>
          <w:tcPr>
            <w:tcW w:w="5247" w:type="dxa"/>
            <w:noWrap w:val="0"/>
            <w:vAlign w:val="center"/>
          </w:tcPr>
          <w:p w14:paraId="2CC5B2F3">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w:t>
            </w:r>
          </w:p>
          <w:p w14:paraId="2B2E497E">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第六章</w:t>
            </w:r>
            <w:r>
              <w:rPr>
                <w:rFonts w:hint="eastAsia" w:ascii="仿宋" w:hAnsi="仿宋" w:eastAsia="仿宋" w:cs="仿宋"/>
                <w:color w:val="auto"/>
                <w:sz w:val="24"/>
                <w:szCs w:val="24"/>
                <w:highlight w:val="none"/>
                <w:lang w:eastAsia="zh-CN"/>
              </w:rPr>
              <w:t>第</w:t>
            </w:r>
            <w:r>
              <w:rPr>
                <w:rFonts w:hint="eastAsia" w:ascii="仿宋" w:hAnsi="仿宋" w:eastAsia="仿宋" w:cs="仿宋"/>
                <w:color w:val="auto"/>
                <w:sz w:val="24"/>
                <w:szCs w:val="24"/>
                <w:highlight w:val="none"/>
                <w:lang w:val="en-US" w:eastAsia="zh-CN"/>
              </w:rPr>
              <w:t>二、三</w:t>
            </w:r>
            <w:r>
              <w:rPr>
                <w:rFonts w:hint="eastAsia" w:ascii="仿宋" w:hAnsi="仿宋" w:eastAsia="仿宋" w:cs="仿宋"/>
                <w:color w:val="auto"/>
                <w:sz w:val="24"/>
                <w:szCs w:val="24"/>
                <w:highlight w:val="none"/>
                <w:lang w:eastAsia="zh-CN"/>
              </w:rPr>
              <w:t>项</w:t>
            </w:r>
            <w:r>
              <w:rPr>
                <w:rFonts w:hint="eastAsia" w:ascii="仿宋" w:hAnsi="仿宋" w:eastAsia="仿宋" w:cs="仿宋"/>
                <w:color w:val="auto"/>
                <w:sz w:val="24"/>
                <w:szCs w:val="24"/>
                <w:highlight w:val="none"/>
              </w:rPr>
              <w:t>）</w:t>
            </w:r>
          </w:p>
        </w:tc>
        <w:tc>
          <w:tcPr>
            <w:tcW w:w="3240" w:type="dxa"/>
            <w:noWrap w:val="0"/>
            <w:vAlign w:val="center"/>
          </w:tcPr>
          <w:p w14:paraId="46DEECD6">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的应答</w:t>
            </w:r>
            <w:r>
              <w:rPr>
                <w:rFonts w:hint="eastAsia" w:ascii="仿宋" w:hAnsi="仿宋" w:eastAsia="仿宋" w:cs="仿宋"/>
                <w:color w:val="auto"/>
                <w:sz w:val="24"/>
                <w:szCs w:val="24"/>
                <w:highlight w:val="none"/>
                <w:lang w:eastAsia="zh-CN"/>
              </w:rPr>
              <w:t>情况</w:t>
            </w:r>
          </w:p>
        </w:tc>
      </w:tr>
      <w:tr w14:paraId="564D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11" w:type="dxa"/>
            <w:noWrap w:val="0"/>
            <w:vAlign w:val="center"/>
          </w:tcPr>
          <w:p w14:paraId="30F4257B">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5247" w:type="dxa"/>
            <w:noWrap w:val="0"/>
            <w:vAlign w:val="center"/>
          </w:tcPr>
          <w:p w14:paraId="1FC15200">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1686EA16">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r w14:paraId="4C36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11" w:type="dxa"/>
            <w:noWrap w:val="0"/>
            <w:vAlign w:val="center"/>
          </w:tcPr>
          <w:p w14:paraId="088F46E5">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5247" w:type="dxa"/>
            <w:noWrap w:val="0"/>
            <w:vAlign w:val="center"/>
          </w:tcPr>
          <w:p w14:paraId="729093F9">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3CB1A725">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r w14:paraId="6391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1" w:type="dxa"/>
            <w:noWrap w:val="0"/>
            <w:vAlign w:val="center"/>
          </w:tcPr>
          <w:p w14:paraId="284D8715">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5247" w:type="dxa"/>
            <w:noWrap w:val="0"/>
            <w:vAlign w:val="center"/>
          </w:tcPr>
          <w:p w14:paraId="2B088EE4">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20B43DD7">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r w14:paraId="2E83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1" w:type="dxa"/>
            <w:noWrap w:val="0"/>
            <w:vAlign w:val="center"/>
          </w:tcPr>
          <w:p w14:paraId="1F739152">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5247" w:type="dxa"/>
            <w:noWrap w:val="0"/>
            <w:vAlign w:val="center"/>
          </w:tcPr>
          <w:p w14:paraId="437E1207">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3FB5AD66">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r w14:paraId="2F01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1" w:type="dxa"/>
            <w:noWrap w:val="0"/>
            <w:vAlign w:val="center"/>
          </w:tcPr>
          <w:p w14:paraId="3E58896A">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5247" w:type="dxa"/>
            <w:noWrap w:val="0"/>
            <w:vAlign w:val="center"/>
          </w:tcPr>
          <w:p w14:paraId="4CA3247E">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51E0E67F">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r w14:paraId="03E5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1" w:type="dxa"/>
            <w:noWrap w:val="0"/>
            <w:vAlign w:val="center"/>
          </w:tcPr>
          <w:p w14:paraId="00D5C4D5">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5247" w:type="dxa"/>
            <w:noWrap w:val="0"/>
            <w:vAlign w:val="center"/>
          </w:tcPr>
          <w:p w14:paraId="48F2C843">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2D47E144">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r w14:paraId="1E3C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1" w:type="dxa"/>
            <w:noWrap w:val="0"/>
            <w:vAlign w:val="center"/>
          </w:tcPr>
          <w:p w14:paraId="3AD169C3">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5247" w:type="dxa"/>
            <w:noWrap w:val="0"/>
            <w:vAlign w:val="center"/>
          </w:tcPr>
          <w:p w14:paraId="7A9E0E94">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22C41116">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r w14:paraId="6DFD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1" w:type="dxa"/>
            <w:noWrap w:val="0"/>
            <w:vAlign w:val="center"/>
          </w:tcPr>
          <w:p w14:paraId="06B93967">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5247" w:type="dxa"/>
            <w:noWrap w:val="0"/>
            <w:vAlign w:val="center"/>
          </w:tcPr>
          <w:p w14:paraId="4C293E98">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06F45BCA">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r w14:paraId="615C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1" w:type="dxa"/>
            <w:noWrap w:val="0"/>
            <w:vAlign w:val="center"/>
          </w:tcPr>
          <w:p w14:paraId="5EB38A1B">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5247" w:type="dxa"/>
            <w:noWrap w:val="0"/>
            <w:vAlign w:val="center"/>
          </w:tcPr>
          <w:p w14:paraId="287EFCD7">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22ECFB48">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bl>
    <w:p w14:paraId="7C4E3F08">
      <w:pPr>
        <w:keepNext w:val="0"/>
        <w:keepLines w:val="0"/>
        <w:pageBreakBefore w:val="0"/>
        <w:widowControl w:val="0"/>
        <w:kinsoku/>
        <w:wordWrap/>
        <w:overflowPunct/>
        <w:topLinePunct w:val="0"/>
        <w:autoSpaceDE/>
        <w:autoSpaceDN/>
        <w:bidi w:val="0"/>
        <w:snapToGrid/>
        <w:spacing w:after="0" w:line="360" w:lineRule="auto"/>
        <w:ind w:firstLine="482"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文件要求据实逐条填写，不得虚假响应，虚假响应的，其</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无效并按规定追究其相关责任。</w:t>
      </w:r>
    </w:p>
    <w:p w14:paraId="32EC145E">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eastAsia" w:ascii="仿宋_GB2312" w:hAnsi="仿宋_GB2312" w:eastAsia="仿宋_GB2312" w:cs="仿宋_GB2312"/>
          <w:color w:val="auto"/>
          <w:sz w:val="24"/>
          <w:szCs w:val="24"/>
          <w:highlight w:val="none"/>
          <w:lang w:eastAsia="zh-CN"/>
        </w:rPr>
      </w:pPr>
    </w:p>
    <w:p w14:paraId="580818EE">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lang w:eastAsia="zh-CN"/>
        </w:rPr>
        <w:t>加盖</w:t>
      </w:r>
      <w:r>
        <w:rPr>
          <w:rFonts w:hint="eastAsia" w:ascii="仿宋_GB2312" w:hAnsi="仿宋_GB2312" w:eastAsia="仿宋_GB2312" w:cs="仿宋_GB2312"/>
          <w:color w:val="auto"/>
          <w:sz w:val="24"/>
          <w:szCs w:val="24"/>
          <w:highlight w:val="none"/>
        </w:rPr>
        <w:t>公章</w:t>
      </w:r>
      <w:r>
        <w:rPr>
          <w:rFonts w:hint="eastAsia" w:ascii="仿宋_GB2312" w:hAnsi="仿宋_GB2312" w:eastAsia="仿宋_GB2312" w:cs="仿宋_GB2312"/>
          <w:color w:val="auto"/>
          <w:sz w:val="24"/>
          <w:szCs w:val="24"/>
          <w:highlight w:val="none"/>
        </w:rPr>
        <w:t>）：</w:t>
      </w:r>
    </w:p>
    <w:p w14:paraId="3A09044B">
      <w:pPr>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ascii="仿宋" w:hAnsi="仿宋" w:eastAsia="仿宋" w:cs="仿宋"/>
          <w:color w:val="auto"/>
          <w:sz w:val="24"/>
          <w:highlight w:val="none"/>
        </w:r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lang w:eastAsia="zh-CN"/>
        </w:rPr>
        <w:t>：</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p>
    <w:p w14:paraId="35EB155A">
      <w:pPr>
        <w:rPr>
          <w:rFonts w:hint="eastAsia"/>
          <w:color w:val="auto"/>
        </w:rPr>
      </w:pPr>
      <w:r>
        <w:rPr>
          <w:rFonts w:hint="eastAsia"/>
          <w:color w:val="auto"/>
        </w:rPr>
        <w:br w:type="page"/>
      </w:r>
    </w:p>
    <w:p w14:paraId="5DF3BDFC">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1"/>
        <w:rPr>
          <w:rFonts w:hint="eastAsia" w:ascii="仿宋" w:hAnsi="仿宋" w:eastAsia="仿宋" w:cs="仿宋"/>
          <w:b/>
          <w:color w:val="auto"/>
          <w:sz w:val="30"/>
          <w:szCs w:val="30"/>
          <w:highlight w:val="none"/>
        </w:rPr>
      </w:pPr>
      <w:bookmarkStart w:id="320" w:name="_Toc2316"/>
      <w:bookmarkStart w:id="321" w:name="_Toc3063"/>
      <w:bookmarkStart w:id="322" w:name="_Toc7335"/>
      <w:bookmarkStart w:id="323" w:name="_Toc13762"/>
      <w:bookmarkStart w:id="324" w:name="_Toc12810"/>
      <w:bookmarkStart w:id="325" w:name="_Toc13537"/>
      <w:bookmarkStart w:id="326" w:name="_Toc26224"/>
      <w:bookmarkStart w:id="327" w:name="_Toc21630"/>
      <w:bookmarkStart w:id="328" w:name="_Toc11821"/>
      <w:bookmarkStart w:id="329" w:name="_Toc31860"/>
      <w:bookmarkStart w:id="330" w:name="_Toc12566"/>
      <w:r>
        <w:rPr>
          <w:rFonts w:hint="eastAsia" w:ascii="仿宋" w:hAnsi="仿宋" w:eastAsia="仿宋" w:cs="仿宋"/>
          <w:b/>
          <w:color w:val="auto"/>
          <w:sz w:val="30"/>
          <w:szCs w:val="30"/>
          <w:highlight w:val="none"/>
          <w:lang w:eastAsia="zh-CN"/>
        </w:rPr>
        <w:t>格式</w:t>
      </w:r>
      <w:r>
        <w:rPr>
          <w:rFonts w:hint="eastAsia" w:ascii="仿宋" w:hAnsi="仿宋" w:eastAsia="仿宋" w:cs="仿宋"/>
          <w:b/>
          <w:color w:val="auto"/>
          <w:sz w:val="30"/>
          <w:szCs w:val="30"/>
          <w:highlight w:val="none"/>
          <w:lang w:val="en-US" w:eastAsia="zh-CN"/>
        </w:rPr>
        <w:t>13</w:t>
      </w:r>
      <w:r>
        <w:rPr>
          <w:rFonts w:hint="eastAsia" w:ascii="仿宋" w:hAnsi="仿宋" w:eastAsia="仿宋" w:cs="仿宋"/>
          <w:b/>
          <w:bCs/>
          <w:color w:val="auto"/>
          <w:sz w:val="30"/>
          <w:szCs w:val="30"/>
          <w:highlight w:val="none"/>
          <w:lang w:val="en-US" w:eastAsia="zh-CN"/>
        </w:rPr>
        <w:t>主要</w:t>
      </w:r>
      <w:r>
        <w:rPr>
          <w:rFonts w:hint="eastAsia" w:ascii="仿宋" w:hAnsi="仿宋" w:eastAsia="仿宋" w:cs="仿宋"/>
          <w:b/>
          <w:color w:val="auto"/>
          <w:sz w:val="30"/>
          <w:szCs w:val="30"/>
          <w:highlight w:val="none"/>
        </w:rPr>
        <w:t>人员情况表</w:t>
      </w:r>
      <w:bookmarkEnd w:id="320"/>
      <w:bookmarkEnd w:id="321"/>
      <w:bookmarkEnd w:id="322"/>
      <w:bookmarkEnd w:id="323"/>
      <w:bookmarkEnd w:id="324"/>
    </w:p>
    <w:p w14:paraId="04022E1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lang w:eastAsia="zh-CN"/>
        </w:rPr>
        <w:t>主要</w:t>
      </w:r>
      <w:r>
        <w:rPr>
          <w:rFonts w:hint="eastAsia" w:ascii="仿宋" w:hAnsi="仿宋" w:eastAsia="仿宋" w:cs="仿宋"/>
          <w:b/>
          <w:color w:val="auto"/>
          <w:sz w:val="28"/>
          <w:szCs w:val="28"/>
          <w:highlight w:val="none"/>
        </w:rPr>
        <w:t>人员情况表</w:t>
      </w:r>
    </w:p>
    <w:p w14:paraId="1287AC29">
      <w:pPr>
        <w:pStyle w:val="9"/>
        <w:keepNext w:val="0"/>
        <w:keepLines w:val="0"/>
        <w:pageBreakBefore w:val="0"/>
        <w:widowControl w:val="0"/>
        <w:tabs>
          <w:tab w:val="left" w:pos="7020"/>
        </w:tabs>
        <w:kinsoku/>
        <w:wordWrap/>
        <w:overflowPunct/>
        <w:topLinePunct w:val="0"/>
        <w:autoSpaceDE/>
        <w:autoSpaceDN/>
        <w:bidi w:val="0"/>
        <w:snapToGrid/>
        <w:spacing w:after="0"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招标名称</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ab/>
      </w:r>
    </w:p>
    <w:p w14:paraId="7E8A4FBF">
      <w:pPr>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招标编号</w:t>
      </w:r>
      <w:r>
        <w:rPr>
          <w:rFonts w:hint="eastAsia" w:ascii="仿宋" w:hAnsi="仿宋" w:eastAsia="仿宋" w:cs="仿宋"/>
          <w:color w:val="auto"/>
          <w:kern w:val="0"/>
          <w:sz w:val="24"/>
          <w:szCs w:val="24"/>
          <w:highlight w:val="none"/>
        </w:rPr>
        <w:t>：</w:t>
      </w:r>
    </w:p>
    <w:p w14:paraId="78F46794">
      <w:pPr>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招标包号：</w:t>
      </w:r>
      <w:r>
        <w:rPr>
          <w:rFonts w:hint="eastAsia" w:ascii="仿宋" w:hAnsi="仿宋" w:eastAsia="仿宋" w:cs="仿宋"/>
          <w:color w:val="auto"/>
          <w:sz w:val="24"/>
          <w:szCs w:val="24"/>
          <w:highlight w:val="none"/>
        </w:rPr>
        <w:t xml:space="preserve"> </w:t>
      </w:r>
    </w:p>
    <w:tbl>
      <w:tblPr>
        <w:tblStyle w:val="32"/>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1692"/>
        <w:gridCol w:w="914"/>
        <w:gridCol w:w="914"/>
        <w:gridCol w:w="1229"/>
        <w:gridCol w:w="914"/>
        <w:gridCol w:w="914"/>
        <w:gridCol w:w="914"/>
        <w:gridCol w:w="914"/>
      </w:tblGrid>
      <w:tr w14:paraId="25C2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restart"/>
            <w:noWrap w:val="0"/>
            <w:vAlign w:val="center"/>
          </w:tcPr>
          <w:p w14:paraId="5812BD06">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类别</w:t>
            </w:r>
          </w:p>
        </w:tc>
        <w:tc>
          <w:tcPr>
            <w:tcW w:w="1692" w:type="dxa"/>
            <w:vMerge w:val="restart"/>
            <w:noWrap w:val="0"/>
            <w:vAlign w:val="center"/>
          </w:tcPr>
          <w:p w14:paraId="112BF64A">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914" w:type="dxa"/>
            <w:vMerge w:val="restart"/>
            <w:noWrap w:val="0"/>
            <w:vAlign w:val="center"/>
          </w:tcPr>
          <w:p w14:paraId="3F785497">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914" w:type="dxa"/>
            <w:vMerge w:val="restart"/>
            <w:noWrap w:val="0"/>
            <w:vAlign w:val="center"/>
          </w:tcPr>
          <w:p w14:paraId="0F248C06">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1229" w:type="dxa"/>
            <w:vMerge w:val="restart"/>
            <w:noWrap w:val="0"/>
            <w:vAlign w:val="center"/>
          </w:tcPr>
          <w:p w14:paraId="5BF45AD7">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常住地</w:t>
            </w:r>
          </w:p>
        </w:tc>
        <w:tc>
          <w:tcPr>
            <w:tcW w:w="3656" w:type="dxa"/>
            <w:gridSpan w:val="4"/>
            <w:noWrap w:val="0"/>
            <w:vAlign w:val="center"/>
          </w:tcPr>
          <w:p w14:paraId="503C4D8F">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资格证明（附复印件）</w:t>
            </w:r>
          </w:p>
        </w:tc>
      </w:tr>
      <w:tr w14:paraId="69C1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center"/>
          </w:tcPr>
          <w:p w14:paraId="4F4C4705">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1692" w:type="dxa"/>
            <w:vMerge w:val="continue"/>
            <w:noWrap w:val="0"/>
            <w:vAlign w:val="center"/>
          </w:tcPr>
          <w:p w14:paraId="38442A0A">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914" w:type="dxa"/>
            <w:vMerge w:val="continue"/>
            <w:noWrap w:val="0"/>
            <w:vAlign w:val="center"/>
          </w:tcPr>
          <w:p w14:paraId="14EAF7E4">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914" w:type="dxa"/>
            <w:vMerge w:val="continue"/>
            <w:noWrap w:val="0"/>
            <w:vAlign w:val="center"/>
          </w:tcPr>
          <w:p w14:paraId="6650BB2A">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1229" w:type="dxa"/>
            <w:vMerge w:val="continue"/>
            <w:noWrap w:val="0"/>
            <w:vAlign w:val="center"/>
          </w:tcPr>
          <w:p w14:paraId="59A6FEB2">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914" w:type="dxa"/>
            <w:noWrap w:val="0"/>
            <w:vAlign w:val="center"/>
          </w:tcPr>
          <w:p w14:paraId="27CCF44B">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证书</w:t>
            </w:r>
          </w:p>
          <w:p w14:paraId="2B7A2015">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914" w:type="dxa"/>
            <w:noWrap w:val="0"/>
            <w:vAlign w:val="center"/>
          </w:tcPr>
          <w:p w14:paraId="3B89277B">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级别</w:t>
            </w:r>
          </w:p>
        </w:tc>
        <w:tc>
          <w:tcPr>
            <w:tcW w:w="914" w:type="dxa"/>
            <w:noWrap w:val="0"/>
            <w:vAlign w:val="center"/>
          </w:tcPr>
          <w:p w14:paraId="69A98901">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证号</w:t>
            </w:r>
          </w:p>
        </w:tc>
        <w:tc>
          <w:tcPr>
            <w:tcW w:w="914" w:type="dxa"/>
            <w:noWrap w:val="0"/>
            <w:vAlign w:val="center"/>
          </w:tcPr>
          <w:p w14:paraId="61A5A0BA">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r>
      <w:tr w14:paraId="2C00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restart"/>
            <w:noWrap w:val="0"/>
            <w:vAlign w:val="center"/>
          </w:tcPr>
          <w:p w14:paraId="3BA2805B">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管理</w:t>
            </w:r>
          </w:p>
          <w:p w14:paraId="3E414C7D">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人员</w:t>
            </w:r>
          </w:p>
        </w:tc>
        <w:tc>
          <w:tcPr>
            <w:tcW w:w="1692" w:type="dxa"/>
            <w:noWrap w:val="0"/>
            <w:vAlign w:val="top"/>
          </w:tcPr>
          <w:p w14:paraId="0037C61E">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B89C2A8">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6E5E914B">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5434789A">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446F4D30">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4574F351">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3A3F964D">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1DD3DF06">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r w14:paraId="5F63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center"/>
          </w:tcPr>
          <w:p w14:paraId="09628787">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1692" w:type="dxa"/>
            <w:noWrap w:val="0"/>
            <w:vAlign w:val="top"/>
          </w:tcPr>
          <w:p w14:paraId="5A22E802">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67ED9220">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1D4B9EDE">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0AE144A1">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1B222D0A">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47D0A722">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1F665149">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6C544C22">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r w14:paraId="72D7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center"/>
          </w:tcPr>
          <w:p w14:paraId="298F4502">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1692" w:type="dxa"/>
            <w:noWrap w:val="0"/>
            <w:vAlign w:val="top"/>
          </w:tcPr>
          <w:p w14:paraId="4AE481B2">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70FDDFE3">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5A78AE61">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0A08AF55">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5B760FE3">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5F86656A">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3835A6A0">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4D5190D2">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r w14:paraId="3EE8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restart"/>
            <w:noWrap w:val="0"/>
            <w:vAlign w:val="center"/>
          </w:tcPr>
          <w:p w14:paraId="4B4C20BF">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服务</w:t>
            </w:r>
          </w:p>
          <w:p w14:paraId="01485681">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人员</w:t>
            </w:r>
          </w:p>
        </w:tc>
        <w:tc>
          <w:tcPr>
            <w:tcW w:w="1692" w:type="dxa"/>
            <w:noWrap w:val="0"/>
            <w:vAlign w:val="top"/>
          </w:tcPr>
          <w:p w14:paraId="73D89BC8">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5F280911">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5CD6AF86">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0F5070D4">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307E67B3">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2996915">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4EB51EBA">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59541A9">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r w14:paraId="4765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center"/>
          </w:tcPr>
          <w:p w14:paraId="03A80732">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1692" w:type="dxa"/>
            <w:noWrap w:val="0"/>
            <w:vAlign w:val="top"/>
          </w:tcPr>
          <w:p w14:paraId="716B3EB6">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4182D78F">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CCBF81C">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48056E5E">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1E8A78A9">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C256D0C">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EBFF753">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83DE553">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r w14:paraId="56A2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center"/>
          </w:tcPr>
          <w:p w14:paraId="52BAA231">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1692" w:type="dxa"/>
            <w:noWrap w:val="0"/>
            <w:vAlign w:val="top"/>
          </w:tcPr>
          <w:p w14:paraId="61C8264F">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FE28742">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79EF9864">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76C5C95F">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1303E44F">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6052A2B6">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2EA5487">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9C1E7B0">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r w14:paraId="6C69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restart"/>
            <w:noWrap w:val="0"/>
            <w:vAlign w:val="center"/>
          </w:tcPr>
          <w:p w14:paraId="5E39F403">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w:t>
            </w:r>
          </w:p>
          <w:p w14:paraId="61F1E0E2">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务人员</w:t>
            </w:r>
          </w:p>
        </w:tc>
        <w:tc>
          <w:tcPr>
            <w:tcW w:w="1692" w:type="dxa"/>
            <w:noWrap w:val="0"/>
            <w:vAlign w:val="top"/>
          </w:tcPr>
          <w:p w14:paraId="53BA8274">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2404F26">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DD4B5BE">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1B98D53C">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2B56B54">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35B7227">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778A436">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7F73AEF0">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r w14:paraId="4E88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top"/>
          </w:tcPr>
          <w:p w14:paraId="4258B6F8">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692" w:type="dxa"/>
            <w:noWrap w:val="0"/>
            <w:vAlign w:val="top"/>
          </w:tcPr>
          <w:p w14:paraId="5B042DD4">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33CD70DB">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CE0E9F8">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1C5090C2">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C833C4C">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F6A9CA6">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386A4913">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6F55D8BE">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r w14:paraId="093E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top"/>
          </w:tcPr>
          <w:p w14:paraId="51B400E7">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692" w:type="dxa"/>
            <w:noWrap w:val="0"/>
            <w:vAlign w:val="top"/>
          </w:tcPr>
          <w:p w14:paraId="63F54412">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6FC5FF7">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45F2CB6E">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6BE61909">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671179F5">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56947F7D">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8CF3241">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3F833C5B">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bl>
    <w:p w14:paraId="3D1DEF27">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p w14:paraId="7F032F2D">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lang w:eastAsia="zh-CN"/>
        </w:rPr>
        <w:t>加盖</w:t>
      </w:r>
      <w:r>
        <w:rPr>
          <w:rFonts w:hint="eastAsia" w:ascii="仿宋_GB2312" w:hAnsi="仿宋_GB2312" w:eastAsia="仿宋_GB2312" w:cs="仿宋_GB2312"/>
          <w:color w:val="auto"/>
          <w:sz w:val="24"/>
          <w:szCs w:val="24"/>
          <w:highlight w:val="none"/>
        </w:rPr>
        <w:t>公章</w:t>
      </w:r>
      <w:r>
        <w:rPr>
          <w:rFonts w:hint="eastAsia" w:ascii="仿宋_GB2312" w:hAnsi="仿宋_GB2312" w:eastAsia="仿宋_GB2312" w:cs="仿宋_GB2312"/>
          <w:color w:val="auto"/>
          <w:sz w:val="24"/>
          <w:szCs w:val="24"/>
          <w:highlight w:val="none"/>
        </w:rPr>
        <w:t>）：</w:t>
      </w:r>
    </w:p>
    <w:p w14:paraId="2AF3106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仿宋" w:hAnsi="仿宋" w:eastAsia="仿宋" w:cs="仿宋"/>
          <w:color w:val="auto"/>
          <w:sz w:val="24"/>
          <w:highlight w:val="none"/>
        </w:r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lang w:eastAsia="zh-CN"/>
        </w:rPr>
        <w:t>：</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p>
    <w:p w14:paraId="6903D8E5">
      <w:pPr>
        <w:pStyle w:val="2"/>
        <w:pageBreakBefore w:val="0"/>
        <w:widowControl w:val="0"/>
        <w:kinsoku/>
        <w:wordWrap/>
        <w:overflowPunct/>
        <w:topLinePunct w:val="0"/>
        <w:bidi w:val="0"/>
        <w:snapToGrid/>
        <w:rPr>
          <w:rFonts w:hint="eastAsia"/>
          <w:color w:val="auto"/>
        </w:rPr>
      </w:pPr>
    </w:p>
    <w:p w14:paraId="69560300">
      <w:pPr>
        <w:pageBreakBefore w:val="0"/>
        <w:widowControl w:val="0"/>
        <w:kinsoku/>
        <w:wordWrap/>
        <w:overflowPunct/>
        <w:topLinePunct w:val="0"/>
        <w:bidi w:val="0"/>
        <w:snapToGrid/>
        <w:rPr>
          <w:rFonts w:hint="eastAsia" w:ascii="仿宋" w:hAnsi="仿宋" w:eastAsia="仿宋" w:cs="仿宋"/>
          <w:b/>
          <w:color w:val="auto"/>
          <w:sz w:val="30"/>
          <w:szCs w:val="30"/>
          <w:highlight w:val="none"/>
          <w:lang w:eastAsia="zh-CN"/>
        </w:rPr>
      </w:pPr>
      <w:bookmarkStart w:id="331" w:name="_Toc15616"/>
      <w:bookmarkStart w:id="332" w:name="_Toc26460"/>
      <w:r>
        <w:rPr>
          <w:rFonts w:hint="eastAsia" w:ascii="仿宋" w:hAnsi="仿宋" w:eastAsia="仿宋" w:cs="仿宋"/>
          <w:b/>
          <w:color w:val="auto"/>
          <w:sz w:val="30"/>
          <w:szCs w:val="30"/>
          <w:highlight w:val="none"/>
          <w:lang w:eastAsia="zh-CN"/>
        </w:rPr>
        <w:br w:type="page"/>
      </w:r>
    </w:p>
    <w:p w14:paraId="5E58DDB6">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auto"/>
          <w:sz w:val="30"/>
          <w:szCs w:val="30"/>
          <w:highlight w:val="none"/>
          <w:lang w:val="en-US" w:eastAsia="zh-CN"/>
        </w:rPr>
      </w:pPr>
      <w:bookmarkStart w:id="333" w:name="_Toc16509"/>
      <w:bookmarkStart w:id="334" w:name="_Toc14801"/>
      <w:r>
        <w:rPr>
          <w:rFonts w:hint="eastAsia" w:ascii="仿宋" w:hAnsi="仿宋" w:eastAsia="仿宋" w:cs="仿宋"/>
          <w:b/>
          <w:bCs/>
          <w:color w:val="auto"/>
          <w:sz w:val="30"/>
          <w:szCs w:val="30"/>
          <w:highlight w:val="none"/>
          <w:lang w:val="en-US" w:eastAsia="zh-CN"/>
        </w:rPr>
        <w:t>格式14承诺函2</w:t>
      </w:r>
      <w:bookmarkEnd w:id="331"/>
      <w:bookmarkEnd w:id="332"/>
      <w:bookmarkEnd w:id="333"/>
      <w:bookmarkEnd w:id="334"/>
    </w:p>
    <w:p w14:paraId="193129C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承诺函</w:t>
      </w:r>
      <w:r>
        <w:rPr>
          <w:rFonts w:hint="eastAsia" w:ascii="仿宋" w:hAnsi="仿宋" w:eastAsia="仿宋" w:cs="仿宋"/>
          <w:b/>
          <w:bCs/>
          <w:color w:val="auto"/>
          <w:sz w:val="28"/>
          <w:szCs w:val="28"/>
          <w:highlight w:val="none"/>
          <w:lang w:val="en-US" w:eastAsia="zh-CN"/>
        </w:rPr>
        <w:t>2</w:t>
      </w:r>
    </w:p>
    <w:p w14:paraId="36DEA804">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四川虹采招标代理有限责任公司：</w:t>
      </w:r>
    </w:p>
    <w:p w14:paraId="6794E8EC">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outlineLvl w:val="9"/>
        <w:rPr>
          <w:rFonts w:ascii="仿宋" w:hAnsi="仿宋" w:eastAsia="仿宋"/>
          <w:color w:val="auto"/>
          <w:sz w:val="24"/>
        </w:rPr>
      </w:pPr>
    </w:p>
    <w:p w14:paraId="1C6336E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rPr>
        <w:t>我方作为本次采购项目的投标人，根据招标文件要求，现郑重承诺如下：</w:t>
      </w:r>
    </w:p>
    <w:p w14:paraId="0799C7E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lang w:eastAsia="zh-CN"/>
        </w:rPr>
        <w:t>一</w:t>
      </w:r>
      <w:r>
        <w:rPr>
          <w:rFonts w:hint="eastAsia" w:ascii="仿宋" w:hAnsi="仿宋" w:eastAsia="仿宋"/>
          <w:color w:val="auto"/>
          <w:sz w:val="24"/>
        </w:rPr>
        <w:t>、参加本次招标采购活动，不存在与单位负责人为同一人或者存在直接控股、管理关系的其他</w:t>
      </w:r>
      <w:r>
        <w:rPr>
          <w:rFonts w:hint="eastAsia" w:ascii="仿宋" w:hAnsi="仿宋" w:eastAsia="仿宋"/>
          <w:color w:val="auto"/>
          <w:sz w:val="24"/>
          <w:lang w:eastAsia="zh-CN"/>
        </w:rPr>
        <w:t>投标人</w:t>
      </w:r>
      <w:r>
        <w:rPr>
          <w:rFonts w:hint="eastAsia" w:ascii="仿宋" w:hAnsi="仿宋" w:eastAsia="仿宋"/>
          <w:color w:val="auto"/>
          <w:sz w:val="24"/>
        </w:rPr>
        <w:t>参与同一合同项下的采购活动的行为。</w:t>
      </w:r>
    </w:p>
    <w:p w14:paraId="500790C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lang w:eastAsia="zh-CN"/>
        </w:rPr>
        <w:t>二</w:t>
      </w:r>
      <w:r>
        <w:rPr>
          <w:rFonts w:ascii="仿宋" w:hAnsi="仿宋" w:eastAsia="仿宋"/>
          <w:color w:val="auto"/>
          <w:sz w:val="24"/>
        </w:rPr>
        <w:t>、</w:t>
      </w:r>
      <w:r>
        <w:rPr>
          <w:rFonts w:hint="eastAsia" w:ascii="仿宋" w:hAnsi="仿宋" w:eastAsia="仿宋"/>
          <w:color w:val="auto"/>
          <w:sz w:val="24"/>
        </w:rPr>
        <w:t>为采购项目提供整体设计、规范编制或者项目管理、监理、检测等服务的</w:t>
      </w:r>
      <w:r>
        <w:rPr>
          <w:rFonts w:hint="eastAsia" w:ascii="仿宋" w:hAnsi="仿宋" w:eastAsia="仿宋"/>
          <w:color w:val="auto"/>
          <w:sz w:val="24"/>
          <w:lang w:eastAsia="zh-CN"/>
        </w:rPr>
        <w:t>投标人</w:t>
      </w:r>
      <w:r>
        <w:rPr>
          <w:rFonts w:hint="eastAsia" w:ascii="仿宋" w:hAnsi="仿宋" w:eastAsia="仿宋"/>
          <w:color w:val="auto"/>
          <w:sz w:val="24"/>
        </w:rPr>
        <w:t>，不得再参加该采购项目的其他采购活动，我方</w:t>
      </w:r>
      <w:r>
        <w:rPr>
          <w:rFonts w:ascii="仿宋" w:hAnsi="仿宋" w:eastAsia="仿宋"/>
          <w:color w:val="auto"/>
          <w:sz w:val="24"/>
        </w:rPr>
        <w:t>承诺</w:t>
      </w:r>
      <w:r>
        <w:rPr>
          <w:rFonts w:hint="eastAsia" w:ascii="仿宋" w:hAnsi="仿宋" w:eastAsia="仿宋"/>
          <w:color w:val="auto"/>
          <w:sz w:val="24"/>
        </w:rPr>
        <w:t>不属于此类禁止参加本项目的</w:t>
      </w:r>
      <w:r>
        <w:rPr>
          <w:rFonts w:hint="eastAsia" w:ascii="仿宋" w:hAnsi="仿宋" w:eastAsia="仿宋"/>
          <w:color w:val="auto"/>
          <w:sz w:val="24"/>
          <w:lang w:eastAsia="zh-CN"/>
        </w:rPr>
        <w:t>投标人</w:t>
      </w:r>
      <w:r>
        <w:rPr>
          <w:rFonts w:ascii="仿宋" w:hAnsi="仿宋" w:eastAsia="仿宋"/>
          <w:color w:val="auto"/>
          <w:sz w:val="24"/>
        </w:rPr>
        <w:t>。</w:t>
      </w:r>
    </w:p>
    <w:p w14:paraId="25DBE77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lang w:eastAsia="zh-CN"/>
        </w:rPr>
        <w:t>三</w:t>
      </w:r>
      <w:r>
        <w:rPr>
          <w:rFonts w:hint="eastAsia" w:ascii="仿宋" w:hAnsi="仿宋" w:eastAsia="仿宋"/>
          <w:color w:val="auto"/>
          <w:sz w:val="24"/>
        </w:rPr>
        <w:t>、参加本次招标采购活动，不存在和其他</w:t>
      </w:r>
      <w:r>
        <w:rPr>
          <w:rFonts w:hint="eastAsia" w:ascii="仿宋" w:hAnsi="仿宋" w:eastAsia="仿宋"/>
          <w:color w:val="auto"/>
          <w:sz w:val="24"/>
          <w:lang w:eastAsia="zh-CN"/>
        </w:rPr>
        <w:t>投标人</w:t>
      </w:r>
      <w:r>
        <w:rPr>
          <w:rFonts w:hint="eastAsia" w:ascii="仿宋" w:hAnsi="仿宋" w:eastAsia="仿宋"/>
          <w:color w:val="auto"/>
          <w:sz w:val="24"/>
        </w:rPr>
        <w:t>在同一合同项下的采购项目中，同时委托同一个自然人、同一家庭的人员、同一单位的人员作为代理人的行为。</w:t>
      </w:r>
    </w:p>
    <w:p w14:paraId="599466B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lang w:eastAsia="zh-CN"/>
        </w:rPr>
        <w:t>四</w:t>
      </w:r>
      <w:r>
        <w:rPr>
          <w:rFonts w:hint="eastAsia" w:ascii="仿宋" w:hAnsi="仿宋" w:eastAsia="仿宋"/>
          <w:color w:val="auto"/>
          <w:sz w:val="24"/>
        </w:rPr>
        <w:t>、投标文件中提供的能够给予</w:t>
      </w:r>
      <w:r>
        <w:rPr>
          <w:rFonts w:hint="eastAsia" w:ascii="仿宋" w:hAnsi="仿宋" w:eastAsia="仿宋"/>
          <w:color w:val="auto"/>
          <w:sz w:val="24"/>
          <w:lang w:eastAsia="zh-CN"/>
        </w:rPr>
        <w:t>招标人</w:t>
      </w:r>
      <w:r>
        <w:rPr>
          <w:rFonts w:hint="eastAsia" w:ascii="仿宋" w:hAnsi="仿宋" w:eastAsia="仿宋"/>
          <w:color w:val="auto"/>
          <w:sz w:val="24"/>
        </w:rPr>
        <w:t>带来优惠、好处的任何材料资料和技术、服务、商务、</w:t>
      </w:r>
      <w:r>
        <w:rPr>
          <w:rFonts w:hint="eastAsia" w:ascii="仿宋" w:hAnsi="仿宋" w:eastAsia="仿宋"/>
          <w:color w:val="auto"/>
          <w:sz w:val="24"/>
          <w:lang w:eastAsia="zh-CN"/>
        </w:rPr>
        <w:t>投标</w:t>
      </w:r>
      <w:r>
        <w:rPr>
          <w:rFonts w:hint="eastAsia" w:ascii="仿宋" w:hAnsi="仿宋" w:eastAsia="仿宋"/>
          <w:color w:val="auto"/>
          <w:sz w:val="24"/>
        </w:rPr>
        <w:t>产品等响应承诺情况都是真实的、有效的、合法的。</w:t>
      </w:r>
    </w:p>
    <w:p w14:paraId="0872170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lang w:eastAsia="zh-CN"/>
        </w:rPr>
        <w:t>五</w:t>
      </w:r>
      <w:r>
        <w:rPr>
          <w:rFonts w:hint="eastAsia" w:ascii="仿宋" w:hAnsi="仿宋" w:eastAsia="仿宋"/>
          <w:color w:val="auto"/>
          <w:sz w:val="24"/>
        </w:rPr>
        <w:t>、</w:t>
      </w:r>
      <w:r>
        <w:rPr>
          <w:rFonts w:hint="eastAsia" w:ascii="仿宋" w:hAnsi="仿宋" w:eastAsia="仿宋"/>
          <w:color w:val="auto"/>
          <w:sz w:val="24"/>
        </w:rPr>
        <w:t>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2083F96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lang w:eastAsia="zh-CN"/>
        </w:rPr>
        <w:t>六</w:t>
      </w:r>
      <w:r>
        <w:rPr>
          <w:rFonts w:hint="eastAsia" w:ascii="仿宋" w:hAnsi="仿宋" w:eastAsia="仿宋"/>
          <w:color w:val="auto"/>
          <w:sz w:val="24"/>
        </w:rPr>
        <w:t>、参加本次招标采购活动，</w:t>
      </w:r>
      <w:r>
        <w:rPr>
          <w:rFonts w:ascii="仿宋" w:hAnsi="仿宋" w:eastAsia="仿宋"/>
          <w:color w:val="auto"/>
          <w:sz w:val="24"/>
        </w:rPr>
        <w:t>我方</w:t>
      </w:r>
      <w:r>
        <w:rPr>
          <w:rFonts w:hint="eastAsia" w:ascii="仿宋" w:hAnsi="仿宋" w:eastAsia="仿宋"/>
          <w:color w:val="auto"/>
          <w:sz w:val="24"/>
        </w:rPr>
        <w:t>完全同意</w:t>
      </w:r>
      <w:r>
        <w:rPr>
          <w:rFonts w:ascii="仿宋" w:hAnsi="仿宋" w:eastAsia="仿宋"/>
          <w:color w:val="auto"/>
          <w:sz w:val="24"/>
        </w:rPr>
        <w:t>招标文件关于“</w:t>
      </w:r>
      <w:r>
        <w:rPr>
          <w:rFonts w:hint="eastAsia" w:ascii="仿宋" w:hAnsi="仿宋" w:eastAsia="仿宋"/>
          <w:color w:val="auto"/>
          <w:sz w:val="24"/>
        </w:rPr>
        <w:t>投标</w:t>
      </w:r>
      <w:r>
        <w:rPr>
          <w:rFonts w:ascii="仿宋" w:hAnsi="仿宋" w:eastAsia="仿宋"/>
          <w:color w:val="auto"/>
          <w:sz w:val="24"/>
        </w:rPr>
        <w:t>费用”</w:t>
      </w:r>
      <w:r>
        <w:rPr>
          <w:rFonts w:hint="eastAsia" w:ascii="仿宋" w:hAnsi="仿宋" w:eastAsia="仿宋"/>
          <w:color w:val="auto"/>
          <w:sz w:val="24"/>
        </w:rPr>
        <w:t>、“合同</w:t>
      </w:r>
      <w:r>
        <w:rPr>
          <w:rFonts w:ascii="仿宋" w:hAnsi="仿宋" w:eastAsia="仿宋"/>
          <w:color w:val="auto"/>
          <w:sz w:val="24"/>
        </w:rPr>
        <w:t>分包</w:t>
      </w:r>
      <w:r>
        <w:rPr>
          <w:rFonts w:hint="eastAsia" w:ascii="仿宋" w:hAnsi="仿宋" w:eastAsia="仿宋"/>
          <w:color w:val="auto"/>
          <w:sz w:val="24"/>
        </w:rPr>
        <w:t>”、</w:t>
      </w:r>
      <w:r>
        <w:rPr>
          <w:rFonts w:ascii="仿宋" w:hAnsi="仿宋" w:eastAsia="仿宋"/>
          <w:color w:val="auto"/>
          <w:sz w:val="24"/>
        </w:rPr>
        <w:t>“</w:t>
      </w:r>
      <w:r>
        <w:rPr>
          <w:rFonts w:hint="eastAsia" w:ascii="仿宋" w:hAnsi="仿宋" w:eastAsia="仿宋"/>
          <w:color w:val="auto"/>
          <w:sz w:val="24"/>
        </w:rPr>
        <w:t>合同</w:t>
      </w:r>
      <w:r>
        <w:rPr>
          <w:rFonts w:ascii="仿宋" w:hAnsi="仿宋" w:eastAsia="仿宋"/>
          <w:color w:val="auto"/>
          <w:sz w:val="24"/>
        </w:rPr>
        <w:t>转包”</w:t>
      </w:r>
      <w:r>
        <w:rPr>
          <w:rFonts w:hint="eastAsia" w:ascii="仿宋" w:hAnsi="仿宋" w:eastAsia="仿宋"/>
          <w:color w:val="auto"/>
          <w:sz w:val="24"/>
          <w:lang w:val="en-US" w:eastAsia="zh-CN"/>
        </w:rPr>
        <w:t>等</w:t>
      </w:r>
      <w:r>
        <w:rPr>
          <w:rFonts w:ascii="仿宋" w:hAnsi="仿宋" w:eastAsia="仿宋"/>
          <w:color w:val="auto"/>
          <w:sz w:val="24"/>
        </w:rPr>
        <w:t>实质性要求</w:t>
      </w:r>
      <w:r>
        <w:rPr>
          <w:rFonts w:hint="eastAsia" w:ascii="仿宋" w:hAnsi="仿宋" w:eastAsia="仿宋"/>
          <w:color w:val="auto"/>
          <w:sz w:val="24"/>
        </w:rPr>
        <w:t>，</w:t>
      </w:r>
      <w:r>
        <w:rPr>
          <w:rFonts w:ascii="仿宋" w:hAnsi="仿宋" w:eastAsia="仿宋"/>
          <w:color w:val="auto"/>
          <w:sz w:val="24"/>
        </w:rPr>
        <w:t>并承诺严格按照招标文件要求</w:t>
      </w:r>
      <w:r>
        <w:rPr>
          <w:rFonts w:hint="eastAsia" w:ascii="仿宋" w:hAnsi="仿宋" w:eastAsia="仿宋"/>
          <w:color w:val="auto"/>
          <w:sz w:val="24"/>
        </w:rPr>
        <w:t>履行</w:t>
      </w:r>
      <w:r>
        <w:rPr>
          <w:rFonts w:ascii="仿宋" w:hAnsi="仿宋" w:eastAsia="仿宋"/>
          <w:color w:val="auto"/>
          <w:sz w:val="24"/>
        </w:rPr>
        <w:t>。</w:t>
      </w:r>
    </w:p>
    <w:p w14:paraId="0F9686A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rPr>
        <w:t>我方对上述承诺的内容事项真实性负责。如经查实上述承诺的内容事项存在虚假，我方愿意接受以提供虚假材料谋取中标追究法律责任。</w:t>
      </w:r>
    </w:p>
    <w:p w14:paraId="205E4618">
      <w:pPr>
        <w:keepNext w:val="0"/>
        <w:keepLines w:val="0"/>
        <w:pageBreakBefore w:val="0"/>
        <w:widowControl w:val="0"/>
        <w:tabs>
          <w:tab w:val="left" w:pos="8127"/>
        </w:tabs>
        <w:kinsoku/>
        <w:wordWrap/>
        <w:overflowPunct/>
        <w:topLinePunct w:val="0"/>
        <w:autoSpaceDE/>
        <w:autoSpaceDN/>
        <w:bidi w:val="0"/>
        <w:adjustRightInd/>
        <w:snapToGrid/>
        <w:spacing w:after="0" w:line="360" w:lineRule="auto"/>
        <w:ind w:firstLine="0" w:firstLineChars="0"/>
        <w:jc w:val="left"/>
        <w:textAlignment w:val="auto"/>
        <w:outlineLvl w:val="9"/>
        <w:rPr>
          <w:rFonts w:hint="eastAsia" w:ascii="仿宋" w:hAnsi="仿宋" w:eastAsia="仿宋"/>
          <w:color w:val="auto"/>
          <w:sz w:val="24"/>
        </w:rPr>
      </w:pPr>
    </w:p>
    <w:p w14:paraId="76877F8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Times New Roman"/>
          <w:color w:val="auto"/>
          <w:sz w:val="24"/>
        </w:rPr>
      </w:pPr>
    </w:p>
    <w:p w14:paraId="7C998BB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Times New Roman"/>
          <w:color w:val="auto"/>
          <w:sz w:val="24"/>
        </w:rPr>
      </w:pPr>
      <w:r>
        <w:rPr>
          <w:rFonts w:hint="eastAsia" w:ascii="仿宋" w:hAnsi="仿宋" w:eastAsia="仿宋" w:cs="Times New Roman"/>
          <w:color w:val="auto"/>
          <w:sz w:val="24"/>
        </w:rPr>
        <w:t>投标人名称（</w:t>
      </w:r>
      <w:r>
        <w:rPr>
          <w:rFonts w:hint="eastAsia" w:ascii="仿宋" w:hAnsi="仿宋" w:eastAsia="仿宋" w:cs="Times New Roman"/>
          <w:color w:val="auto"/>
          <w:sz w:val="24"/>
          <w:lang w:eastAsia="zh-CN"/>
        </w:rPr>
        <w:t>加盖</w:t>
      </w:r>
      <w:r>
        <w:rPr>
          <w:rFonts w:hint="eastAsia" w:ascii="仿宋" w:hAnsi="仿宋" w:eastAsia="仿宋" w:cs="Times New Roman"/>
          <w:color w:val="auto"/>
          <w:sz w:val="24"/>
        </w:rPr>
        <w:t>公章）：</w:t>
      </w:r>
      <w:r>
        <w:rPr>
          <w:rFonts w:hint="eastAsia" w:ascii="仿宋" w:hAnsi="仿宋" w:eastAsia="仿宋" w:cs="Times New Roman"/>
          <w:color w:val="auto"/>
          <w:sz w:val="24"/>
        </w:rPr>
        <w:tab/>
      </w:r>
    </w:p>
    <w:p w14:paraId="5D73CF4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Times New Roman"/>
          <w:color w:val="auto"/>
          <w:sz w:val="24"/>
        </w:rPr>
      </w:pPr>
      <w:r>
        <w:rPr>
          <w:rFonts w:hint="eastAsia" w:ascii="仿宋" w:hAnsi="仿宋" w:eastAsia="仿宋" w:cs="Times New Roman"/>
          <w:color w:val="auto"/>
          <w:sz w:val="24"/>
        </w:rPr>
        <w:t>日期：XXX年XXX月XXX日</w:t>
      </w:r>
    </w:p>
    <w:p w14:paraId="52F2248D">
      <w:pPr>
        <w:pageBreakBefore w:val="0"/>
        <w:widowControl w:val="0"/>
        <w:kinsoku/>
        <w:wordWrap/>
        <w:overflowPunct/>
        <w:topLinePunct w:val="0"/>
        <w:bidi w:val="0"/>
        <w:snapToGrid/>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br w:type="page"/>
      </w:r>
    </w:p>
    <w:p w14:paraId="27F7EC6C">
      <w:pPr>
        <w:pStyle w:val="61"/>
        <w:keepNext w:val="0"/>
        <w:keepLines w:val="0"/>
        <w:pageBreakBefore w:val="0"/>
        <w:widowControl w:val="0"/>
        <w:kinsoku/>
        <w:wordWrap/>
        <w:overflowPunct/>
        <w:topLinePunct w:val="0"/>
        <w:autoSpaceDE/>
        <w:autoSpaceDN/>
        <w:bidi w:val="0"/>
        <w:adjustRightInd/>
        <w:snapToGrid/>
        <w:spacing w:after="0" w:line="360" w:lineRule="auto"/>
        <w:ind w:right="0" w:rightChars="0"/>
        <w:jc w:val="both"/>
        <w:textAlignment w:val="auto"/>
        <w:outlineLvl w:val="1"/>
        <w:rPr>
          <w:rFonts w:hint="eastAsia" w:ascii="仿宋_GB2312"/>
          <w:b/>
          <w:color w:val="auto"/>
          <w:sz w:val="30"/>
          <w:szCs w:val="30"/>
          <w:highlight w:val="none"/>
        </w:rPr>
      </w:pPr>
      <w:bookmarkStart w:id="335" w:name="_Toc6694"/>
      <w:bookmarkStart w:id="336" w:name="_Toc4369"/>
      <w:bookmarkStart w:id="337" w:name="_Toc31836"/>
      <w:bookmarkStart w:id="338" w:name="_Toc11864"/>
      <w:r>
        <w:rPr>
          <w:rFonts w:hint="eastAsia" w:ascii="仿宋" w:hAnsi="仿宋" w:eastAsia="仿宋" w:cs="仿宋"/>
          <w:b/>
          <w:color w:val="auto"/>
          <w:sz w:val="30"/>
          <w:szCs w:val="30"/>
          <w:highlight w:val="none"/>
          <w:lang w:eastAsia="zh-CN"/>
        </w:rPr>
        <w:t>格式</w:t>
      </w:r>
      <w:r>
        <w:rPr>
          <w:rFonts w:hint="eastAsia" w:ascii="仿宋" w:hAnsi="仿宋" w:eastAsia="仿宋" w:cs="仿宋"/>
          <w:b/>
          <w:color w:val="auto"/>
          <w:sz w:val="30"/>
          <w:szCs w:val="30"/>
          <w:highlight w:val="none"/>
          <w:lang w:val="en-US" w:eastAsia="zh-CN"/>
        </w:rPr>
        <w:t>15投标</w:t>
      </w:r>
      <w:r>
        <w:rPr>
          <w:rFonts w:hint="eastAsia" w:ascii="仿宋" w:hAnsi="仿宋" w:eastAsia="仿宋" w:cs="仿宋"/>
          <w:b/>
          <w:color w:val="auto"/>
          <w:sz w:val="30"/>
          <w:szCs w:val="30"/>
          <w:highlight w:val="none"/>
          <w:lang w:eastAsia="zh-CN"/>
        </w:rPr>
        <w:t>函</w:t>
      </w:r>
      <w:bookmarkEnd w:id="335"/>
      <w:bookmarkEnd w:id="336"/>
      <w:bookmarkEnd w:id="337"/>
      <w:bookmarkEnd w:id="338"/>
    </w:p>
    <w:p w14:paraId="1EE7C097">
      <w:pPr>
        <w:pStyle w:val="61"/>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投标函</w:t>
      </w:r>
    </w:p>
    <w:p w14:paraId="4C27DA5F">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textAlignment w:val="auto"/>
        <w:rPr>
          <w:rFonts w:hint="eastAsia" w:ascii="仿宋" w:hAnsi="仿宋" w:eastAsia="仿宋" w:cs="仿宋"/>
          <w:color w:val="auto"/>
          <w:sz w:val="24"/>
          <w:szCs w:val="24"/>
          <w:highlight w:val="none"/>
          <w:u w:val="none"/>
          <w:lang w:eastAsia="zh-CN"/>
        </w:rPr>
      </w:pPr>
      <w:r>
        <w:rPr>
          <w:rFonts w:hint="eastAsia" w:ascii="宋体" w:hAnsi="宋体" w:eastAsia="宋体" w:cs="宋体"/>
          <w:color w:val="auto"/>
          <w:sz w:val="21"/>
          <w:szCs w:val="21"/>
          <w:highlight w:val="none"/>
          <w:u w:val="none"/>
        </w:rPr>
        <w:t xml:space="preserve"> </w:t>
      </w:r>
      <w:r>
        <w:rPr>
          <w:rFonts w:hint="eastAsia" w:ascii="仿宋" w:hAnsi="仿宋" w:eastAsia="仿宋" w:cs="仿宋"/>
          <w:color w:val="auto"/>
          <w:sz w:val="24"/>
          <w:szCs w:val="24"/>
          <w:highlight w:val="none"/>
          <w:u w:val="none"/>
          <w:lang w:eastAsia="zh-CN"/>
        </w:rPr>
        <w:t>四川虹采招标代理有限责任公司：</w:t>
      </w:r>
    </w:p>
    <w:p w14:paraId="18E9C545">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我方全面研</w:t>
      </w:r>
      <w:r>
        <w:rPr>
          <w:rFonts w:hint="eastAsia" w:ascii="仿宋" w:hAnsi="仿宋" w:eastAsia="仿宋" w:cs="仿宋"/>
          <w:color w:val="auto"/>
          <w:sz w:val="24"/>
          <w:szCs w:val="24"/>
          <w:highlight w:val="none"/>
        </w:rPr>
        <w:t>究了“</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招标编号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招标包号：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招标文件，决定参加贵单位组织的本项目投标。</w:t>
      </w:r>
    </w:p>
    <w:p w14:paraId="6103F435">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我方自愿按照招标文件规定的各项要求向</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提供所需</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我方</w:t>
      </w:r>
      <w:r>
        <w:rPr>
          <w:rFonts w:hint="eastAsia" w:ascii="仿宋" w:hAnsi="仿宋" w:eastAsia="仿宋" w:cs="仿宋"/>
          <w:color w:val="auto"/>
          <w:sz w:val="24"/>
          <w:szCs w:val="24"/>
          <w:highlight w:val="none"/>
        </w:rPr>
        <w:t>总投标价为人民</w:t>
      </w:r>
      <w:r>
        <w:rPr>
          <w:rFonts w:hint="eastAsia" w:ascii="仿宋" w:hAnsi="仿宋" w:eastAsia="仿宋" w:cs="仿宋"/>
          <w:color w:val="auto"/>
          <w:sz w:val="24"/>
          <w:szCs w:val="24"/>
          <w:highlight w:val="none"/>
          <w:lang w:eastAsia="zh-CN"/>
        </w:rPr>
        <w:t>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5F54D6E9">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、一旦我方中标，我方将严格按照招标文件第</w:t>
      </w:r>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章的规定的所有要求，向</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提供所需货物及服务，认真履行合同规定的责任和义务，并按照合同相关规定完成项目。</w:t>
      </w:r>
    </w:p>
    <w:p w14:paraId="1EBB1327">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、由于</w:t>
      </w:r>
      <w:r>
        <w:rPr>
          <w:rFonts w:hint="eastAsia" w:ascii="仿宋" w:hAnsi="仿宋" w:eastAsia="仿宋" w:cs="仿宋"/>
          <w:color w:val="auto"/>
          <w:sz w:val="24"/>
          <w:szCs w:val="24"/>
          <w:highlight w:val="none"/>
          <w:lang w:eastAsia="zh-CN"/>
        </w:rPr>
        <w:t>我方</w:t>
      </w:r>
      <w:r>
        <w:rPr>
          <w:rFonts w:hint="eastAsia" w:ascii="仿宋" w:hAnsi="仿宋" w:eastAsia="仿宋" w:cs="仿宋"/>
          <w:color w:val="auto"/>
          <w:sz w:val="24"/>
          <w:szCs w:val="24"/>
          <w:highlight w:val="none"/>
        </w:rPr>
        <w:t>原因未能按照招标文件的规定</w:t>
      </w:r>
      <w:r>
        <w:rPr>
          <w:rFonts w:hint="eastAsia" w:ascii="仿宋" w:hAnsi="仿宋" w:eastAsia="仿宋" w:cs="仿宋"/>
          <w:color w:val="auto"/>
          <w:sz w:val="24"/>
          <w:szCs w:val="24"/>
          <w:highlight w:val="none"/>
          <w:lang w:eastAsia="zh-CN"/>
        </w:rPr>
        <w:t>缴纳</w:t>
      </w:r>
      <w:r>
        <w:rPr>
          <w:rFonts w:hint="eastAsia" w:ascii="仿宋" w:hAnsi="仿宋" w:eastAsia="仿宋" w:cs="仿宋"/>
          <w:color w:val="auto"/>
          <w:sz w:val="24"/>
          <w:szCs w:val="24"/>
          <w:highlight w:val="none"/>
        </w:rPr>
        <w:t>履约保证金；</w:t>
      </w:r>
      <w:r>
        <w:rPr>
          <w:rFonts w:hint="eastAsia" w:ascii="仿宋" w:hAnsi="仿宋" w:eastAsia="仿宋" w:cs="仿宋"/>
          <w:color w:val="auto"/>
          <w:sz w:val="24"/>
          <w:szCs w:val="24"/>
          <w:highlight w:val="none"/>
          <w:lang w:eastAsia="zh-CN"/>
        </w:rPr>
        <w:t>我方</w:t>
      </w:r>
      <w:r>
        <w:rPr>
          <w:rFonts w:hint="eastAsia" w:ascii="仿宋" w:hAnsi="仿宋" w:eastAsia="仿宋" w:cs="仿宋"/>
          <w:color w:val="auto"/>
          <w:sz w:val="24"/>
          <w:szCs w:val="24"/>
          <w:highlight w:val="none"/>
        </w:rPr>
        <w:t>在投标文件中提供虚假材料的；投标人与</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、其他投标人恶意串通的；</w:t>
      </w:r>
      <w:r>
        <w:rPr>
          <w:rFonts w:hint="eastAsia" w:ascii="仿宋" w:hAnsi="仿宋" w:eastAsia="仿宋" w:cs="仿宋"/>
          <w:color w:val="auto"/>
          <w:sz w:val="24"/>
          <w:szCs w:val="24"/>
          <w:highlight w:val="none"/>
          <w:lang w:eastAsia="zh-CN"/>
        </w:rPr>
        <w:t>我方</w:t>
      </w:r>
      <w:r>
        <w:rPr>
          <w:rFonts w:hint="eastAsia" w:ascii="仿宋" w:hAnsi="仿宋" w:eastAsia="仿宋" w:cs="仿宋"/>
          <w:color w:val="auto"/>
          <w:sz w:val="24"/>
          <w:szCs w:val="24"/>
          <w:highlight w:val="none"/>
        </w:rPr>
        <w:t>在招标活动中还有其他任何违法、违纪</w:t>
      </w:r>
      <w:r>
        <w:rPr>
          <w:rFonts w:hint="eastAsia" w:ascii="仿宋" w:hAnsi="仿宋" w:eastAsia="仿宋" w:cs="仿宋"/>
          <w:color w:val="auto"/>
          <w:sz w:val="24"/>
          <w:szCs w:val="24"/>
          <w:highlight w:val="none"/>
          <w:lang w:eastAsia="zh-CN"/>
        </w:rPr>
        <w:t>、违规</w:t>
      </w:r>
      <w:r>
        <w:rPr>
          <w:rFonts w:hint="eastAsia" w:ascii="仿宋" w:hAnsi="仿宋" w:eastAsia="仿宋" w:cs="仿宋"/>
          <w:color w:val="auto"/>
          <w:sz w:val="24"/>
          <w:szCs w:val="24"/>
          <w:highlight w:val="none"/>
        </w:rPr>
        <w:t>行为的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将视为无效投标人。</w:t>
      </w:r>
    </w:p>
    <w:p w14:paraId="5E8DBEF2">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我方为本项目提交的投标文件正本</w:t>
      </w: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份，</w:t>
      </w:r>
      <w:r>
        <w:rPr>
          <w:rFonts w:hint="eastAsia" w:ascii="仿宋" w:hAnsi="仿宋" w:eastAsia="仿宋" w:cs="仿宋"/>
          <w:color w:val="auto"/>
          <w:sz w:val="24"/>
          <w:szCs w:val="24"/>
          <w:highlight w:val="none"/>
          <w:lang w:eastAsia="zh-CN"/>
        </w:rPr>
        <w:t>电子版</w:t>
      </w:r>
      <w:r>
        <w:rPr>
          <w:rFonts w:hint="eastAsia" w:ascii="仿宋" w:hAnsi="仿宋" w:eastAsia="仿宋" w:cs="仿宋"/>
          <w:color w:val="auto"/>
          <w:sz w:val="24"/>
          <w:szCs w:val="24"/>
          <w:highlight w:val="none"/>
          <w:lang w:val="en-US" w:eastAsia="zh-CN"/>
        </w:rPr>
        <w:t>一份，</w:t>
      </w:r>
      <w:r>
        <w:rPr>
          <w:rFonts w:hint="eastAsia" w:ascii="仿宋" w:hAnsi="仿宋" w:eastAsia="仿宋" w:cs="仿宋"/>
          <w:color w:val="auto"/>
          <w:sz w:val="24"/>
          <w:szCs w:val="24"/>
          <w:highlight w:val="none"/>
        </w:rPr>
        <w:t>用于开标唱标的“开标一览表”</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份。</w:t>
      </w:r>
    </w:p>
    <w:p w14:paraId="1CF7807B">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五、我方已详细审查全部招标文件，包括修改文件（如有）以及全部参考资料和有关附件。我方已完全理解并同意放弃对此有不清楚、误解以及对招标文件内容质疑的权利。</w:t>
      </w:r>
    </w:p>
    <w:p w14:paraId="0918A57A">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六、投标有效期：投标截止时间届满后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天。</w:t>
      </w:r>
    </w:p>
    <w:p w14:paraId="516790F8">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、我方</w:t>
      </w:r>
      <w:r>
        <w:rPr>
          <w:rFonts w:hint="eastAsia" w:ascii="仿宋" w:hAnsi="仿宋" w:eastAsia="仿宋" w:cs="仿宋"/>
          <w:color w:val="auto"/>
          <w:sz w:val="24"/>
          <w:szCs w:val="24"/>
          <w:highlight w:val="none"/>
        </w:rPr>
        <w:t>保证已提供和将要提供的文件资料是真实、准确的</w:t>
      </w:r>
      <w:r>
        <w:rPr>
          <w:rFonts w:hint="eastAsia" w:ascii="仿宋" w:hAnsi="仿宋" w:eastAsia="仿宋" w:cs="仿宋"/>
          <w:color w:val="auto"/>
          <w:sz w:val="24"/>
          <w:szCs w:val="24"/>
          <w:highlight w:val="none"/>
          <w:lang w:eastAsia="zh-CN"/>
        </w:rPr>
        <w:t>并对</w:t>
      </w:r>
      <w:r>
        <w:rPr>
          <w:rFonts w:hint="eastAsia" w:ascii="仿宋" w:hAnsi="仿宋" w:eastAsia="仿宋" w:cs="仿宋"/>
          <w:color w:val="auto"/>
          <w:sz w:val="24"/>
          <w:szCs w:val="24"/>
          <w:highlight w:val="none"/>
        </w:rPr>
        <w:t>其真实性、合法性承担一切法律责任。</w:t>
      </w:r>
    </w:p>
    <w:p w14:paraId="02D4D670">
      <w:pPr>
        <w:pStyle w:val="6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200" w:right="0" w:right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八、我方完全同意按照招标文件的相关规定，支付招标代理服务费。</w:t>
      </w:r>
    </w:p>
    <w:p w14:paraId="7B0FC53A">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p>
    <w:p w14:paraId="74E2DFE1">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p>
    <w:p w14:paraId="24ECC2B4">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lang w:eastAsia="zh-CN"/>
        </w:rPr>
        <w:t>加盖</w:t>
      </w:r>
      <w:r>
        <w:rPr>
          <w:rFonts w:hint="eastAsia" w:ascii="仿宋" w:hAnsi="仿宋" w:eastAsia="仿宋" w:cs="仿宋"/>
          <w:color w:val="auto"/>
          <w:sz w:val="24"/>
          <w:szCs w:val="24"/>
          <w:highlight w:val="none"/>
        </w:rPr>
        <w:t>公章）：</w:t>
      </w:r>
    </w:p>
    <w:p w14:paraId="0D91B6BD">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日期：XXX年XXX月XXX日</w:t>
      </w:r>
    </w:p>
    <w:p w14:paraId="5EAE6668">
      <w:pPr>
        <w:pageBreakBefore w:val="0"/>
        <w:widowControl w:val="0"/>
        <w:kinsoku/>
        <w:wordWrap/>
        <w:overflowPunct/>
        <w:topLinePunct w:val="0"/>
        <w:bidi w:val="0"/>
        <w:snapToGrid/>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br w:type="page"/>
      </w:r>
    </w:p>
    <w:p w14:paraId="3BCF47C9">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bCs/>
          <w:color w:val="auto"/>
          <w:sz w:val="30"/>
          <w:szCs w:val="30"/>
          <w:highlight w:val="none"/>
        </w:rPr>
      </w:pPr>
      <w:bookmarkStart w:id="339" w:name="_Toc5960"/>
      <w:bookmarkStart w:id="340" w:name="_Toc10738"/>
      <w:bookmarkStart w:id="341" w:name="_Toc6290"/>
      <w:bookmarkStart w:id="342" w:name="_Toc23157"/>
      <w:bookmarkStart w:id="343" w:name="_Toc6872"/>
      <w:r>
        <w:rPr>
          <w:rFonts w:hint="eastAsia" w:ascii="仿宋" w:hAnsi="仿宋" w:eastAsia="仿宋" w:cs="仿宋"/>
          <w:b/>
          <w:color w:val="auto"/>
          <w:sz w:val="30"/>
          <w:szCs w:val="30"/>
          <w:highlight w:val="none"/>
          <w:lang w:val="en-US" w:eastAsia="zh-CN"/>
        </w:rPr>
        <w:t>格式16投标人基本情况表</w:t>
      </w:r>
      <w:bookmarkEnd w:id="339"/>
      <w:bookmarkEnd w:id="340"/>
      <w:bookmarkEnd w:id="341"/>
      <w:bookmarkEnd w:id="342"/>
      <w:bookmarkEnd w:id="343"/>
    </w:p>
    <w:p w14:paraId="2644FD07">
      <w:pPr>
        <w:pageBreakBefore w:val="0"/>
        <w:widowControl w:val="0"/>
        <w:kinsoku/>
        <w:wordWrap/>
        <w:overflowPunct/>
        <w:topLinePunct w:val="0"/>
        <w:bidi w:val="0"/>
        <w:snapToGrid/>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投标人基本情况表</w:t>
      </w:r>
    </w:p>
    <w:tbl>
      <w:tblPr>
        <w:tblStyle w:val="32"/>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153"/>
        <w:gridCol w:w="192"/>
        <w:gridCol w:w="1345"/>
        <w:gridCol w:w="1344"/>
        <w:gridCol w:w="449"/>
        <w:gridCol w:w="512"/>
        <w:gridCol w:w="384"/>
        <w:gridCol w:w="898"/>
        <w:gridCol w:w="314"/>
        <w:gridCol w:w="133"/>
        <w:gridCol w:w="1345"/>
      </w:tblGrid>
      <w:tr w14:paraId="2627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9" w:type="dxa"/>
            <w:noWrap w:val="0"/>
            <w:vAlign w:val="center"/>
          </w:tcPr>
          <w:p w14:paraId="5CDBA13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名称</w:t>
            </w:r>
          </w:p>
        </w:tc>
        <w:tc>
          <w:tcPr>
            <w:tcW w:w="8069" w:type="dxa"/>
            <w:gridSpan w:val="11"/>
            <w:noWrap w:val="0"/>
            <w:vAlign w:val="center"/>
          </w:tcPr>
          <w:p w14:paraId="24FDD41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15AB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29" w:type="dxa"/>
            <w:noWrap w:val="0"/>
            <w:vAlign w:val="center"/>
          </w:tcPr>
          <w:p w14:paraId="203C399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注册地址</w:t>
            </w:r>
          </w:p>
        </w:tc>
        <w:tc>
          <w:tcPr>
            <w:tcW w:w="4995" w:type="dxa"/>
            <w:gridSpan w:val="6"/>
            <w:noWrap w:val="0"/>
            <w:vAlign w:val="center"/>
          </w:tcPr>
          <w:p w14:paraId="08308A5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596" w:type="dxa"/>
            <w:gridSpan w:val="3"/>
            <w:noWrap w:val="0"/>
            <w:vAlign w:val="center"/>
          </w:tcPr>
          <w:p w14:paraId="3EE47717">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邮政编码</w:t>
            </w:r>
          </w:p>
        </w:tc>
        <w:tc>
          <w:tcPr>
            <w:tcW w:w="1478" w:type="dxa"/>
            <w:gridSpan w:val="2"/>
            <w:noWrap w:val="0"/>
            <w:vAlign w:val="center"/>
          </w:tcPr>
          <w:p w14:paraId="661B156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2DFD8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29" w:type="dxa"/>
            <w:vMerge w:val="restart"/>
            <w:noWrap w:val="0"/>
            <w:vAlign w:val="center"/>
          </w:tcPr>
          <w:p w14:paraId="45C493F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联系方式</w:t>
            </w:r>
          </w:p>
        </w:tc>
        <w:tc>
          <w:tcPr>
            <w:tcW w:w="1153" w:type="dxa"/>
            <w:noWrap w:val="0"/>
            <w:vAlign w:val="center"/>
          </w:tcPr>
          <w:p w14:paraId="3DC5925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p>
        </w:tc>
        <w:tc>
          <w:tcPr>
            <w:tcW w:w="3842" w:type="dxa"/>
            <w:gridSpan w:val="5"/>
            <w:noWrap w:val="0"/>
            <w:vAlign w:val="center"/>
          </w:tcPr>
          <w:p w14:paraId="15FD0C7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596" w:type="dxa"/>
            <w:gridSpan w:val="3"/>
            <w:noWrap w:val="0"/>
            <w:vAlign w:val="center"/>
          </w:tcPr>
          <w:p w14:paraId="707E5D9F">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1478" w:type="dxa"/>
            <w:gridSpan w:val="2"/>
            <w:noWrap w:val="0"/>
            <w:vAlign w:val="center"/>
          </w:tcPr>
          <w:p w14:paraId="75F3385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4CC9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29" w:type="dxa"/>
            <w:vMerge w:val="continue"/>
            <w:noWrap w:val="0"/>
            <w:vAlign w:val="center"/>
          </w:tcPr>
          <w:p w14:paraId="707F2E6E">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153" w:type="dxa"/>
            <w:noWrap w:val="0"/>
            <w:vAlign w:val="center"/>
          </w:tcPr>
          <w:p w14:paraId="3604AE7E">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传真</w:t>
            </w:r>
          </w:p>
        </w:tc>
        <w:tc>
          <w:tcPr>
            <w:tcW w:w="3842" w:type="dxa"/>
            <w:gridSpan w:val="5"/>
            <w:noWrap w:val="0"/>
            <w:vAlign w:val="center"/>
          </w:tcPr>
          <w:p w14:paraId="7C8BE8C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596" w:type="dxa"/>
            <w:gridSpan w:val="3"/>
            <w:noWrap w:val="0"/>
            <w:vAlign w:val="center"/>
          </w:tcPr>
          <w:p w14:paraId="5C93C7F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网址</w:t>
            </w:r>
          </w:p>
        </w:tc>
        <w:tc>
          <w:tcPr>
            <w:tcW w:w="1478" w:type="dxa"/>
            <w:gridSpan w:val="2"/>
            <w:noWrap w:val="0"/>
            <w:vAlign w:val="center"/>
          </w:tcPr>
          <w:p w14:paraId="31C8FF8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1F8E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29" w:type="dxa"/>
            <w:noWrap w:val="0"/>
            <w:vAlign w:val="center"/>
          </w:tcPr>
          <w:p w14:paraId="595540C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组织结构</w:t>
            </w:r>
          </w:p>
        </w:tc>
        <w:tc>
          <w:tcPr>
            <w:tcW w:w="8069" w:type="dxa"/>
            <w:gridSpan w:val="11"/>
            <w:noWrap w:val="0"/>
            <w:vAlign w:val="center"/>
          </w:tcPr>
          <w:p w14:paraId="1515271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0751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29" w:type="dxa"/>
            <w:noWrap w:val="0"/>
            <w:vAlign w:val="center"/>
          </w:tcPr>
          <w:p w14:paraId="3EA7E9B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投标人规模</w:t>
            </w:r>
          </w:p>
        </w:tc>
        <w:tc>
          <w:tcPr>
            <w:tcW w:w="8069" w:type="dxa"/>
            <w:gridSpan w:val="11"/>
            <w:noWrap w:val="0"/>
            <w:vAlign w:val="center"/>
          </w:tcPr>
          <w:p w14:paraId="12E7D749">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 w:hAnsi="仿宋" w:eastAsia="仿宋" w:cs="仿宋"/>
                <w:bCs/>
                <w:color w:val="auto"/>
                <w:sz w:val="24"/>
                <w:szCs w:val="24"/>
                <w:highlight w:val="none"/>
              </w:rPr>
            </w:pPr>
          </w:p>
        </w:tc>
      </w:tr>
      <w:tr w14:paraId="16BE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29" w:type="dxa"/>
            <w:noWrap w:val="0"/>
            <w:vAlign w:val="center"/>
          </w:tcPr>
          <w:p w14:paraId="70F8352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投标人性质</w:t>
            </w:r>
          </w:p>
        </w:tc>
        <w:tc>
          <w:tcPr>
            <w:tcW w:w="8069" w:type="dxa"/>
            <w:gridSpan w:val="11"/>
            <w:noWrap w:val="0"/>
            <w:vAlign w:val="center"/>
          </w:tcPr>
          <w:p w14:paraId="52AD091A">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 w:hAnsi="仿宋" w:eastAsia="仿宋" w:cs="仿宋"/>
                <w:bCs/>
                <w:color w:val="auto"/>
                <w:sz w:val="24"/>
                <w:szCs w:val="24"/>
                <w:highlight w:val="none"/>
              </w:rPr>
            </w:pPr>
          </w:p>
        </w:tc>
      </w:tr>
      <w:tr w14:paraId="1131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29" w:type="dxa"/>
            <w:noWrap w:val="0"/>
            <w:vAlign w:val="center"/>
          </w:tcPr>
          <w:p w14:paraId="32963AD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w:t>
            </w:r>
          </w:p>
        </w:tc>
        <w:tc>
          <w:tcPr>
            <w:tcW w:w="1345" w:type="dxa"/>
            <w:gridSpan w:val="2"/>
            <w:noWrap w:val="0"/>
            <w:vAlign w:val="center"/>
          </w:tcPr>
          <w:p w14:paraId="3241AF7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姓名</w:t>
            </w:r>
          </w:p>
        </w:tc>
        <w:tc>
          <w:tcPr>
            <w:tcW w:w="1345" w:type="dxa"/>
            <w:noWrap w:val="0"/>
            <w:vAlign w:val="center"/>
          </w:tcPr>
          <w:p w14:paraId="19ACADF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344" w:type="dxa"/>
            <w:noWrap w:val="0"/>
            <w:vAlign w:val="center"/>
          </w:tcPr>
          <w:p w14:paraId="1471A2F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技术职称</w:t>
            </w:r>
          </w:p>
        </w:tc>
        <w:tc>
          <w:tcPr>
            <w:tcW w:w="1345" w:type="dxa"/>
            <w:gridSpan w:val="3"/>
            <w:noWrap w:val="0"/>
            <w:vAlign w:val="center"/>
          </w:tcPr>
          <w:p w14:paraId="3C1D6ED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345" w:type="dxa"/>
            <w:gridSpan w:val="3"/>
            <w:noWrap w:val="0"/>
            <w:vAlign w:val="center"/>
          </w:tcPr>
          <w:p w14:paraId="3069445C">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1345" w:type="dxa"/>
            <w:noWrap w:val="0"/>
            <w:vAlign w:val="center"/>
          </w:tcPr>
          <w:p w14:paraId="3DFFB4B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77C2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29" w:type="dxa"/>
            <w:noWrap w:val="0"/>
            <w:vAlign w:val="center"/>
          </w:tcPr>
          <w:p w14:paraId="36716CE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技术负责人</w:t>
            </w:r>
          </w:p>
        </w:tc>
        <w:tc>
          <w:tcPr>
            <w:tcW w:w="1345" w:type="dxa"/>
            <w:gridSpan w:val="2"/>
            <w:noWrap w:val="0"/>
            <w:vAlign w:val="center"/>
          </w:tcPr>
          <w:p w14:paraId="70E1E13E">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姓名</w:t>
            </w:r>
          </w:p>
        </w:tc>
        <w:tc>
          <w:tcPr>
            <w:tcW w:w="1345" w:type="dxa"/>
            <w:noWrap w:val="0"/>
            <w:vAlign w:val="center"/>
          </w:tcPr>
          <w:p w14:paraId="72E189A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344" w:type="dxa"/>
            <w:noWrap w:val="0"/>
            <w:vAlign w:val="center"/>
          </w:tcPr>
          <w:p w14:paraId="3BE3E79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技术职称</w:t>
            </w:r>
          </w:p>
        </w:tc>
        <w:tc>
          <w:tcPr>
            <w:tcW w:w="1345" w:type="dxa"/>
            <w:gridSpan w:val="3"/>
            <w:noWrap w:val="0"/>
            <w:vAlign w:val="center"/>
          </w:tcPr>
          <w:p w14:paraId="1139A59F">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345" w:type="dxa"/>
            <w:gridSpan w:val="3"/>
            <w:noWrap w:val="0"/>
            <w:vAlign w:val="center"/>
          </w:tcPr>
          <w:p w14:paraId="2C9E4A7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1345" w:type="dxa"/>
            <w:noWrap w:val="0"/>
            <w:vAlign w:val="center"/>
          </w:tcPr>
          <w:p w14:paraId="05928EA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5C8F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9" w:type="dxa"/>
            <w:noWrap w:val="0"/>
            <w:vAlign w:val="center"/>
          </w:tcPr>
          <w:p w14:paraId="0633499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成立时间</w:t>
            </w:r>
          </w:p>
        </w:tc>
        <w:tc>
          <w:tcPr>
            <w:tcW w:w="2690" w:type="dxa"/>
            <w:gridSpan w:val="3"/>
            <w:noWrap w:val="0"/>
            <w:vAlign w:val="center"/>
          </w:tcPr>
          <w:p w14:paraId="1C25388F">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5379" w:type="dxa"/>
            <w:gridSpan w:val="8"/>
            <w:noWrap w:val="0"/>
            <w:vAlign w:val="center"/>
          </w:tcPr>
          <w:p w14:paraId="05BA4C4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员工总人数：</w:t>
            </w:r>
          </w:p>
        </w:tc>
      </w:tr>
      <w:tr w14:paraId="4009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29" w:type="dxa"/>
            <w:noWrap w:val="0"/>
            <w:vAlign w:val="center"/>
          </w:tcPr>
          <w:p w14:paraId="185E371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企业资质等级</w:t>
            </w:r>
          </w:p>
        </w:tc>
        <w:tc>
          <w:tcPr>
            <w:tcW w:w="2690" w:type="dxa"/>
            <w:gridSpan w:val="3"/>
            <w:noWrap w:val="0"/>
            <w:vAlign w:val="center"/>
          </w:tcPr>
          <w:p w14:paraId="3C7281E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3" w:type="dxa"/>
            <w:gridSpan w:val="2"/>
            <w:vMerge w:val="restart"/>
            <w:noWrap w:val="0"/>
            <w:vAlign w:val="center"/>
          </w:tcPr>
          <w:p w14:paraId="59B72E4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其中</w:t>
            </w:r>
          </w:p>
        </w:tc>
        <w:tc>
          <w:tcPr>
            <w:tcW w:w="1794" w:type="dxa"/>
            <w:gridSpan w:val="3"/>
            <w:noWrap w:val="0"/>
            <w:vAlign w:val="center"/>
          </w:tcPr>
          <w:p w14:paraId="6364518D">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项目经理</w:t>
            </w:r>
          </w:p>
        </w:tc>
        <w:tc>
          <w:tcPr>
            <w:tcW w:w="1792" w:type="dxa"/>
            <w:gridSpan w:val="3"/>
            <w:noWrap w:val="0"/>
            <w:vAlign w:val="center"/>
          </w:tcPr>
          <w:p w14:paraId="4535AEDD">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1602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29" w:type="dxa"/>
            <w:noWrap w:val="0"/>
            <w:vAlign w:val="center"/>
          </w:tcPr>
          <w:p w14:paraId="685C248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营业执照</w:t>
            </w:r>
            <w:r>
              <w:rPr>
                <w:rFonts w:hint="eastAsia" w:ascii="仿宋" w:hAnsi="仿宋" w:eastAsia="仿宋" w:cs="仿宋"/>
                <w:color w:val="auto"/>
                <w:sz w:val="24"/>
                <w:szCs w:val="24"/>
                <w:highlight w:val="none"/>
              </w:rPr>
              <w:t>号</w:t>
            </w:r>
          </w:p>
        </w:tc>
        <w:tc>
          <w:tcPr>
            <w:tcW w:w="2690" w:type="dxa"/>
            <w:gridSpan w:val="3"/>
            <w:noWrap w:val="0"/>
            <w:vAlign w:val="center"/>
          </w:tcPr>
          <w:p w14:paraId="0FAB6AE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3" w:type="dxa"/>
            <w:gridSpan w:val="2"/>
            <w:vMerge w:val="continue"/>
            <w:noWrap w:val="0"/>
            <w:vAlign w:val="center"/>
          </w:tcPr>
          <w:p w14:paraId="3A4C0FA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4" w:type="dxa"/>
            <w:gridSpan w:val="3"/>
            <w:noWrap w:val="0"/>
            <w:vAlign w:val="center"/>
          </w:tcPr>
          <w:p w14:paraId="45CF361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高级职称人员</w:t>
            </w:r>
          </w:p>
        </w:tc>
        <w:tc>
          <w:tcPr>
            <w:tcW w:w="1792" w:type="dxa"/>
            <w:gridSpan w:val="3"/>
            <w:noWrap w:val="0"/>
            <w:vAlign w:val="center"/>
          </w:tcPr>
          <w:p w14:paraId="2D1B64B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4247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29" w:type="dxa"/>
            <w:noWrap w:val="0"/>
            <w:vAlign w:val="center"/>
          </w:tcPr>
          <w:p w14:paraId="362D3A5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注册资金</w:t>
            </w:r>
          </w:p>
        </w:tc>
        <w:tc>
          <w:tcPr>
            <w:tcW w:w="2690" w:type="dxa"/>
            <w:gridSpan w:val="3"/>
            <w:noWrap w:val="0"/>
            <w:vAlign w:val="center"/>
          </w:tcPr>
          <w:p w14:paraId="722B77F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3" w:type="dxa"/>
            <w:gridSpan w:val="2"/>
            <w:vMerge w:val="continue"/>
            <w:noWrap w:val="0"/>
            <w:vAlign w:val="center"/>
          </w:tcPr>
          <w:p w14:paraId="4E75815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4" w:type="dxa"/>
            <w:gridSpan w:val="3"/>
            <w:noWrap w:val="0"/>
            <w:vAlign w:val="center"/>
          </w:tcPr>
          <w:p w14:paraId="022AA80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中级职称人员</w:t>
            </w:r>
          </w:p>
        </w:tc>
        <w:tc>
          <w:tcPr>
            <w:tcW w:w="1792" w:type="dxa"/>
            <w:gridSpan w:val="3"/>
            <w:noWrap w:val="0"/>
            <w:vAlign w:val="center"/>
          </w:tcPr>
          <w:p w14:paraId="252DEF9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40DA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29" w:type="dxa"/>
            <w:noWrap w:val="0"/>
            <w:vAlign w:val="center"/>
          </w:tcPr>
          <w:p w14:paraId="730325D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开户银行</w:t>
            </w:r>
          </w:p>
        </w:tc>
        <w:tc>
          <w:tcPr>
            <w:tcW w:w="2690" w:type="dxa"/>
            <w:gridSpan w:val="3"/>
            <w:noWrap w:val="0"/>
            <w:vAlign w:val="center"/>
          </w:tcPr>
          <w:p w14:paraId="2F9ABC2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3" w:type="dxa"/>
            <w:gridSpan w:val="2"/>
            <w:vMerge w:val="continue"/>
            <w:noWrap w:val="0"/>
            <w:vAlign w:val="center"/>
          </w:tcPr>
          <w:p w14:paraId="2846A59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4" w:type="dxa"/>
            <w:gridSpan w:val="3"/>
            <w:noWrap w:val="0"/>
            <w:vAlign w:val="center"/>
          </w:tcPr>
          <w:p w14:paraId="3074CB6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初级职称人员</w:t>
            </w:r>
          </w:p>
        </w:tc>
        <w:tc>
          <w:tcPr>
            <w:tcW w:w="1792" w:type="dxa"/>
            <w:gridSpan w:val="3"/>
            <w:noWrap w:val="0"/>
            <w:vAlign w:val="center"/>
          </w:tcPr>
          <w:p w14:paraId="0E43362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18A2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29" w:type="dxa"/>
            <w:noWrap w:val="0"/>
            <w:vAlign w:val="center"/>
          </w:tcPr>
          <w:p w14:paraId="44B4D2FD">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账号</w:t>
            </w:r>
          </w:p>
        </w:tc>
        <w:tc>
          <w:tcPr>
            <w:tcW w:w="2690" w:type="dxa"/>
            <w:gridSpan w:val="3"/>
            <w:noWrap w:val="0"/>
            <w:vAlign w:val="center"/>
          </w:tcPr>
          <w:p w14:paraId="34B711A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3" w:type="dxa"/>
            <w:gridSpan w:val="2"/>
            <w:vMerge w:val="continue"/>
            <w:noWrap w:val="0"/>
            <w:vAlign w:val="center"/>
          </w:tcPr>
          <w:p w14:paraId="2372EB0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4" w:type="dxa"/>
            <w:gridSpan w:val="3"/>
            <w:noWrap w:val="0"/>
            <w:vAlign w:val="center"/>
          </w:tcPr>
          <w:p w14:paraId="480D524E">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技工</w:t>
            </w:r>
          </w:p>
        </w:tc>
        <w:tc>
          <w:tcPr>
            <w:tcW w:w="1792" w:type="dxa"/>
            <w:gridSpan w:val="3"/>
            <w:noWrap w:val="0"/>
            <w:vAlign w:val="center"/>
          </w:tcPr>
          <w:p w14:paraId="046D297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725F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1729" w:type="dxa"/>
            <w:noWrap w:val="0"/>
            <w:vAlign w:val="center"/>
          </w:tcPr>
          <w:p w14:paraId="171EF6D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经营范围</w:t>
            </w:r>
          </w:p>
        </w:tc>
        <w:tc>
          <w:tcPr>
            <w:tcW w:w="8069" w:type="dxa"/>
            <w:gridSpan w:val="11"/>
            <w:noWrap w:val="0"/>
            <w:vAlign w:val="center"/>
          </w:tcPr>
          <w:p w14:paraId="4149092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204B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29" w:type="dxa"/>
            <w:noWrap w:val="0"/>
            <w:vAlign w:val="center"/>
          </w:tcPr>
          <w:p w14:paraId="0A86B96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c>
          <w:tcPr>
            <w:tcW w:w="8069" w:type="dxa"/>
            <w:gridSpan w:val="11"/>
            <w:noWrap w:val="0"/>
            <w:vAlign w:val="center"/>
          </w:tcPr>
          <w:p w14:paraId="1E5B63C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bl>
    <w:p w14:paraId="1A06CE0D">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eastAsia" w:ascii="仿宋_GB2312" w:hAnsi="仿宋_GB2312" w:eastAsia="仿宋_GB2312" w:cs="仿宋_GB2312"/>
          <w:color w:val="auto"/>
          <w:sz w:val="24"/>
          <w:szCs w:val="24"/>
          <w:highlight w:val="none"/>
          <w:lang w:eastAsia="zh-CN"/>
        </w:rPr>
      </w:pPr>
      <w:bookmarkStart w:id="344" w:name="_Toc4340"/>
      <w:bookmarkStart w:id="345" w:name="_Toc13032"/>
    </w:p>
    <w:p w14:paraId="3D3A7B51">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lang w:eastAsia="zh-CN"/>
        </w:rPr>
        <w:t>加盖</w:t>
      </w:r>
      <w:r>
        <w:rPr>
          <w:rFonts w:hint="eastAsia" w:ascii="仿宋_GB2312" w:hAnsi="仿宋_GB2312" w:eastAsia="仿宋_GB2312" w:cs="仿宋_GB2312"/>
          <w:color w:val="auto"/>
          <w:sz w:val="24"/>
          <w:szCs w:val="24"/>
          <w:highlight w:val="none"/>
        </w:rPr>
        <w:t>公章</w:t>
      </w:r>
      <w:r>
        <w:rPr>
          <w:rFonts w:hint="eastAsia" w:ascii="仿宋_GB2312" w:hAnsi="仿宋_GB2312" w:eastAsia="仿宋_GB2312" w:cs="仿宋_GB2312"/>
          <w:color w:val="auto"/>
          <w:sz w:val="24"/>
          <w:szCs w:val="24"/>
          <w:highlight w:val="none"/>
        </w:rPr>
        <w:t>）：</w:t>
      </w:r>
    </w:p>
    <w:p w14:paraId="1AEC41A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仿宋" w:hAnsi="仿宋" w:eastAsia="仿宋" w:cs="仿宋"/>
          <w:color w:val="auto"/>
          <w:sz w:val="24"/>
          <w:highlight w:val="none"/>
        </w:r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lang w:eastAsia="zh-CN"/>
        </w:rPr>
        <w:t>：</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bookmarkEnd w:id="344"/>
      <w:bookmarkEnd w:id="345"/>
    </w:p>
    <w:p w14:paraId="3FE6CBA4">
      <w:pPr>
        <w:pageBreakBefore w:val="0"/>
        <w:widowControl w:val="0"/>
        <w:kinsoku/>
        <w:wordWrap/>
        <w:overflowPunct/>
        <w:topLinePunct w:val="0"/>
        <w:bidi w:val="0"/>
        <w:snapToGrid/>
        <w:rPr>
          <w:rFonts w:hint="eastAsia" w:ascii="仿宋" w:hAnsi="仿宋" w:eastAsia="仿宋" w:cs="仿宋"/>
          <w:b/>
          <w:color w:val="auto"/>
          <w:sz w:val="30"/>
          <w:szCs w:val="30"/>
          <w:highlight w:val="none"/>
          <w:lang w:eastAsia="zh-CN"/>
        </w:rPr>
      </w:pPr>
      <w:bookmarkStart w:id="346" w:name="_Toc28713"/>
      <w:bookmarkStart w:id="347" w:name="_Toc20273"/>
      <w:bookmarkStart w:id="348" w:name="_Toc8043"/>
      <w:r>
        <w:rPr>
          <w:rFonts w:hint="eastAsia" w:ascii="仿宋" w:hAnsi="仿宋" w:eastAsia="仿宋" w:cs="仿宋"/>
          <w:b/>
          <w:color w:val="auto"/>
          <w:sz w:val="30"/>
          <w:szCs w:val="30"/>
          <w:highlight w:val="none"/>
          <w:lang w:eastAsia="zh-CN"/>
        </w:rPr>
        <w:br w:type="page"/>
      </w:r>
    </w:p>
    <w:p w14:paraId="4A67D2E9">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outlineLvl w:val="1"/>
        <w:rPr>
          <w:rFonts w:hint="eastAsia" w:ascii="仿宋" w:hAnsi="仿宋" w:eastAsia="仿宋" w:cs="仿宋"/>
          <w:b/>
          <w:color w:val="auto"/>
          <w:sz w:val="30"/>
          <w:szCs w:val="30"/>
          <w:highlight w:val="none"/>
        </w:rPr>
      </w:pPr>
      <w:bookmarkStart w:id="349" w:name="_Toc22944"/>
      <w:bookmarkStart w:id="350" w:name="_Toc24906"/>
      <w:r>
        <w:rPr>
          <w:rFonts w:hint="eastAsia" w:ascii="仿宋" w:hAnsi="仿宋" w:eastAsia="仿宋" w:cs="仿宋"/>
          <w:b/>
          <w:color w:val="auto"/>
          <w:sz w:val="30"/>
          <w:szCs w:val="30"/>
          <w:highlight w:val="none"/>
          <w:lang w:eastAsia="zh-CN"/>
        </w:rPr>
        <w:t>格式</w:t>
      </w:r>
      <w:r>
        <w:rPr>
          <w:rFonts w:hint="eastAsia" w:ascii="仿宋" w:hAnsi="仿宋" w:eastAsia="仿宋" w:cs="仿宋"/>
          <w:b/>
          <w:color w:val="auto"/>
          <w:sz w:val="30"/>
          <w:szCs w:val="30"/>
          <w:highlight w:val="none"/>
          <w:lang w:val="en-US" w:eastAsia="zh-CN"/>
        </w:rPr>
        <w:t>17</w:t>
      </w:r>
      <w:r>
        <w:rPr>
          <w:rFonts w:hint="eastAsia" w:ascii="仿宋" w:hAnsi="仿宋" w:eastAsia="仿宋" w:cs="仿宋"/>
          <w:b/>
          <w:color w:val="auto"/>
          <w:sz w:val="30"/>
          <w:szCs w:val="30"/>
          <w:highlight w:val="none"/>
        </w:rPr>
        <w:t>商务应答表</w:t>
      </w:r>
      <w:bookmarkEnd w:id="346"/>
      <w:bookmarkEnd w:id="347"/>
      <w:bookmarkEnd w:id="348"/>
      <w:bookmarkEnd w:id="349"/>
      <w:bookmarkEnd w:id="350"/>
    </w:p>
    <w:p w14:paraId="0BA8C310">
      <w:pPr>
        <w:keepNext w:val="0"/>
        <w:keepLines w:val="0"/>
        <w:pageBreakBefore w:val="0"/>
        <w:widowControl w:val="0"/>
        <w:kinsoku/>
        <w:wordWrap/>
        <w:overflowPunct/>
        <w:topLinePunct w:val="0"/>
        <w:autoSpaceDE/>
        <w:autoSpaceDN/>
        <w:bidi w:val="0"/>
        <w:snapToGrid/>
        <w:spacing w:after="0" w:line="360" w:lineRule="auto"/>
        <w:ind w:firstLine="562" w:firstLineChars="200"/>
        <w:jc w:val="center"/>
        <w:textAlignment w:val="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商务应答表</w:t>
      </w:r>
    </w:p>
    <w:p w14:paraId="21E59C2F">
      <w:pPr>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招标名称</w:t>
      </w:r>
      <w:r>
        <w:rPr>
          <w:rFonts w:hint="eastAsia" w:ascii="仿宋" w:hAnsi="仿宋" w:eastAsia="仿宋" w:cs="仿宋"/>
          <w:color w:val="auto"/>
          <w:sz w:val="24"/>
          <w:szCs w:val="24"/>
          <w:highlight w:val="none"/>
        </w:rPr>
        <w:t>：</w:t>
      </w:r>
    </w:p>
    <w:p w14:paraId="0EA098F6">
      <w:pPr>
        <w:pStyle w:val="66"/>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招标编号</w:t>
      </w:r>
      <w:r>
        <w:rPr>
          <w:rFonts w:hint="eastAsia" w:ascii="仿宋" w:hAnsi="仿宋" w:eastAsia="仿宋" w:cs="仿宋"/>
          <w:color w:val="auto"/>
          <w:sz w:val="24"/>
          <w:szCs w:val="24"/>
          <w:highlight w:val="none"/>
        </w:rPr>
        <w:t>：</w:t>
      </w:r>
    </w:p>
    <w:p w14:paraId="1246AF78">
      <w:pPr>
        <w:pStyle w:val="66"/>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招标包号：</w:t>
      </w:r>
    </w:p>
    <w:tbl>
      <w:tblPr>
        <w:tblStyle w:val="32"/>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889"/>
        <w:gridCol w:w="4681"/>
      </w:tblGrid>
      <w:tr w14:paraId="6237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228" w:type="dxa"/>
            <w:noWrap w:val="0"/>
            <w:vAlign w:val="center"/>
          </w:tcPr>
          <w:p w14:paraId="1F6B33F4">
            <w:pPr>
              <w:pStyle w:val="9"/>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val="0"/>
                <w:bCs/>
                <w:color w:val="auto"/>
                <w:kern w:val="0"/>
                <w:sz w:val="24"/>
                <w:szCs w:val="24"/>
                <w:highlight w:val="none"/>
              </w:rPr>
              <w:t>序号</w:t>
            </w:r>
          </w:p>
        </w:tc>
        <w:tc>
          <w:tcPr>
            <w:tcW w:w="3889" w:type="dxa"/>
            <w:noWrap w:val="0"/>
            <w:vAlign w:val="center"/>
          </w:tcPr>
          <w:p w14:paraId="0A2F12F7">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w:t>
            </w:r>
          </w:p>
          <w:p w14:paraId="0C18A867">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color w:val="auto"/>
                <w:sz w:val="24"/>
                <w:szCs w:val="24"/>
                <w:highlight w:val="none"/>
              </w:rPr>
              <w:t>（详见</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第六章</w:t>
            </w:r>
            <w:r>
              <w:rPr>
                <w:rFonts w:hint="eastAsia" w:ascii="仿宋" w:hAnsi="仿宋" w:eastAsia="仿宋" w:cs="仿宋"/>
                <w:color w:val="auto"/>
                <w:sz w:val="24"/>
                <w:szCs w:val="24"/>
                <w:highlight w:val="none"/>
                <w:lang w:eastAsia="zh-CN"/>
              </w:rPr>
              <w:t>第</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lang w:eastAsia="zh-CN"/>
              </w:rPr>
              <w:t>项</w:t>
            </w:r>
            <w:r>
              <w:rPr>
                <w:rFonts w:hint="eastAsia" w:ascii="仿宋" w:hAnsi="仿宋" w:eastAsia="仿宋" w:cs="仿宋"/>
                <w:color w:val="auto"/>
                <w:sz w:val="24"/>
                <w:szCs w:val="24"/>
                <w:highlight w:val="none"/>
              </w:rPr>
              <w:t>）</w:t>
            </w:r>
          </w:p>
        </w:tc>
        <w:tc>
          <w:tcPr>
            <w:tcW w:w="4681" w:type="dxa"/>
            <w:noWrap w:val="0"/>
            <w:vAlign w:val="center"/>
          </w:tcPr>
          <w:p w14:paraId="179E187A">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的应答</w:t>
            </w:r>
            <w:r>
              <w:rPr>
                <w:rFonts w:hint="eastAsia" w:ascii="仿宋" w:hAnsi="仿宋" w:eastAsia="仿宋" w:cs="仿宋"/>
                <w:color w:val="auto"/>
                <w:sz w:val="24"/>
                <w:szCs w:val="24"/>
                <w:highlight w:val="none"/>
                <w:lang w:eastAsia="zh-CN"/>
              </w:rPr>
              <w:t>情况</w:t>
            </w:r>
          </w:p>
        </w:tc>
      </w:tr>
      <w:tr w14:paraId="146A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28" w:type="dxa"/>
            <w:noWrap w:val="0"/>
            <w:vAlign w:val="center"/>
          </w:tcPr>
          <w:p w14:paraId="6B779259">
            <w:pPr>
              <w:pStyle w:val="9"/>
              <w:keepNext w:val="0"/>
              <w:keepLines w:val="0"/>
              <w:pageBreakBefore w:val="0"/>
              <w:widowControl w:val="0"/>
              <w:tabs>
                <w:tab w:val="left" w:pos="34"/>
              </w:tabs>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3889" w:type="dxa"/>
            <w:noWrap w:val="0"/>
            <w:vAlign w:val="center"/>
          </w:tcPr>
          <w:p w14:paraId="6292165E">
            <w:pPr>
              <w:pStyle w:val="9"/>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c>
          <w:tcPr>
            <w:tcW w:w="4681" w:type="dxa"/>
            <w:noWrap w:val="0"/>
            <w:vAlign w:val="center"/>
          </w:tcPr>
          <w:p w14:paraId="34483A2C">
            <w:pPr>
              <w:pStyle w:val="9"/>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r>
      <w:tr w14:paraId="68FC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28" w:type="dxa"/>
            <w:noWrap w:val="0"/>
            <w:vAlign w:val="center"/>
          </w:tcPr>
          <w:p w14:paraId="79030044">
            <w:pPr>
              <w:pStyle w:val="9"/>
              <w:keepNext w:val="0"/>
              <w:keepLines w:val="0"/>
              <w:pageBreakBefore w:val="0"/>
              <w:widowControl w:val="0"/>
              <w:tabs>
                <w:tab w:val="left" w:pos="34"/>
              </w:tabs>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3889" w:type="dxa"/>
            <w:noWrap w:val="0"/>
            <w:vAlign w:val="center"/>
          </w:tcPr>
          <w:p w14:paraId="0C48D309">
            <w:pPr>
              <w:pStyle w:val="9"/>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c>
          <w:tcPr>
            <w:tcW w:w="4681" w:type="dxa"/>
            <w:noWrap w:val="0"/>
            <w:vAlign w:val="center"/>
          </w:tcPr>
          <w:p w14:paraId="3FAE2BE8">
            <w:pPr>
              <w:pStyle w:val="9"/>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r>
      <w:tr w14:paraId="59A26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28" w:type="dxa"/>
            <w:noWrap w:val="0"/>
            <w:vAlign w:val="center"/>
          </w:tcPr>
          <w:p w14:paraId="5D30BD42">
            <w:pPr>
              <w:pStyle w:val="9"/>
              <w:keepNext w:val="0"/>
              <w:keepLines w:val="0"/>
              <w:pageBreakBefore w:val="0"/>
              <w:widowControl w:val="0"/>
              <w:tabs>
                <w:tab w:val="left" w:pos="34"/>
              </w:tabs>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3889" w:type="dxa"/>
            <w:noWrap w:val="0"/>
            <w:vAlign w:val="center"/>
          </w:tcPr>
          <w:p w14:paraId="4875B198">
            <w:pPr>
              <w:pStyle w:val="9"/>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c>
          <w:tcPr>
            <w:tcW w:w="4681" w:type="dxa"/>
            <w:noWrap w:val="0"/>
            <w:vAlign w:val="center"/>
          </w:tcPr>
          <w:p w14:paraId="6ADF34B3">
            <w:pPr>
              <w:pStyle w:val="9"/>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r>
      <w:tr w14:paraId="2242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28" w:type="dxa"/>
            <w:noWrap w:val="0"/>
            <w:vAlign w:val="center"/>
          </w:tcPr>
          <w:p w14:paraId="2698D3B9">
            <w:pPr>
              <w:pStyle w:val="9"/>
              <w:keepNext w:val="0"/>
              <w:keepLines w:val="0"/>
              <w:pageBreakBefore w:val="0"/>
              <w:widowControl w:val="0"/>
              <w:tabs>
                <w:tab w:val="left" w:pos="34"/>
              </w:tabs>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3889" w:type="dxa"/>
            <w:noWrap w:val="0"/>
            <w:vAlign w:val="center"/>
          </w:tcPr>
          <w:p w14:paraId="123F104E">
            <w:pPr>
              <w:pStyle w:val="9"/>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c>
          <w:tcPr>
            <w:tcW w:w="4681" w:type="dxa"/>
            <w:noWrap w:val="0"/>
            <w:vAlign w:val="center"/>
          </w:tcPr>
          <w:p w14:paraId="4788F6AA">
            <w:pPr>
              <w:pStyle w:val="9"/>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r>
      <w:tr w14:paraId="2E32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28" w:type="dxa"/>
            <w:noWrap w:val="0"/>
            <w:vAlign w:val="center"/>
          </w:tcPr>
          <w:p w14:paraId="3AF3973E">
            <w:pPr>
              <w:pStyle w:val="9"/>
              <w:keepNext w:val="0"/>
              <w:keepLines w:val="0"/>
              <w:pageBreakBefore w:val="0"/>
              <w:widowControl w:val="0"/>
              <w:tabs>
                <w:tab w:val="left" w:pos="34"/>
              </w:tabs>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3889" w:type="dxa"/>
            <w:noWrap w:val="0"/>
            <w:vAlign w:val="center"/>
          </w:tcPr>
          <w:p w14:paraId="30B67CE4">
            <w:pPr>
              <w:pStyle w:val="9"/>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c>
          <w:tcPr>
            <w:tcW w:w="4681" w:type="dxa"/>
            <w:noWrap w:val="0"/>
            <w:vAlign w:val="center"/>
          </w:tcPr>
          <w:p w14:paraId="714CBC2D">
            <w:pPr>
              <w:pStyle w:val="9"/>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r>
    </w:tbl>
    <w:p w14:paraId="14834997">
      <w:pPr>
        <w:keepNext w:val="0"/>
        <w:keepLines w:val="0"/>
        <w:pageBreakBefore w:val="0"/>
        <w:widowControl w:val="0"/>
        <w:kinsoku/>
        <w:wordWrap/>
        <w:overflowPunct/>
        <w:topLinePunct w:val="0"/>
        <w:autoSpaceDE/>
        <w:autoSpaceDN/>
        <w:bidi w:val="0"/>
        <w:snapToGrid/>
        <w:spacing w:after="0"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必须据实填写，不得虚假响应，虚假响应的，其</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无效并按规定追究其相关责任。</w:t>
      </w:r>
    </w:p>
    <w:p w14:paraId="43F333F4">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eastAsia" w:ascii="仿宋" w:hAnsi="仿宋" w:eastAsia="仿宋" w:cs="仿宋"/>
          <w:color w:val="auto"/>
          <w:sz w:val="24"/>
          <w:szCs w:val="24"/>
          <w:highlight w:val="none"/>
        </w:rPr>
      </w:pPr>
    </w:p>
    <w:p w14:paraId="558F1DD4">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lang w:eastAsia="zh-CN"/>
        </w:rPr>
        <w:t>加盖</w:t>
      </w:r>
      <w:r>
        <w:rPr>
          <w:rFonts w:hint="eastAsia" w:ascii="仿宋_GB2312" w:hAnsi="仿宋_GB2312" w:eastAsia="仿宋_GB2312" w:cs="仿宋_GB2312"/>
          <w:color w:val="auto"/>
          <w:sz w:val="24"/>
          <w:szCs w:val="24"/>
          <w:highlight w:val="none"/>
        </w:rPr>
        <w:t>公章</w:t>
      </w:r>
      <w:r>
        <w:rPr>
          <w:rFonts w:hint="eastAsia" w:ascii="仿宋_GB2312" w:hAnsi="仿宋_GB2312" w:eastAsia="仿宋_GB2312" w:cs="仿宋_GB2312"/>
          <w:color w:val="auto"/>
          <w:sz w:val="24"/>
          <w:szCs w:val="24"/>
          <w:highlight w:val="none"/>
        </w:rPr>
        <w:t>）：</w:t>
      </w:r>
    </w:p>
    <w:p w14:paraId="543CBE46">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outlineLvl w:val="9"/>
        <w:rPr>
          <w:rFonts w:hint="eastAsia" w:ascii="仿宋" w:hAnsi="仿宋" w:eastAsia="仿宋" w:cs="仿宋"/>
          <w:color w:val="auto"/>
          <w:sz w:val="24"/>
          <w:szCs w:val="24"/>
          <w:highlight w:val="none"/>
        </w:rPr>
        <w:sectPr>
          <w:pgSz w:w="11850" w:h="16783"/>
          <w:pgMar w:top="1417" w:right="1134" w:bottom="1417" w:left="1134" w:header="851"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lang w:eastAsia="zh-CN"/>
        </w:rPr>
        <w:t>：</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p>
    <w:bookmarkEnd w:id="325"/>
    <w:bookmarkEnd w:id="326"/>
    <w:bookmarkEnd w:id="327"/>
    <w:bookmarkEnd w:id="328"/>
    <w:bookmarkEnd w:id="329"/>
    <w:bookmarkEnd w:id="330"/>
    <w:p w14:paraId="1C81D0A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bCs/>
          <w:color w:val="auto"/>
          <w:sz w:val="30"/>
          <w:szCs w:val="30"/>
          <w:highlight w:val="none"/>
          <w:lang w:val="en-US" w:eastAsia="zh-CN"/>
        </w:rPr>
      </w:pPr>
      <w:bookmarkStart w:id="351" w:name="_Toc19845"/>
      <w:bookmarkStart w:id="352" w:name="_Toc20774"/>
      <w:bookmarkStart w:id="353" w:name="_Toc18487"/>
      <w:bookmarkStart w:id="354" w:name="_Toc29967"/>
      <w:bookmarkStart w:id="355" w:name="_Toc14680"/>
      <w:bookmarkStart w:id="356" w:name="_Toc3455"/>
      <w:bookmarkStart w:id="357" w:name="_Toc10464"/>
      <w:bookmarkStart w:id="358" w:name="_Toc14174"/>
      <w:bookmarkStart w:id="359" w:name="_Toc11398"/>
      <w:bookmarkStart w:id="360" w:name="_Toc300"/>
      <w:bookmarkStart w:id="361" w:name="_Toc14946"/>
      <w:bookmarkStart w:id="362" w:name="_Toc31518"/>
      <w:bookmarkStart w:id="363" w:name="_Toc17970"/>
      <w:bookmarkStart w:id="364" w:name="_Toc8272"/>
      <w:bookmarkStart w:id="365" w:name="_Toc215"/>
      <w:r>
        <w:rPr>
          <w:rFonts w:hint="eastAsia" w:ascii="仿宋" w:hAnsi="仿宋" w:eastAsia="仿宋" w:cs="仿宋"/>
          <w:b/>
          <w:bCs/>
          <w:color w:val="auto"/>
          <w:sz w:val="30"/>
          <w:szCs w:val="30"/>
          <w:highlight w:val="none"/>
          <w:lang w:eastAsia="zh-CN"/>
        </w:rPr>
        <w:t>格式</w:t>
      </w:r>
      <w:r>
        <w:rPr>
          <w:rFonts w:hint="eastAsia" w:ascii="仿宋" w:hAnsi="仿宋" w:eastAsia="仿宋" w:cs="仿宋"/>
          <w:b/>
          <w:bCs/>
          <w:color w:val="auto"/>
          <w:sz w:val="30"/>
          <w:szCs w:val="30"/>
          <w:highlight w:val="none"/>
          <w:lang w:val="en-US" w:eastAsia="zh-CN"/>
        </w:rPr>
        <w:t>18投标人类似项目业绩一览表</w:t>
      </w:r>
      <w:bookmarkEnd w:id="351"/>
      <w:bookmarkEnd w:id="352"/>
      <w:bookmarkEnd w:id="353"/>
      <w:bookmarkEnd w:id="354"/>
      <w:bookmarkEnd w:id="355"/>
      <w:bookmarkEnd w:id="356"/>
      <w:bookmarkEnd w:id="357"/>
    </w:p>
    <w:p w14:paraId="625248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投标人类似项目业绩一览表</w:t>
      </w:r>
    </w:p>
    <w:tbl>
      <w:tblPr>
        <w:tblStyle w:val="32"/>
        <w:tblW w:w="969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66"/>
        <w:gridCol w:w="1732"/>
        <w:gridCol w:w="1587"/>
        <w:gridCol w:w="1397"/>
        <w:gridCol w:w="1371"/>
        <w:gridCol w:w="1904"/>
        <w:gridCol w:w="833"/>
      </w:tblGrid>
      <w:tr w14:paraId="75D637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tcBorders>
              <w:top w:val="single" w:color="auto" w:sz="4" w:space="0"/>
            </w:tcBorders>
            <w:noWrap w:val="0"/>
            <w:vAlign w:val="center"/>
          </w:tcPr>
          <w:p w14:paraId="1E291D9F">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年份</w:t>
            </w:r>
          </w:p>
        </w:tc>
        <w:tc>
          <w:tcPr>
            <w:tcW w:w="1732" w:type="dxa"/>
            <w:noWrap w:val="0"/>
            <w:vAlign w:val="center"/>
          </w:tcPr>
          <w:p w14:paraId="0DCB46C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用户名称</w:t>
            </w:r>
          </w:p>
        </w:tc>
        <w:tc>
          <w:tcPr>
            <w:tcW w:w="1587" w:type="dxa"/>
            <w:noWrap w:val="0"/>
            <w:vAlign w:val="center"/>
          </w:tcPr>
          <w:p w14:paraId="0657D50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招标名称</w:t>
            </w:r>
          </w:p>
        </w:tc>
        <w:tc>
          <w:tcPr>
            <w:tcW w:w="1397" w:type="dxa"/>
            <w:noWrap w:val="0"/>
            <w:vAlign w:val="center"/>
          </w:tcPr>
          <w:p w14:paraId="2C952A8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完成时间</w:t>
            </w:r>
          </w:p>
        </w:tc>
        <w:tc>
          <w:tcPr>
            <w:tcW w:w="1371" w:type="dxa"/>
            <w:noWrap w:val="0"/>
            <w:vAlign w:val="center"/>
          </w:tcPr>
          <w:p w14:paraId="61A24E9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合同金额</w:t>
            </w:r>
          </w:p>
        </w:tc>
        <w:tc>
          <w:tcPr>
            <w:tcW w:w="1904" w:type="dxa"/>
            <w:tcBorders>
              <w:right w:val="single" w:color="auto" w:sz="4" w:space="0"/>
            </w:tcBorders>
            <w:noWrap w:val="0"/>
            <w:vAlign w:val="center"/>
          </w:tcPr>
          <w:p w14:paraId="0A0C7E6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是否通过验收</w:t>
            </w:r>
          </w:p>
        </w:tc>
        <w:tc>
          <w:tcPr>
            <w:tcW w:w="833" w:type="dxa"/>
            <w:tcBorders>
              <w:left w:val="single" w:color="auto" w:sz="4" w:space="0"/>
            </w:tcBorders>
            <w:noWrap w:val="0"/>
            <w:vAlign w:val="center"/>
          </w:tcPr>
          <w:p w14:paraId="1BC1AA0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7E167B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14:paraId="20A8A3D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noWrap w:val="0"/>
            <w:vAlign w:val="center"/>
          </w:tcPr>
          <w:p w14:paraId="5D844720">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noWrap w:val="0"/>
            <w:vAlign w:val="center"/>
          </w:tcPr>
          <w:p w14:paraId="1048CC5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noWrap w:val="0"/>
            <w:vAlign w:val="center"/>
          </w:tcPr>
          <w:p w14:paraId="0DF96961">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noWrap w:val="0"/>
            <w:vAlign w:val="center"/>
          </w:tcPr>
          <w:p w14:paraId="460DB2ED">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right w:val="single" w:color="auto" w:sz="4" w:space="0"/>
            </w:tcBorders>
            <w:noWrap w:val="0"/>
            <w:vAlign w:val="center"/>
          </w:tcPr>
          <w:p w14:paraId="6EEA28DE">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tcBorders>
            <w:noWrap w:val="0"/>
            <w:vAlign w:val="center"/>
          </w:tcPr>
          <w:p w14:paraId="2EB845B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12310D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14:paraId="4C6930BF">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noWrap w:val="0"/>
            <w:vAlign w:val="center"/>
          </w:tcPr>
          <w:p w14:paraId="421E4CFC">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noWrap w:val="0"/>
            <w:vAlign w:val="center"/>
          </w:tcPr>
          <w:p w14:paraId="23D6EA5C">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noWrap w:val="0"/>
            <w:vAlign w:val="center"/>
          </w:tcPr>
          <w:p w14:paraId="23D3DB2F">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noWrap w:val="0"/>
            <w:vAlign w:val="center"/>
          </w:tcPr>
          <w:p w14:paraId="234D1F0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right w:val="single" w:color="auto" w:sz="4" w:space="0"/>
            </w:tcBorders>
            <w:noWrap w:val="0"/>
            <w:vAlign w:val="center"/>
          </w:tcPr>
          <w:p w14:paraId="1361130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tcBorders>
            <w:noWrap w:val="0"/>
            <w:vAlign w:val="center"/>
          </w:tcPr>
          <w:p w14:paraId="59DD6816">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69F84A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14:paraId="1FCAA9EA">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noWrap w:val="0"/>
            <w:vAlign w:val="center"/>
          </w:tcPr>
          <w:p w14:paraId="2074B61A">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noWrap w:val="0"/>
            <w:vAlign w:val="center"/>
          </w:tcPr>
          <w:p w14:paraId="4FBEAE83">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noWrap w:val="0"/>
            <w:vAlign w:val="center"/>
          </w:tcPr>
          <w:p w14:paraId="59F43329">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noWrap w:val="0"/>
            <w:vAlign w:val="center"/>
          </w:tcPr>
          <w:p w14:paraId="5BF87CAD">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right w:val="single" w:color="auto" w:sz="4" w:space="0"/>
            </w:tcBorders>
            <w:noWrap w:val="0"/>
            <w:vAlign w:val="center"/>
          </w:tcPr>
          <w:p w14:paraId="7A136176">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tcBorders>
            <w:noWrap w:val="0"/>
            <w:vAlign w:val="center"/>
          </w:tcPr>
          <w:p w14:paraId="4B6E075D">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549015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14:paraId="0D25FFAC">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tcBorders>
              <w:right w:val="single" w:color="auto" w:sz="4" w:space="0"/>
            </w:tcBorders>
            <w:noWrap w:val="0"/>
            <w:vAlign w:val="center"/>
          </w:tcPr>
          <w:p w14:paraId="5A247B3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tcBorders>
              <w:left w:val="single" w:color="auto" w:sz="4" w:space="0"/>
            </w:tcBorders>
            <w:noWrap w:val="0"/>
            <w:vAlign w:val="center"/>
          </w:tcPr>
          <w:p w14:paraId="67FC5D71">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noWrap w:val="0"/>
            <w:vAlign w:val="center"/>
          </w:tcPr>
          <w:p w14:paraId="66E2C86F">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noWrap w:val="0"/>
            <w:vAlign w:val="center"/>
          </w:tcPr>
          <w:p w14:paraId="0BDE8A18">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right w:val="single" w:color="auto" w:sz="4" w:space="0"/>
            </w:tcBorders>
            <w:noWrap w:val="0"/>
            <w:vAlign w:val="center"/>
          </w:tcPr>
          <w:p w14:paraId="6B6FA308">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tcBorders>
            <w:noWrap w:val="0"/>
            <w:vAlign w:val="center"/>
          </w:tcPr>
          <w:p w14:paraId="19A19A21">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252FEF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tcBorders>
              <w:right w:val="single" w:color="auto" w:sz="4" w:space="0"/>
            </w:tcBorders>
            <w:noWrap w:val="0"/>
            <w:vAlign w:val="center"/>
          </w:tcPr>
          <w:p w14:paraId="76B3F5D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tcBorders>
              <w:left w:val="single" w:color="auto" w:sz="4" w:space="0"/>
              <w:right w:val="single" w:color="auto" w:sz="4" w:space="0"/>
            </w:tcBorders>
            <w:noWrap w:val="0"/>
            <w:vAlign w:val="center"/>
          </w:tcPr>
          <w:p w14:paraId="65844518">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tcBorders>
              <w:left w:val="single" w:color="auto" w:sz="4" w:space="0"/>
              <w:right w:val="single" w:color="auto" w:sz="4" w:space="0"/>
            </w:tcBorders>
            <w:noWrap w:val="0"/>
            <w:vAlign w:val="center"/>
          </w:tcPr>
          <w:p w14:paraId="0A6489C8">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tcBorders>
              <w:left w:val="single" w:color="auto" w:sz="4" w:space="0"/>
              <w:right w:val="single" w:color="auto" w:sz="4" w:space="0"/>
            </w:tcBorders>
            <w:noWrap w:val="0"/>
            <w:vAlign w:val="center"/>
          </w:tcPr>
          <w:p w14:paraId="17C78A7D">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left w:val="single" w:color="auto" w:sz="4" w:space="0"/>
              <w:right w:val="single" w:color="auto" w:sz="4" w:space="0"/>
            </w:tcBorders>
            <w:noWrap w:val="0"/>
            <w:vAlign w:val="center"/>
          </w:tcPr>
          <w:p w14:paraId="23029F9E">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left w:val="single" w:color="auto" w:sz="4" w:space="0"/>
              <w:right w:val="single" w:color="auto" w:sz="4" w:space="0"/>
            </w:tcBorders>
            <w:noWrap w:val="0"/>
            <w:vAlign w:val="center"/>
          </w:tcPr>
          <w:p w14:paraId="351F6C16">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tcBorders>
            <w:noWrap w:val="0"/>
            <w:vAlign w:val="center"/>
          </w:tcPr>
          <w:p w14:paraId="60F08E9F">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18E54F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14:paraId="16807B16">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noWrap w:val="0"/>
            <w:vAlign w:val="center"/>
          </w:tcPr>
          <w:p w14:paraId="1DF14046">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noWrap w:val="0"/>
            <w:vAlign w:val="center"/>
          </w:tcPr>
          <w:p w14:paraId="4A9FBA74">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noWrap w:val="0"/>
            <w:vAlign w:val="center"/>
          </w:tcPr>
          <w:p w14:paraId="6244549A">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right w:val="single" w:color="auto" w:sz="4" w:space="0"/>
            </w:tcBorders>
            <w:noWrap w:val="0"/>
            <w:vAlign w:val="center"/>
          </w:tcPr>
          <w:p w14:paraId="2055B086">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left w:val="single" w:color="auto" w:sz="4" w:space="0"/>
              <w:right w:val="single" w:color="auto" w:sz="4" w:space="0"/>
            </w:tcBorders>
            <w:noWrap w:val="0"/>
            <w:vAlign w:val="center"/>
          </w:tcPr>
          <w:p w14:paraId="66776DC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tcBorders>
            <w:noWrap w:val="0"/>
            <w:vAlign w:val="center"/>
          </w:tcPr>
          <w:p w14:paraId="3D047BCD">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4EB194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14:paraId="32B9E789">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noWrap w:val="0"/>
            <w:vAlign w:val="center"/>
          </w:tcPr>
          <w:p w14:paraId="2565399E">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noWrap w:val="0"/>
            <w:vAlign w:val="center"/>
          </w:tcPr>
          <w:p w14:paraId="7C9201BC">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noWrap w:val="0"/>
            <w:vAlign w:val="center"/>
          </w:tcPr>
          <w:p w14:paraId="307E5C73">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right w:val="single" w:color="auto" w:sz="4" w:space="0"/>
            </w:tcBorders>
            <w:noWrap w:val="0"/>
            <w:vAlign w:val="center"/>
          </w:tcPr>
          <w:p w14:paraId="3956B67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left w:val="single" w:color="auto" w:sz="4" w:space="0"/>
              <w:right w:val="single" w:color="auto" w:sz="4" w:space="0"/>
            </w:tcBorders>
            <w:noWrap w:val="0"/>
            <w:vAlign w:val="center"/>
          </w:tcPr>
          <w:p w14:paraId="621C4F3A">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tcBorders>
            <w:noWrap w:val="0"/>
            <w:vAlign w:val="center"/>
          </w:tcPr>
          <w:p w14:paraId="12F3E67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7D6529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14:paraId="2A3E4EA2">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noWrap w:val="0"/>
            <w:vAlign w:val="center"/>
          </w:tcPr>
          <w:p w14:paraId="61C17552">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noWrap w:val="0"/>
            <w:vAlign w:val="center"/>
          </w:tcPr>
          <w:p w14:paraId="1DE008F8">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noWrap w:val="0"/>
            <w:vAlign w:val="center"/>
          </w:tcPr>
          <w:p w14:paraId="668F31CC">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right w:val="single" w:color="auto" w:sz="4" w:space="0"/>
            </w:tcBorders>
            <w:noWrap w:val="0"/>
            <w:vAlign w:val="center"/>
          </w:tcPr>
          <w:p w14:paraId="310311D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left w:val="single" w:color="auto" w:sz="4" w:space="0"/>
              <w:right w:val="single" w:color="auto" w:sz="4" w:space="0"/>
            </w:tcBorders>
            <w:noWrap w:val="0"/>
            <w:vAlign w:val="center"/>
          </w:tcPr>
          <w:p w14:paraId="4F83D342">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tcBorders>
            <w:noWrap w:val="0"/>
            <w:vAlign w:val="center"/>
          </w:tcPr>
          <w:p w14:paraId="548530BE">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489479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trPr>
        <w:tc>
          <w:tcPr>
            <w:tcW w:w="866" w:type="dxa"/>
            <w:tcBorders>
              <w:bottom w:val="single" w:color="auto" w:sz="4" w:space="0"/>
            </w:tcBorders>
            <w:noWrap w:val="0"/>
            <w:vAlign w:val="center"/>
          </w:tcPr>
          <w:p w14:paraId="102201D9">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tcBorders>
              <w:bottom w:val="single" w:color="auto" w:sz="4" w:space="0"/>
            </w:tcBorders>
            <w:noWrap w:val="0"/>
            <w:vAlign w:val="center"/>
          </w:tcPr>
          <w:p w14:paraId="61C31A41">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tcBorders>
              <w:bottom w:val="single" w:color="auto" w:sz="4" w:space="0"/>
            </w:tcBorders>
            <w:noWrap w:val="0"/>
            <w:vAlign w:val="center"/>
          </w:tcPr>
          <w:p w14:paraId="429E58D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tcBorders>
              <w:bottom w:val="single" w:color="auto" w:sz="4" w:space="0"/>
            </w:tcBorders>
            <w:noWrap w:val="0"/>
            <w:vAlign w:val="center"/>
          </w:tcPr>
          <w:p w14:paraId="353B1779">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bottom w:val="single" w:color="auto" w:sz="4" w:space="0"/>
              <w:right w:val="single" w:color="auto" w:sz="4" w:space="0"/>
            </w:tcBorders>
            <w:noWrap w:val="0"/>
            <w:vAlign w:val="center"/>
          </w:tcPr>
          <w:p w14:paraId="602698E8">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left w:val="single" w:color="auto" w:sz="4" w:space="0"/>
              <w:bottom w:val="single" w:color="auto" w:sz="4" w:space="0"/>
              <w:right w:val="single" w:color="auto" w:sz="4" w:space="0"/>
            </w:tcBorders>
            <w:noWrap w:val="0"/>
            <w:vAlign w:val="center"/>
          </w:tcPr>
          <w:p w14:paraId="54B7512C">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bottom w:val="single" w:color="auto" w:sz="4" w:space="0"/>
            </w:tcBorders>
            <w:noWrap w:val="0"/>
            <w:vAlign w:val="center"/>
          </w:tcPr>
          <w:p w14:paraId="5A7F3C0F">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73C7B8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866" w:type="dxa"/>
            <w:tcBorders>
              <w:top w:val="single" w:color="auto" w:sz="4" w:space="0"/>
              <w:bottom w:val="single" w:color="auto" w:sz="4" w:space="0"/>
            </w:tcBorders>
            <w:noWrap w:val="0"/>
            <w:vAlign w:val="center"/>
          </w:tcPr>
          <w:p w14:paraId="19D9ED23">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tcBorders>
              <w:top w:val="single" w:color="auto" w:sz="4" w:space="0"/>
              <w:bottom w:val="single" w:color="auto" w:sz="4" w:space="0"/>
            </w:tcBorders>
            <w:noWrap w:val="0"/>
            <w:vAlign w:val="center"/>
          </w:tcPr>
          <w:p w14:paraId="553B3A9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tcBorders>
              <w:top w:val="single" w:color="auto" w:sz="4" w:space="0"/>
              <w:bottom w:val="single" w:color="auto" w:sz="4" w:space="0"/>
            </w:tcBorders>
            <w:noWrap w:val="0"/>
            <w:vAlign w:val="center"/>
          </w:tcPr>
          <w:p w14:paraId="10679C0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tcBorders>
              <w:top w:val="single" w:color="auto" w:sz="4" w:space="0"/>
              <w:bottom w:val="single" w:color="auto" w:sz="4" w:space="0"/>
            </w:tcBorders>
            <w:noWrap w:val="0"/>
            <w:vAlign w:val="center"/>
          </w:tcPr>
          <w:p w14:paraId="37866890">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top w:val="single" w:color="auto" w:sz="4" w:space="0"/>
              <w:bottom w:val="single" w:color="auto" w:sz="4" w:space="0"/>
              <w:right w:val="single" w:color="auto" w:sz="4" w:space="0"/>
            </w:tcBorders>
            <w:noWrap w:val="0"/>
            <w:vAlign w:val="center"/>
          </w:tcPr>
          <w:p w14:paraId="47385864">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7D668B79">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top w:val="single" w:color="auto" w:sz="4" w:space="0"/>
              <w:left w:val="single" w:color="auto" w:sz="4" w:space="0"/>
              <w:bottom w:val="single" w:color="auto" w:sz="4" w:space="0"/>
            </w:tcBorders>
            <w:noWrap w:val="0"/>
            <w:vAlign w:val="center"/>
          </w:tcPr>
          <w:p w14:paraId="2E182F1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37CC4B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866" w:type="dxa"/>
            <w:tcBorders>
              <w:top w:val="single" w:color="auto" w:sz="4" w:space="0"/>
              <w:bottom w:val="single" w:color="auto" w:sz="4" w:space="0"/>
            </w:tcBorders>
            <w:noWrap w:val="0"/>
            <w:vAlign w:val="center"/>
          </w:tcPr>
          <w:p w14:paraId="374AA2D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tcBorders>
              <w:top w:val="single" w:color="auto" w:sz="4" w:space="0"/>
              <w:bottom w:val="single" w:color="auto" w:sz="4" w:space="0"/>
            </w:tcBorders>
            <w:noWrap w:val="0"/>
            <w:vAlign w:val="center"/>
          </w:tcPr>
          <w:p w14:paraId="57CE969F">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tcBorders>
              <w:top w:val="single" w:color="auto" w:sz="4" w:space="0"/>
              <w:bottom w:val="single" w:color="auto" w:sz="4" w:space="0"/>
            </w:tcBorders>
            <w:noWrap w:val="0"/>
            <w:vAlign w:val="center"/>
          </w:tcPr>
          <w:p w14:paraId="1D81DF58">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tcBorders>
              <w:top w:val="single" w:color="auto" w:sz="4" w:space="0"/>
              <w:bottom w:val="single" w:color="auto" w:sz="4" w:space="0"/>
            </w:tcBorders>
            <w:noWrap w:val="0"/>
            <w:vAlign w:val="center"/>
          </w:tcPr>
          <w:p w14:paraId="2312A5FC">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top w:val="single" w:color="auto" w:sz="4" w:space="0"/>
              <w:bottom w:val="single" w:color="auto" w:sz="4" w:space="0"/>
              <w:right w:val="single" w:color="auto" w:sz="4" w:space="0"/>
            </w:tcBorders>
            <w:noWrap w:val="0"/>
            <w:vAlign w:val="center"/>
          </w:tcPr>
          <w:p w14:paraId="02579811">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60C757F6">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top w:val="single" w:color="auto" w:sz="4" w:space="0"/>
              <w:left w:val="single" w:color="auto" w:sz="4" w:space="0"/>
              <w:bottom w:val="single" w:color="auto" w:sz="4" w:space="0"/>
            </w:tcBorders>
            <w:noWrap w:val="0"/>
            <w:vAlign w:val="center"/>
          </w:tcPr>
          <w:p w14:paraId="4593249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7200AA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trPr>
        <w:tc>
          <w:tcPr>
            <w:tcW w:w="866" w:type="dxa"/>
            <w:tcBorders>
              <w:top w:val="single" w:color="auto" w:sz="4" w:space="0"/>
              <w:bottom w:val="single" w:color="auto" w:sz="4" w:space="0"/>
            </w:tcBorders>
            <w:noWrap w:val="0"/>
            <w:vAlign w:val="center"/>
          </w:tcPr>
          <w:p w14:paraId="7C4A5BA6">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tcBorders>
              <w:top w:val="single" w:color="auto" w:sz="4" w:space="0"/>
              <w:bottom w:val="single" w:color="auto" w:sz="4" w:space="0"/>
            </w:tcBorders>
            <w:noWrap w:val="0"/>
            <w:vAlign w:val="center"/>
          </w:tcPr>
          <w:p w14:paraId="73300924">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tcBorders>
              <w:top w:val="single" w:color="auto" w:sz="4" w:space="0"/>
              <w:bottom w:val="single" w:color="auto" w:sz="4" w:space="0"/>
            </w:tcBorders>
            <w:noWrap w:val="0"/>
            <w:vAlign w:val="center"/>
          </w:tcPr>
          <w:p w14:paraId="29271784">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tcBorders>
              <w:top w:val="single" w:color="auto" w:sz="4" w:space="0"/>
              <w:bottom w:val="single" w:color="auto" w:sz="4" w:space="0"/>
            </w:tcBorders>
            <w:noWrap w:val="0"/>
            <w:vAlign w:val="center"/>
          </w:tcPr>
          <w:p w14:paraId="797E83D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top w:val="single" w:color="auto" w:sz="4" w:space="0"/>
              <w:bottom w:val="single" w:color="auto" w:sz="4" w:space="0"/>
              <w:right w:val="single" w:color="auto" w:sz="4" w:space="0"/>
            </w:tcBorders>
            <w:noWrap w:val="0"/>
            <w:vAlign w:val="center"/>
          </w:tcPr>
          <w:p w14:paraId="67E64B50">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220B695A">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top w:val="single" w:color="auto" w:sz="4" w:space="0"/>
              <w:left w:val="single" w:color="auto" w:sz="4" w:space="0"/>
              <w:bottom w:val="single" w:color="auto" w:sz="4" w:space="0"/>
            </w:tcBorders>
            <w:noWrap w:val="0"/>
            <w:vAlign w:val="center"/>
          </w:tcPr>
          <w:p w14:paraId="06093913">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051B23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trPr>
        <w:tc>
          <w:tcPr>
            <w:tcW w:w="866" w:type="dxa"/>
            <w:tcBorders>
              <w:top w:val="single" w:color="auto" w:sz="4" w:space="0"/>
            </w:tcBorders>
            <w:noWrap w:val="0"/>
            <w:vAlign w:val="center"/>
          </w:tcPr>
          <w:p w14:paraId="30C32D0B">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tcBorders>
              <w:top w:val="single" w:color="auto" w:sz="4" w:space="0"/>
            </w:tcBorders>
            <w:noWrap w:val="0"/>
            <w:vAlign w:val="center"/>
          </w:tcPr>
          <w:p w14:paraId="7E6A38A9">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tcBorders>
              <w:top w:val="single" w:color="auto" w:sz="4" w:space="0"/>
            </w:tcBorders>
            <w:noWrap w:val="0"/>
            <w:vAlign w:val="center"/>
          </w:tcPr>
          <w:p w14:paraId="470AA9BC">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tcBorders>
              <w:top w:val="single" w:color="auto" w:sz="4" w:space="0"/>
            </w:tcBorders>
            <w:noWrap w:val="0"/>
            <w:vAlign w:val="center"/>
          </w:tcPr>
          <w:p w14:paraId="730CAFD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top w:val="single" w:color="auto" w:sz="4" w:space="0"/>
              <w:right w:val="single" w:color="auto" w:sz="4" w:space="0"/>
            </w:tcBorders>
            <w:noWrap w:val="0"/>
            <w:vAlign w:val="center"/>
          </w:tcPr>
          <w:p w14:paraId="12FA112D">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top w:val="single" w:color="auto" w:sz="4" w:space="0"/>
              <w:left w:val="single" w:color="auto" w:sz="4" w:space="0"/>
              <w:right w:val="single" w:color="auto" w:sz="4" w:space="0"/>
            </w:tcBorders>
            <w:noWrap w:val="0"/>
            <w:vAlign w:val="center"/>
          </w:tcPr>
          <w:p w14:paraId="70C72F38">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top w:val="single" w:color="auto" w:sz="4" w:space="0"/>
              <w:left w:val="single" w:color="auto" w:sz="4" w:space="0"/>
            </w:tcBorders>
            <w:noWrap w:val="0"/>
            <w:vAlign w:val="center"/>
          </w:tcPr>
          <w:p w14:paraId="5F559C7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bl>
    <w:p w14:paraId="444BEB97">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注：投标人（仅限于投标人自己实施的）以上业绩需提供有关书面证明材料。</w:t>
      </w:r>
    </w:p>
    <w:p w14:paraId="013A1F79">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eastAsia" w:ascii="仿宋_GB2312" w:hAnsi="仿宋_GB2312" w:eastAsia="仿宋_GB2312" w:cs="仿宋_GB2312"/>
          <w:color w:val="auto"/>
          <w:sz w:val="24"/>
          <w:szCs w:val="24"/>
          <w:highlight w:val="none"/>
          <w:lang w:eastAsia="zh-CN"/>
        </w:rPr>
      </w:pPr>
    </w:p>
    <w:p w14:paraId="0C311925">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lang w:eastAsia="zh-CN"/>
        </w:rPr>
        <w:t>加盖</w:t>
      </w:r>
      <w:r>
        <w:rPr>
          <w:rFonts w:hint="eastAsia" w:ascii="仿宋_GB2312" w:hAnsi="仿宋_GB2312" w:eastAsia="仿宋_GB2312" w:cs="仿宋_GB2312"/>
          <w:color w:val="auto"/>
          <w:sz w:val="24"/>
          <w:szCs w:val="24"/>
          <w:highlight w:val="none"/>
        </w:rPr>
        <w:t>公章</w:t>
      </w:r>
      <w:r>
        <w:rPr>
          <w:rFonts w:hint="eastAsia" w:ascii="仿宋_GB2312" w:hAnsi="仿宋_GB2312" w:eastAsia="仿宋_GB2312" w:cs="仿宋_GB2312"/>
          <w:color w:val="auto"/>
          <w:sz w:val="24"/>
          <w:szCs w:val="24"/>
          <w:highlight w:val="none"/>
        </w:rPr>
        <w:t>）：</w:t>
      </w:r>
    </w:p>
    <w:p w14:paraId="223E5F6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color w:val="auto"/>
          <w:sz w:val="24"/>
          <w:highlight w:val="none"/>
        </w:r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lang w:eastAsia="zh-CN"/>
        </w:rPr>
        <w:t>：</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p>
    <w:p w14:paraId="6934E25A">
      <w:pPr>
        <w:pStyle w:val="2"/>
        <w:rPr>
          <w:rFonts w:hint="eastAsia" w:ascii="仿宋" w:hAnsi="仿宋" w:eastAsia="仿宋" w:cs="仿宋"/>
          <w:color w:val="auto"/>
          <w:sz w:val="24"/>
          <w:highlight w:val="none"/>
        </w:rPr>
      </w:pPr>
    </w:p>
    <w:p w14:paraId="19F46FAB">
      <w:pPr>
        <w:pStyle w:val="3"/>
        <w:rPr>
          <w:rFonts w:hint="eastAsia" w:ascii="仿宋" w:hAnsi="仿宋" w:eastAsia="仿宋" w:cs="仿宋"/>
          <w:color w:val="auto"/>
          <w:sz w:val="24"/>
          <w:highlight w:val="none"/>
        </w:rPr>
      </w:pPr>
    </w:p>
    <w:p w14:paraId="4C08BCAF">
      <w:pPr>
        <w:pStyle w:val="3"/>
        <w:rPr>
          <w:rFonts w:hint="eastAsia" w:ascii="仿宋" w:hAnsi="仿宋" w:eastAsia="仿宋" w:cs="仿宋"/>
          <w:color w:val="auto"/>
          <w:sz w:val="24"/>
          <w:highlight w:val="none"/>
        </w:rPr>
      </w:pPr>
    </w:p>
    <w:p w14:paraId="34342D19">
      <w:pPr>
        <w:rPr>
          <w:rFonts w:hint="eastAsia" w:ascii="仿宋" w:hAnsi="仿宋" w:eastAsia="仿宋" w:cs="仿宋"/>
          <w:b/>
          <w:color w:val="auto"/>
          <w:spacing w:val="6"/>
          <w:kern w:val="2"/>
          <w:sz w:val="30"/>
          <w:szCs w:val="30"/>
          <w:highlight w:val="none"/>
          <w:lang w:val="en-US" w:eastAsia="zh-CN" w:bidi="ar-SA"/>
        </w:rPr>
      </w:pPr>
      <w:bookmarkStart w:id="366" w:name="_Toc463"/>
      <w:r>
        <w:rPr>
          <w:rFonts w:hint="eastAsia" w:ascii="仿宋" w:hAnsi="仿宋" w:eastAsia="仿宋" w:cs="仿宋"/>
          <w:b/>
          <w:color w:val="auto"/>
          <w:spacing w:val="6"/>
          <w:kern w:val="2"/>
          <w:sz w:val="30"/>
          <w:szCs w:val="30"/>
          <w:highlight w:val="none"/>
          <w:lang w:val="en-US" w:eastAsia="zh-CN" w:bidi="ar-SA"/>
        </w:rPr>
        <w:br w:type="page"/>
      </w:r>
    </w:p>
    <w:bookmarkEnd w:id="176"/>
    <w:bookmarkEnd w:id="182"/>
    <w:bookmarkEnd w:id="183"/>
    <w:bookmarkEnd w:id="187"/>
    <w:bookmarkEnd w:id="358"/>
    <w:bookmarkEnd w:id="359"/>
    <w:bookmarkEnd w:id="360"/>
    <w:bookmarkEnd w:id="361"/>
    <w:bookmarkEnd w:id="362"/>
    <w:bookmarkEnd w:id="363"/>
    <w:bookmarkEnd w:id="364"/>
    <w:bookmarkEnd w:id="365"/>
    <w:bookmarkEnd w:id="366"/>
    <w:p w14:paraId="673A2FB9">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eastAsia" w:ascii="仿宋" w:hAnsi="仿宋" w:eastAsia="仿宋" w:cs="Times New Roman"/>
          <w:b/>
          <w:bCs/>
          <w:color w:val="auto"/>
          <w:sz w:val="36"/>
          <w:szCs w:val="36"/>
        </w:rPr>
      </w:pPr>
      <w:bookmarkStart w:id="367" w:name="_Toc28495"/>
      <w:bookmarkStart w:id="368" w:name="_Toc79959379"/>
      <w:bookmarkStart w:id="369" w:name="_Toc28654"/>
      <w:bookmarkStart w:id="370" w:name="_Toc16931"/>
      <w:bookmarkStart w:id="371" w:name="_Toc28107"/>
      <w:bookmarkStart w:id="372" w:name="PO_默认文件内容_26"/>
      <w:r>
        <w:rPr>
          <w:rFonts w:hint="eastAsia" w:ascii="仿宋" w:hAnsi="仿宋" w:eastAsia="仿宋" w:cs="Times New Roman"/>
          <w:b/>
          <w:bCs/>
          <w:color w:val="auto"/>
          <w:sz w:val="36"/>
          <w:szCs w:val="36"/>
        </w:rPr>
        <w:t xml:space="preserve">第四章  </w:t>
      </w:r>
      <w:bookmarkEnd w:id="367"/>
      <w:bookmarkEnd w:id="368"/>
      <w:bookmarkEnd w:id="369"/>
      <w:r>
        <w:rPr>
          <w:rFonts w:hint="eastAsia" w:ascii="仿宋" w:hAnsi="仿宋" w:eastAsia="仿宋" w:cs="Times New Roman"/>
          <w:b/>
          <w:bCs/>
          <w:color w:val="auto"/>
          <w:sz w:val="36"/>
          <w:szCs w:val="36"/>
        </w:rPr>
        <w:t>投标人的资格、资质性及其他类似效力要求</w:t>
      </w:r>
      <w:bookmarkEnd w:id="370"/>
      <w:bookmarkEnd w:id="371"/>
    </w:p>
    <w:p w14:paraId="0577896A">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1"/>
        <w:rPr>
          <w:rFonts w:hint="eastAsia" w:ascii="仿宋" w:hAnsi="仿宋" w:eastAsia="仿宋"/>
          <w:b/>
          <w:bCs/>
          <w:color w:val="auto"/>
          <w:sz w:val="28"/>
          <w:szCs w:val="28"/>
          <w:lang w:eastAsia="zh-CN"/>
        </w:rPr>
      </w:pPr>
      <w:bookmarkStart w:id="373" w:name="_Toc79959380"/>
      <w:bookmarkStart w:id="374" w:name="_Toc12914"/>
      <w:bookmarkStart w:id="375" w:name="_Toc18102"/>
      <w:r>
        <w:rPr>
          <w:rFonts w:hint="eastAsia" w:ascii="仿宋" w:hAnsi="仿宋" w:eastAsia="仿宋"/>
          <w:b/>
          <w:bCs/>
          <w:color w:val="auto"/>
          <w:sz w:val="28"/>
          <w:szCs w:val="28"/>
        </w:rPr>
        <w:t>一、投标人资格、资质性要求</w:t>
      </w:r>
      <w:bookmarkEnd w:id="373"/>
      <w:bookmarkEnd w:id="374"/>
      <w:r>
        <w:rPr>
          <w:rFonts w:hint="eastAsia" w:ascii="仿宋" w:hAnsi="仿宋" w:eastAsia="仿宋"/>
          <w:b/>
          <w:bCs/>
          <w:color w:val="auto"/>
          <w:sz w:val="28"/>
          <w:szCs w:val="28"/>
          <w:lang w:eastAsia="zh-CN"/>
        </w:rPr>
        <w:t>（</w:t>
      </w:r>
      <w:r>
        <w:rPr>
          <w:rFonts w:hint="eastAsia" w:ascii="仿宋" w:hAnsi="仿宋" w:eastAsia="仿宋"/>
          <w:b/>
          <w:bCs/>
          <w:color w:val="auto"/>
          <w:sz w:val="28"/>
          <w:szCs w:val="28"/>
          <w:lang w:val="en-US" w:eastAsia="zh-CN"/>
        </w:rPr>
        <w:t>各包相同</w:t>
      </w:r>
      <w:r>
        <w:rPr>
          <w:rFonts w:hint="eastAsia" w:ascii="仿宋" w:hAnsi="仿宋" w:eastAsia="仿宋"/>
          <w:b/>
          <w:bCs/>
          <w:color w:val="auto"/>
          <w:sz w:val="28"/>
          <w:szCs w:val="28"/>
          <w:lang w:eastAsia="zh-CN"/>
        </w:rPr>
        <w:t>）</w:t>
      </w:r>
      <w:bookmarkEnd w:id="375"/>
    </w:p>
    <w:p w14:paraId="75B22336">
      <w:pPr>
        <w:pStyle w:val="51"/>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9"/>
        <w:rPr>
          <w:rFonts w:ascii="仿宋" w:hAnsi="仿宋"/>
          <w:color w:val="auto"/>
        </w:rPr>
      </w:pPr>
      <w:r>
        <w:rPr>
          <w:rFonts w:hint="eastAsia" w:ascii="仿宋" w:hAnsi="仿宋"/>
          <w:color w:val="auto"/>
        </w:rPr>
        <w:t>1、具有独立承担民事责任的能力</w:t>
      </w:r>
      <w:r>
        <w:rPr>
          <w:rFonts w:ascii="仿宋" w:hAnsi="仿宋"/>
          <w:color w:val="auto"/>
        </w:rPr>
        <w:t>；</w:t>
      </w:r>
    </w:p>
    <w:p w14:paraId="421006D1">
      <w:pPr>
        <w:keepNext w:val="0"/>
        <w:keepLines w:val="0"/>
        <w:pageBreakBefore w:val="0"/>
        <w:widowControl w:val="0"/>
        <w:tabs>
          <w:tab w:val="left" w:pos="7665"/>
        </w:tabs>
        <w:kinsoku/>
        <w:wordWrap/>
        <w:overflowPunct/>
        <w:topLinePunct w:val="0"/>
        <w:autoSpaceDE/>
        <w:autoSpaceDN/>
        <w:bidi w:val="0"/>
        <w:adjustRightInd/>
        <w:snapToGrid/>
        <w:spacing w:after="0" w:line="360" w:lineRule="auto"/>
        <w:textAlignment w:val="auto"/>
        <w:outlineLvl w:val="9"/>
        <w:rPr>
          <w:rFonts w:ascii="仿宋" w:hAnsi="仿宋" w:eastAsia="仿宋"/>
          <w:color w:val="auto"/>
          <w:sz w:val="24"/>
        </w:rPr>
      </w:pPr>
      <w:r>
        <w:rPr>
          <w:rFonts w:hint="eastAsia" w:ascii="仿宋" w:hAnsi="仿宋" w:eastAsia="仿宋"/>
          <w:color w:val="auto"/>
          <w:sz w:val="24"/>
        </w:rPr>
        <w:t>2、具有良好的商业信誉和健全的财务会计制度；</w:t>
      </w:r>
    </w:p>
    <w:p w14:paraId="79C3142E">
      <w:pPr>
        <w:keepNext w:val="0"/>
        <w:keepLines w:val="0"/>
        <w:pageBreakBefore w:val="0"/>
        <w:widowControl w:val="0"/>
        <w:tabs>
          <w:tab w:val="left" w:pos="7665"/>
        </w:tabs>
        <w:kinsoku/>
        <w:wordWrap/>
        <w:overflowPunct/>
        <w:topLinePunct w:val="0"/>
        <w:autoSpaceDE/>
        <w:autoSpaceDN/>
        <w:bidi w:val="0"/>
        <w:adjustRightInd/>
        <w:snapToGrid/>
        <w:spacing w:after="0" w:line="360" w:lineRule="auto"/>
        <w:textAlignment w:val="auto"/>
        <w:outlineLvl w:val="9"/>
        <w:rPr>
          <w:rFonts w:ascii="仿宋" w:hAnsi="仿宋" w:eastAsia="仿宋"/>
          <w:color w:val="auto"/>
          <w:sz w:val="24"/>
        </w:rPr>
      </w:pPr>
      <w:r>
        <w:rPr>
          <w:rFonts w:hint="eastAsia" w:ascii="仿宋" w:hAnsi="仿宋" w:eastAsia="仿宋"/>
          <w:color w:val="auto"/>
          <w:sz w:val="24"/>
        </w:rPr>
        <w:t>3、具有履行合同所必</w:t>
      </w:r>
      <w:r>
        <w:rPr>
          <w:rFonts w:hint="eastAsia" w:ascii="仿宋" w:hAnsi="仿宋" w:eastAsia="仿宋"/>
          <w:color w:val="auto"/>
          <w:sz w:val="24"/>
          <w:lang w:eastAsia="zh-CN"/>
        </w:rPr>
        <w:t>需</w:t>
      </w:r>
      <w:r>
        <w:rPr>
          <w:rFonts w:hint="eastAsia" w:ascii="仿宋" w:hAnsi="仿宋" w:eastAsia="仿宋"/>
          <w:color w:val="auto"/>
          <w:sz w:val="24"/>
        </w:rPr>
        <w:t>的设备和专业技术能力；</w:t>
      </w:r>
    </w:p>
    <w:p w14:paraId="7F5BD31A">
      <w:pPr>
        <w:keepNext w:val="0"/>
        <w:keepLines w:val="0"/>
        <w:pageBreakBefore w:val="0"/>
        <w:widowControl w:val="0"/>
        <w:tabs>
          <w:tab w:val="left" w:pos="7665"/>
        </w:tabs>
        <w:kinsoku/>
        <w:wordWrap/>
        <w:overflowPunct/>
        <w:topLinePunct w:val="0"/>
        <w:autoSpaceDE/>
        <w:autoSpaceDN/>
        <w:bidi w:val="0"/>
        <w:adjustRightInd/>
        <w:snapToGrid/>
        <w:spacing w:after="0" w:line="360" w:lineRule="auto"/>
        <w:textAlignment w:val="auto"/>
        <w:outlineLvl w:val="9"/>
        <w:rPr>
          <w:rFonts w:ascii="仿宋" w:hAnsi="仿宋" w:eastAsia="仿宋"/>
          <w:color w:val="auto"/>
          <w:sz w:val="24"/>
        </w:rPr>
      </w:pPr>
      <w:r>
        <w:rPr>
          <w:rFonts w:hint="eastAsia" w:ascii="仿宋" w:hAnsi="仿宋" w:eastAsia="仿宋"/>
          <w:color w:val="auto"/>
          <w:sz w:val="24"/>
        </w:rPr>
        <w:t>4、具有依法缴纳税收和社会保障资金的良好记录；</w:t>
      </w:r>
    </w:p>
    <w:p w14:paraId="261EBEC5">
      <w:pPr>
        <w:keepNext w:val="0"/>
        <w:keepLines w:val="0"/>
        <w:pageBreakBefore w:val="0"/>
        <w:widowControl w:val="0"/>
        <w:tabs>
          <w:tab w:val="left" w:pos="7665"/>
        </w:tabs>
        <w:kinsoku/>
        <w:wordWrap/>
        <w:overflowPunct/>
        <w:topLinePunct w:val="0"/>
        <w:autoSpaceDE/>
        <w:autoSpaceDN/>
        <w:bidi w:val="0"/>
        <w:adjustRightInd/>
        <w:snapToGrid/>
        <w:spacing w:after="0" w:line="360" w:lineRule="auto"/>
        <w:textAlignment w:val="auto"/>
        <w:outlineLvl w:val="9"/>
        <w:rPr>
          <w:rFonts w:ascii="仿宋" w:hAnsi="仿宋" w:eastAsia="仿宋"/>
          <w:color w:val="auto"/>
          <w:sz w:val="24"/>
        </w:rPr>
      </w:pPr>
      <w:r>
        <w:rPr>
          <w:rFonts w:hint="eastAsia" w:ascii="仿宋" w:hAnsi="仿宋" w:eastAsia="仿宋"/>
          <w:color w:val="auto"/>
          <w:sz w:val="24"/>
        </w:rPr>
        <w:t>5、参加本次采购活动前三年内，在经营活动中没有重大违法记录；</w:t>
      </w:r>
    </w:p>
    <w:p w14:paraId="339CFB23">
      <w:pPr>
        <w:pStyle w:val="51"/>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9"/>
        <w:rPr>
          <w:rFonts w:ascii="仿宋" w:hAnsi="仿宋"/>
          <w:color w:val="auto"/>
        </w:rPr>
      </w:pPr>
      <w:r>
        <w:rPr>
          <w:rFonts w:hint="eastAsia" w:ascii="仿宋" w:hAnsi="仿宋"/>
          <w:color w:val="auto"/>
        </w:rPr>
        <w:t>6、法律、行政法规规定的其他条件；</w:t>
      </w:r>
    </w:p>
    <w:p w14:paraId="0DC10E30">
      <w:pPr>
        <w:pStyle w:val="51"/>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9"/>
        <w:rPr>
          <w:rFonts w:hint="eastAsia" w:ascii="仿宋" w:hAnsi="仿宋" w:eastAsia="仿宋" w:cs="宋体"/>
          <w:color w:val="auto"/>
          <w:lang w:eastAsia="zh-CN"/>
        </w:rPr>
      </w:pPr>
      <w:r>
        <w:rPr>
          <w:rFonts w:hint="eastAsia" w:ascii="仿宋" w:hAnsi="仿宋" w:cs="宋体"/>
          <w:color w:val="auto"/>
        </w:rPr>
        <w:t>7、</w:t>
      </w:r>
      <w:r>
        <w:rPr>
          <w:rFonts w:hint="eastAsia" w:ascii="仿宋" w:hAnsi="仿宋" w:eastAsia="仿宋"/>
          <w:b w:val="0"/>
          <w:bCs w:val="0"/>
          <w:color w:val="auto"/>
          <w:sz w:val="24"/>
          <w:highlight w:val="none"/>
          <w:lang w:val="en-US" w:eastAsia="zh-CN"/>
        </w:rPr>
        <w:t>本项目的特殊资质性要求：（各包相同）</w:t>
      </w:r>
    </w:p>
    <w:p w14:paraId="41F210E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 w:val="0"/>
          <w:bCs w:val="0"/>
          <w:color w:val="auto"/>
          <w:sz w:val="24"/>
          <w:szCs w:val="24"/>
          <w:lang w:val="en-US" w:eastAsia="zh-CN"/>
        </w:rPr>
      </w:pPr>
      <w:bookmarkStart w:id="376" w:name="_Toc18626"/>
      <w:bookmarkStart w:id="377" w:name="_Toc1904"/>
      <w:bookmarkStart w:id="378" w:name="_Toc25072"/>
      <w:bookmarkStart w:id="379" w:name="_Toc20398"/>
      <w:bookmarkStart w:id="380" w:name="_Toc22941"/>
      <w:bookmarkStart w:id="381" w:name="_Toc2564"/>
      <w:r>
        <w:rPr>
          <w:rFonts w:hint="eastAsia" w:ascii="仿宋" w:hAnsi="仿宋" w:eastAsia="仿宋" w:cs="Times New Roman"/>
          <w:b w:val="0"/>
          <w:bCs w:val="0"/>
          <w:color w:val="auto"/>
          <w:sz w:val="24"/>
          <w:szCs w:val="24"/>
          <w:lang w:val="en-US" w:eastAsia="zh-CN"/>
        </w:rPr>
        <w:t>（1）投标产品为医疗器械时，三类医疗器械：须具有投标人的《医疗器械经营许可证》复印件；二类医疗器械：须具有投标人的医疗器械经营备案凭证复印件；一类医疗器械可不提供。（根据国办发【2017】41号政策要求“多证合一”的营业执照除外）</w:t>
      </w:r>
    </w:p>
    <w:p w14:paraId="3EA626A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 w:val="0"/>
          <w:bCs w:val="0"/>
          <w:color w:val="auto"/>
          <w:sz w:val="24"/>
          <w:szCs w:val="24"/>
          <w:lang w:val="en-US" w:eastAsia="zh-CN"/>
        </w:rPr>
      </w:pPr>
      <w:r>
        <w:rPr>
          <w:rFonts w:hint="eastAsia" w:ascii="仿宋" w:hAnsi="仿宋" w:eastAsia="仿宋" w:cs="Times New Roman"/>
          <w:b w:val="0"/>
          <w:bCs w:val="0"/>
          <w:color w:val="auto"/>
          <w:sz w:val="24"/>
          <w:szCs w:val="24"/>
          <w:lang w:val="en-US" w:eastAsia="zh-CN"/>
        </w:rPr>
        <w:t>(2)需具有相关的资质：销售厂家营业执照、医疗器械经营许可证、生产厂家营业执照、医疗器械生产许可证、产品注册证或者备案文件、产品宣传彩页或者其他证明文件。</w:t>
      </w:r>
    </w:p>
    <w:p w14:paraId="7A26EC6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 w:val="0"/>
          <w:bCs w:val="0"/>
          <w:color w:val="auto"/>
          <w:sz w:val="24"/>
          <w:szCs w:val="24"/>
          <w:lang w:val="en-US" w:eastAsia="zh-CN"/>
        </w:rPr>
      </w:pPr>
      <w:r>
        <w:rPr>
          <w:rFonts w:hint="eastAsia" w:ascii="仿宋" w:hAnsi="仿宋" w:eastAsia="仿宋" w:cs="Times New Roman"/>
          <w:b w:val="0"/>
          <w:bCs w:val="0"/>
          <w:color w:val="auto"/>
          <w:sz w:val="24"/>
          <w:szCs w:val="24"/>
          <w:lang w:val="en-US" w:eastAsia="zh-CN"/>
        </w:rPr>
        <w:t>(3)需具有合法进货渠道证明的相关文件和国家要求相关耗材资质。</w:t>
      </w:r>
    </w:p>
    <w:p w14:paraId="516586B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 w:val="0"/>
          <w:bCs w:val="0"/>
          <w:color w:val="auto"/>
          <w:sz w:val="24"/>
          <w:szCs w:val="24"/>
          <w:lang w:val="en-US" w:eastAsia="zh-CN"/>
        </w:rPr>
      </w:pPr>
      <w:r>
        <w:rPr>
          <w:rFonts w:hint="eastAsia" w:ascii="仿宋" w:hAnsi="仿宋" w:eastAsia="仿宋" w:cs="Times New Roman"/>
          <w:b w:val="0"/>
          <w:bCs w:val="0"/>
          <w:color w:val="auto"/>
          <w:sz w:val="24"/>
          <w:szCs w:val="24"/>
          <w:lang w:val="en-US" w:eastAsia="zh-CN"/>
        </w:rPr>
        <w:t>(4)投标产品为进口产品时：投标人非投标产品制造商的需具有产品制造商对投标产品的授权，或具有授权权限的代理商对投标产品的授权（且需提供该代理商具有有效授权权限的相关证明文件，证明文件需能显示产品制造商对投标产品授权链条的完整性）。</w:t>
      </w:r>
    </w:p>
    <w:p w14:paraId="441130F6">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1"/>
        <w:rPr>
          <w:rFonts w:hint="eastAsia" w:ascii="仿宋" w:hAnsi="仿宋" w:eastAsia="仿宋" w:cs="Times New Roman"/>
          <w:b/>
          <w:bCs/>
          <w:color w:val="auto"/>
          <w:sz w:val="28"/>
          <w:szCs w:val="28"/>
          <w:lang w:eastAsia="zh-CN"/>
        </w:rPr>
      </w:pPr>
      <w:bookmarkStart w:id="382" w:name="_Toc17889"/>
      <w:r>
        <w:rPr>
          <w:rFonts w:hint="eastAsia" w:ascii="仿宋" w:hAnsi="仿宋" w:eastAsia="仿宋" w:cs="Times New Roman"/>
          <w:b/>
          <w:bCs/>
          <w:color w:val="auto"/>
          <w:sz w:val="28"/>
          <w:szCs w:val="28"/>
          <w:lang w:eastAsia="zh-CN"/>
        </w:rPr>
        <w:t>二、投标人其他类似效力要求</w:t>
      </w:r>
      <w:bookmarkEnd w:id="376"/>
      <w:bookmarkEnd w:id="377"/>
      <w:bookmarkEnd w:id="378"/>
      <w:bookmarkEnd w:id="379"/>
      <w:bookmarkEnd w:id="380"/>
      <w:bookmarkEnd w:id="381"/>
      <w:bookmarkEnd w:id="382"/>
    </w:p>
    <w:p w14:paraId="3FD69946">
      <w:pPr>
        <w:pStyle w:val="51"/>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9"/>
        <w:rPr>
          <w:rFonts w:hint="eastAsia" w:ascii="仿宋" w:hAnsi="仿宋" w:cs="宋体"/>
          <w:color w:val="auto"/>
          <w:lang w:val="en-US" w:eastAsia="zh-CN"/>
        </w:rPr>
      </w:pPr>
      <w:r>
        <w:rPr>
          <w:rFonts w:hint="eastAsia" w:ascii="仿宋" w:hAnsi="仿宋"/>
          <w:color w:val="auto"/>
          <w:sz w:val="24"/>
          <w:highlight w:val="none"/>
          <w:lang w:val="en-US" w:eastAsia="zh-CN"/>
        </w:rPr>
        <w:t>1、</w:t>
      </w:r>
      <w:r>
        <w:rPr>
          <w:rFonts w:hint="eastAsia" w:ascii="仿宋" w:hAnsi="仿宋" w:cs="宋体"/>
          <w:color w:val="auto"/>
          <w:lang w:val="en-US" w:eastAsia="zh-CN"/>
        </w:rPr>
        <w:t>按照规定获取了招标文件。</w:t>
      </w:r>
    </w:p>
    <w:p w14:paraId="7EA976C8">
      <w:pPr>
        <w:pStyle w:val="51"/>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9"/>
        <w:rPr>
          <w:rFonts w:hint="eastAsia" w:ascii="仿宋" w:hAnsi="仿宋" w:cs="宋体"/>
          <w:color w:val="auto"/>
          <w:lang w:eastAsia="zh-CN"/>
        </w:rPr>
      </w:pPr>
      <w:r>
        <w:rPr>
          <w:rFonts w:hint="eastAsia" w:ascii="仿宋" w:hAnsi="仿宋" w:cs="宋体"/>
          <w:color w:val="auto"/>
          <w:lang w:val="en-US" w:eastAsia="zh-CN"/>
        </w:rPr>
        <w:t>2、</w:t>
      </w:r>
      <w:r>
        <w:rPr>
          <w:rFonts w:hint="eastAsia" w:ascii="仿宋" w:hAnsi="仿宋" w:cs="宋体"/>
          <w:color w:val="auto"/>
        </w:rPr>
        <w:t>参加本次投标活动的投标人代表证明材料</w:t>
      </w:r>
      <w:r>
        <w:rPr>
          <w:rFonts w:hint="eastAsia" w:ascii="仿宋" w:hAnsi="仿宋" w:cs="宋体"/>
          <w:color w:val="auto"/>
          <w:lang w:eastAsia="zh-CN"/>
        </w:rPr>
        <w:t>。</w:t>
      </w:r>
    </w:p>
    <w:p w14:paraId="226E22A9">
      <w:pPr>
        <w:pStyle w:val="51"/>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9"/>
        <w:rPr>
          <w:rFonts w:ascii="仿宋" w:hAnsi="仿宋"/>
          <w:b/>
          <w:color w:val="auto"/>
        </w:rPr>
      </w:pPr>
    </w:p>
    <w:p w14:paraId="3349F058">
      <w:pPr>
        <w:keepNext w:val="0"/>
        <w:keepLines w:val="0"/>
        <w:pageBreakBefore w:val="0"/>
        <w:widowControl w:val="0"/>
        <w:kinsoku/>
        <w:wordWrap/>
        <w:overflowPunct/>
        <w:topLinePunct w:val="0"/>
        <w:autoSpaceDE/>
        <w:autoSpaceDN/>
        <w:bidi w:val="0"/>
        <w:adjustRightInd/>
        <w:snapToGrid/>
        <w:spacing w:line="260" w:lineRule="auto"/>
        <w:jc w:val="center"/>
        <w:textAlignment w:val="auto"/>
        <w:outlineLvl w:val="0"/>
        <w:rPr>
          <w:rFonts w:ascii="仿宋" w:hAnsi="仿宋" w:eastAsia="仿宋"/>
          <w:color w:val="auto"/>
          <w:sz w:val="36"/>
          <w:szCs w:val="36"/>
        </w:rPr>
      </w:pPr>
      <w:bookmarkStart w:id="383" w:name="_Toc3806"/>
      <w:bookmarkStart w:id="384" w:name="_Toc1588"/>
      <w:r>
        <w:rPr>
          <w:rFonts w:hint="eastAsia" w:ascii="仿宋" w:hAnsi="仿宋" w:eastAsia="仿宋"/>
          <w:color w:val="auto"/>
          <w:sz w:val="36"/>
          <w:szCs w:val="36"/>
        </w:rPr>
        <w:br w:type="page"/>
      </w:r>
      <w:bookmarkStart w:id="385" w:name="_Toc26568"/>
      <w:bookmarkStart w:id="386" w:name="_Toc3024"/>
      <w:r>
        <w:rPr>
          <w:rFonts w:hint="eastAsia" w:ascii="仿宋" w:hAnsi="仿宋" w:eastAsia="仿宋" w:cs="Times New Roman"/>
          <w:b/>
          <w:bCs/>
          <w:color w:val="auto"/>
          <w:sz w:val="36"/>
          <w:szCs w:val="36"/>
        </w:rPr>
        <w:t xml:space="preserve">第五章  </w:t>
      </w:r>
      <w:bookmarkEnd w:id="383"/>
      <w:bookmarkEnd w:id="384"/>
      <w:r>
        <w:rPr>
          <w:rFonts w:hint="eastAsia" w:ascii="仿宋" w:hAnsi="仿宋" w:eastAsia="仿宋" w:cs="仿宋"/>
          <w:b/>
          <w:bCs w:val="0"/>
          <w:color w:val="auto"/>
          <w:kern w:val="44"/>
          <w:sz w:val="36"/>
          <w:szCs w:val="44"/>
          <w:highlight w:val="none"/>
          <w:lang w:val="en-US" w:eastAsia="zh-CN" w:bidi="ar-SA"/>
        </w:rPr>
        <w:t>投标人应当提供的资格、资质性及其他类似效力要求的相关证明材料</w:t>
      </w:r>
      <w:bookmarkEnd w:id="385"/>
      <w:bookmarkEnd w:id="386"/>
    </w:p>
    <w:p w14:paraId="6D48E200">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1"/>
        <w:rPr>
          <w:rFonts w:hint="eastAsia" w:ascii="仿宋" w:hAnsi="仿宋" w:eastAsia="仿宋"/>
          <w:b/>
          <w:bCs/>
          <w:color w:val="auto"/>
          <w:sz w:val="28"/>
          <w:szCs w:val="28"/>
          <w:lang w:eastAsia="zh-CN"/>
        </w:rPr>
      </w:pPr>
      <w:bookmarkStart w:id="387" w:name="_Toc79959383"/>
      <w:bookmarkStart w:id="388" w:name="_Toc15770"/>
      <w:bookmarkStart w:id="389" w:name="_Toc11340"/>
      <w:r>
        <w:rPr>
          <w:rFonts w:hint="eastAsia" w:ascii="仿宋" w:hAnsi="仿宋" w:eastAsia="仿宋"/>
          <w:b/>
          <w:bCs/>
          <w:color w:val="auto"/>
          <w:sz w:val="28"/>
          <w:szCs w:val="28"/>
        </w:rPr>
        <w:t>一、</w:t>
      </w:r>
      <w:bookmarkEnd w:id="387"/>
      <w:r>
        <w:rPr>
          <w:rFonts w:hint="eastAsia" w:ascii="仿宋" w:hAnsi="仿宋" w:eastAsia="仿宋"/>
          <w:b/>
          <w:bCs/>
          <w:color w:val="auto"/>
          <w:sz w:val="28"/>
          <w:szCs w:val="28"/>
        </w:rPr>
        <w:t>投标人应当提供的资格、资质性要求的相关证明材料</w:t>
      </w:r>
      <w:bookmarkEnd w:id="388"/>
      <w:r>
        <w:rPr>
          <w:rFonts w:hint="eastAsia" w:ascii="仿宋" w:hAnsi="仿宋" w:eastAsia="仿宋"/>
          <w:b/>
          <w:bCs/>
          <w:color w:val="auto"/>
          <w:sz w:val="28"/>
          <w:szCs w:val="28"/>
          <w:lang w:val="en-US" w:eastAsia="zh-CN"/>
        </w:rPr>
        <w:t>（各包相同）</w:t>
      </w:r>
      <w:bookmarkEnd w:id="389"/>
    </w:p>
    <w:p w14:paraId="31AAD59A">
      <w:pPr>
        <w:pStyle w:val="51"/>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具有独立承担民事责任的能力</w:t>
      </w:r>
      <w:r>
        <w:rPr>
          <w:rFonts w:hint="eastAsia" w:ascii="仿宋" w:hAnsi="仿宋" w:eastAsia="仿宋" w:cs="仿宋"/>
          <w:b/>
          <w:bCs/>
          <w:color w:val="auto"/>
          <w:sz w:val="24"/>
          <w:szCs w:val="24"/>
          <w:highlight w:val="none"/>
          <w:lang w:val="en-US" w:eastAsia="zh-CN"/>
        </w:rPr>
        <w:t>：</w:t>
      </w:r>
    </w:p>
    <w:p w14:paraId="2A633EE4">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①投标人若为企业法人：提供“统一社会信用代码营业执照”</w:t>
      </w:r>
      <w:r>
        <w:rPr>
          <w:rFonts w:hint="eastAsia" w:ascii="仿宋" w:hAnsi="仿宋" w:eastAsia="仿宋" w:cs="仿宋"/>
          <w:color w:val="auto"/>
          <w:sz w:val="24"/>
          <w:szCs w:val="24"/>
          <w:highlight w:val="none"/>
          <w:lang w:val="en-US" w:eastAsia="zh-CN"/>
        </w:rPr>
        <w:t>复印件</w:t>
      </w:r>
      <w:r>
        <w:rPr>
          <w:rFonts w:hint="eastAsia" w:ascii="仿宋" w:hAnsi="仿宋" w:eastAsia="仿宋" w:cs="仿宋"/>
          <w:color w:val="auto"/>
          <w:sz w:val="24"/>
          <w:szCs w:val="24"/>
          <w:highlight w:val="none"/>
          <w:lang w:val="en-US" w:eastAsia="zh-CN"/>
        </w:rPr>
        <w:t>；</w:t>
      </w:r>
    </w:p>
    <w:p w14:paraId="0770A220">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②若为事业法人：提供“统一社会信用代码法人登记证书”</w:t>
      </w:r>
      <w:r>
        <w:rPr>
          <w:rFonts w:hint="eastAsia" w:ascii="仿宋" w:hAnsi="仿宋" w:eastAsia="仿宋" w:cs="仿宋"/>
          <w:color w:val="auto"/>
          <w:sz w:val="24"/>
          <w:szCs w:val="24"/>
          <w:highlight w:val="none"/>
          <w:lang w:val="en-US" w:eastAsia="zh-CN"/>
        </w:rPr>
        <w:t>复印件</w:t>
      </w:r>
      <w:r>
        <w:rPr>
          <w:rFonts w:hint="eastAsia" w:ascii="仿宋" w:hAnsi="仿宋" w:eastAsia="仿宋" w:cs="仿宋"/>
          <w:color w:val="auto"/>
          <w:sz w:val="24"/>
          <w:szCs w:val="24"/>
          <w:highlight w:val="none"/>
          <w:lang w:val="en-US" w:eastAsia="zh-CN"/>
        </w:rPr>
        <w:t>；</w:t>
      </w:r>
    </w:p>
    <w:p w14:paraId="113C6C7E">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③若为其他组织：提供“对应主管部</w:t>
      </w:r>
      <w:r>
        <w:rPr>
          <w:rFonts w:hint="eastAsia" w:ascii="仿宋" w:hAnsi="仿宋" w:eastAsia="仿宋" w:cs="仿宋"/>
          <w:color w:val="auto"/>
          <w:sz w:val="24"/>
          <w:szCs w:val="24"/>
          <w:highlight w:val="none"/>
          <w:lang w:val="en-US" w:eastAsia="zh-CN"/>
        </w:rPr>
        <w:t>门颁发的准许执业证明文件或营业执照”复印件；</w:t>
      </w:r>
    </w:p>
    <w:p w14:paraId="19E0AFAC">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④投标人若为自然人：提供“身份证明材料”复印件。</w:t>
      </w:r>
    </w:p>
    <w:p w14:paraId="08C4BD11">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2、具有良好的商业信誉和健全的财务会计制度：</w:t>
      </w:r>
    </w:p>
    <w:p w14:paraId="1D32274E">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2" w:firstLineChars="200"/>
        <w:textAlignment w:val="auto"/>
        <w:outlineLvl w:val="9"/>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（1）具有良好的商业信誉：</w:t>
      </w:r>
      <w:r>
        <w:rPr>
          <w:rFonts w:hint="eastAsia" w:ascii="仿宋" w:hAnsi="仿宋" w:eastAsia="仿宋" w:cs="仿宋"/>
          <w:b w:val="0"/>
          <w:bCs/>
          <w:color w:val="auto"/>
          <w:sz w:val="24"/>
          <w:szCs w:val="24"/>
          <w:highlight w:val="none"/>
          <w:lang w:val="en-US" w:eastAsia="zh-CN"/>
        </w:rPr>
        <w:t>提供具有良好的商业信誉承诺。</w:t>
      </w:r>
    </w:p>
    <w:p w14:paraId="75D76381">
      <w:pPr>
        <w:pStyle w:val="61"/>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（2）具有健全的财务会计制度：</w:t>
      </w:r>
      <w:r>
        <w:rPr>
          <w:rFonts w:hint="eastAsia" w:ascii="仿宋" w:hAnsi="仿宋" w:eastAsia="仿宋" w:cs="仿宋"/>
          <w:b w:val="0"/>
          <w:bCs/>
          <w:color w:val="auto"/>
          <w:sz w:val="24"/>
          <w:szCs w:val="24"/>
          <w:highlight w:val="none"/>
          <w:lang w:val="en-US" w:eastAsia="zh-CN"/>
        </w:rPr>
        <w:t>提供①可提供近三年（任意一年）投标人经审计的完整有效的财务报告复印件；②也可提供近三年（任意一年）投标人内部的财务报表复印件（至少应包含资产负债表、现金流量表、利润表）；③也可提供距文件递交截止日一年内银行出具的资信证明（复印件）；④投标人注册时间至文件递交截止日不足一年的，也可提供在市场监督管理部门备案的公司章程（复印件）；⑤非营利性单位或者社会团体或者其他机关事业单位以符合财务会计制度为准。⑥也可提供承诺函（格式自拟）。</w:t>
      </w:r>
    </w:p>
    <w:p w14:paraId="49AC5A1F">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具有履行合同所必</w:t>
      </w:r>
      <w:r>
        <w:rPr>
          <w:rFonts w:hint="eastAsia" w:ascii="仿宋" w:hAnsi="仿宋" w:eastAsia="仿宋" w:cs="仿宋"/>
          <w:b/>
          <w:bCs/>
          <w:color w:val="auto"/>
          <w:sz w:val="24"/>
          <w:szCs w:val="24"/>
          <w:highlight w:val="none"/>
          <w:lang w:eastAsia="zh-CN"/>
        </w:rPr>
        <w:t>需</w:t>
      </w:r>
      <w:r>
        <w:rPr>
          <w:rFonts w:hint="eastAsia" w:ascii="仿宋" w:hAnsi="仿宋" w:eastAsia="仿宋" w:cs="仿宋"/>
          <w:b/>
          <w:bCs/>
          <w:color w:val="auto"/>
          <w:sz w:val="24"/>
          <w:szCs w:val="24"/>
          <w:highlight w:val="none"/>
        </w:rPr>
        <w:t>的设备和专业技术能力</w:t>
      </w:r>
      <w:r>
        <w:rPr>
          <w:rFonts w:hint="eastAsia" w:ascii="仿宋" w:hAnsi="仿宋" w:eastAsia="仿宋" w:cs="仿宋"/>
          <w:color w:val="auto"/>
          <w:sz w:val="24"/>
          <w:szCs w:val="24"/>
          <w:highlight w:val="none"/>
          <w:lang w:val="en-US" w:eastAsia="zh-CN"/>
        </w:rPr>
        <w:t>：提供投标人能力情况说明或同等效力的其他证明材料或声明函（格式自拟）。</w:t>
      </w:r>
    </w:p>
    <w:p w14:paraId="677F104D">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2"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具有依法缴纳税收和社会保障资金的良好记录</w:t>
      </w:r>
      <w:r>
        <w:rPr>
          <w:rFonts w:hint="eastAsia" w:ascii="仿宋" w:hAnsi="仿宋" w:eastAsia="仿宋" w:cs="仿宋"/>
          <w:color w:val="auto"/>
          <w:sz w:val="24"/>
          <w:szCs w:val="24"/>
          <w:highlight w:val="none"/>
          <w:lang w:val="en-US" w:eastAsia="zh-CN"/>
        </w:rPr>
        <w:t>：提供</w:t>
      </w:r>
      <w:r>
        <w:rPr>
          <w:rFonts w:hint="eastAsia" w:ascii="仿宋" w:hAnsi="仿宋" w:eastAsia="仿宋" w:cs="仿宋"/>
          <w:b w:val="0"/>
          <w:bCs w:val="0"/>
          <w:color w:val="auto"/>
          <w:sz w:val="24"/>
          <w:szCs w:val="24"/>
          <w:highlight w:val="none"/>
        </w:rPr>
        <w:t>依法缴纳税收和社会保障资金</w:t>
      </w:r>
      <w:r>
        <w:rPr>
          <w:rFonts w:hint="eastAsia" w:ascii="仿宋" w:hAnsi="仿宋" w:eastAsia="仿宋" w:cs="仿宋"/>
          <w:b w:val="0"/>
          <w:bCs w:val="0"/>
          <w:color w:val="auto"/>
          <w:sz w:val="24"/>
          <w:szCs w:val="24"/>
          <w:highlight w:val="none"/>
          <w:lang w:eastAsia="zh-CN"/>
        </w:rPr>
        <w:t>的承诺函原件</w:t>
      </w:r>
      <w:r>
        <w:rPr>
          <w:rFonts w:hint="eastAsia" w:ascii="仿宋" w:hAnsi="仿宋" w:eastAsia="仿宋" w:cs="仿宋"/>
          <w:b w:val="0"/>
          <w:bCs w:val="0"/>
          <w:color w:val="auto"/>
          <w:sz w:val="24"/>
          <w:szCs w:val="24"/>
          <w:highlight w:val="none"/>
          <w:lang w:eastAsia="zh-CN"/>
        </w:rPr>
        <w:t>或者近三个月</w:t>
      </w:r>
      <w:r>
        <w:rPr>
          <w:rFonts w:hint="eastAsia" w:ascii="仿宋" w:hAnsi="仿宋" w:eastAsia="仿宋" w:cs="仿宋"/>
          <w:b w:val="0"/>
          <w:bCs w:val="0"/>
          <w:color w:val="auto"/>
          <w:sz w:val="24"/>
          <w:szCs w:val="24"/>
          <w:highlight w:val="none"/>
        </w:rPr>
        <w:t>依法缴</w:t>
      </w:r>
      <w:r>
        <w:rPr>
          <w:rFonts w:hint="eastAsia" w:ascii="仿宋" w:hAnsi="仿宋" w:eastAsia="仿宋" w:cs="仿宋"/>
          <w:b w:val="0"/>
          <w:bCs w:val="0"/>
          <w:color w:val="auto"/>
          <w:sz w:val="24"/>
          <w:szCs w:val="24"/>
          <w:highlight w:val="none"/>
        </w:rPr>
        <w:t>纳税收和社会保障资金</w:t>
      </w:r>
      <w:r>
        <w:rPr>
          <w:rFonts w:hint="eastAsia" w:ascii="仿宋" w:hAnsi="仿宋" w:eastAsia="仿宋" w:cs="仿宋"/>
          <w:b w:val="0"/>
          <w:bCs w:val="0"/>
          <w:color w:val="auto"/>
          <w:sz w:val="24"/>
          <w:szCs w:val="24"/>
          <w:highlight w:val="none"/>
          <w:lang w:eastAsia="zh-CN"/>
        </w:rPr>
        <w:t>的证明材料复印件。</w:t>
      </w:r>
    </w:p>
    <w:p w14:paraId="3616168A">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参加本次采购活动前三年内，在经营活动中没有重大违法记录</w:t>
      </w:r>
      <w:r>
        <w:rPr>
          <w:rFonts w:hint="eastAsia" w:ascii="仿宋" w:hAnsi="仿宋" w:eastAsia="仿宋" w:cs="仿宋"/>
          <w:color w:val="auto"/>
          <w:sz w:val="24"/>
          <w:szCs w:val="24"/>
          <w:highlight w:val="none"/>
          <w:lang w:val="en-US" w:eastAsia="zh-CN"/>
        </w:rPr>
        <w:t>：提供参加本次采购活动前三年内，在经营活动中没有重大违法记录的承诺。</w:t>
      </w:r>
    </w:p>
    <w:p w14:paraId="6E43D3D1">
      <w:pPr>
        <w:pStyle w:val="51"/>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ascii="仿宋" w:hAnsi="仿宋"/>
          <w:color w:val="auto"/>
        </w:rPr>
      </w:pP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法律、行政法规规定的其他条件</w:t>
      </w:r>
      <w:r>
        <w:rPr>
          <w:rFonts w:hint="eastAsia" w:ascii="仿宋" w:hAnsi="仿宋" w:eastAsia="仿宋" w:cs="仿宋"/>
          <w:color w:val="auto"/>
          <w:sz w:val="24"/>
          <w:szCs w:val="24"/>
          <w:highlight w:val="none"/>
          <w:lang w:val="en-US" w:eastAsia="zh-CN"/>
        </w:rPr>
        <w:t>：提供</w:t>
      </w:r>
      <w:r>
        <w:rPr>
          <w:rFonts w:hint="eastAsia" w:ascii="仿宋" w:hAnsi="仿宋" w:eastAsia="仿宋" w:cs="仿宋"/>
          <w:b w:val="0"/>
          <w:bCs w:val="0"/>
          <w:color w:val="auto"/>
          <w:sz w:val="24"/>
          <w:szCs w:val="24"/>
          <w:highlight w:val="none"/>
          <w:lang w:val="en-US" w:eastAsia="zh-CN"/>
        </w:rPr>
        <w:t>承诺函。（格式详见第三章承诺函1）</w:t>
      </w:r>
    </w:p>
    <w:p w14:paraId="71392808">
      <w:pPr>
        <w:pStyle w:val="51"/>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cs="宋体"/>
          <w:b/>
          <w:bCs/>
          <w:color w:val="auto"/>
          <w:lang w:val="en-US" w:eastAsia="zh-CN"/>
        </w:rPr>
        <w:t>7</w:t>
      </w:r>
      <w:r>
        <w:rPr>
          <w:rFonts w:hint="eastAsia" w:ascii="仿宋" w:hAnsi="仿宋" w:cs="宋体"/>
          <w:b/>
          <w:bCs/>
          <w:color w:val="auto"/>
        </w:rPr>
        <w:t>、</w:t>
      </w:r>
      <w:r>
        <w:rPr>
          <w:rFonts w:hint="eastAsia" w:ascii="仿宋" w:hAnsi="仿宋" w:eastAsia="仿宋" w:cs="仿宋"/>
          <w:b/>
          <w:bCs/>
          <w:color w:val="auto"/>
          <w:sz w:val="24"/>
          <w:szCs w:val="24"/>
          <w:highlight w:val="none"/>
          <w:lang w:val="en-US" w:eastAsia="zh-CN"/>
        </w:rPr>
        <w:t>本项目的特殊资质性要求的相关证明材料：</w:t>
      </w:r>
    </w:p>
    <w:p w14:paraId="2FE51A2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 w:val="0"/>
          <w:bCs w:val="0"/>
          <w:color w:val="auto"/>
          <w:sz w:val="24"/>
          <w:szCs w:val="24"/>
          <w:lang w:val="en-US" w:eastAsia="zh-CN"/>
        </w:rPr>
      </w:pPr>
      <w:bookmarkStart w:id="390" w:name="_Toc18206"/>
      <w:bookmarkStart w:id="391" w:name="_Toc20623"/>
      <w:bookmarkStart w:id="392" w:name="_Toc20413"/>
      <w:r>
        <w:rPr>
          <w:rFonts w:hint="eastAsia" w:ascii="仿宋" w:hAnsi="仿宋" w:eastAsia="仿宋" w:cs="Times New Roman"/>
          <w:b w:val="0"/>
          <w:bCs w:val="0"/>
          <w:color w:val="auto"/>
          <w:sz w:val="24"/>
          <w:szCs w:val="24"/>
          <w:lang w:val="en-US" w:eastAsia="zh-CN"/>
        </w:rPr>
        <w:t>（1）投标产品为医疗器械时，三类医疗器械：须提供投标</w:t>
      </w:r>
      <w:r>
        <w:rPr>
          <w:rFonts w:hint="eastAsia" w:ascii="仿宋" w:hAnsi="仿宋" w:eastAsia="仿宋" w:cs="Times New Roman"/>
          <w:b w:val="0"/>
          <w:bCs w:val="0"/>
          <w:color w:val="auto"/>
          <w:sz w:val="24"/>
          <w:szCs w:val="24"/>
          <w:lang w:val="en-US" w:eastAsia="zh-CN"/>
        </w:rPr>
        <w:t>人的《医疗器械经营许可证》复印件；二类医疗器械：须提供投标人的医疗器械经营备案凭证复印件；一类医疗器械可不提供。（根据国办发【2017】41号政策要求“多证合一”的营业执照除外）</w:t>
      </w:r>
    </w:p>
    <w:p w14:paraId="2B709BA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 w:val="0"/>
          <w:bCs w:val="0"/>
          <w:color w:val="auto"/>
          <w:sz w:val="24"/>
          <w:szCs w:val="24"/>
          <w:lang w:val="en-US" w:eastAsia="zh-CN"/>
        </w:rPr>
      </w:pPr>
      <w:r>
        <w:rPr>
          <w:rFonts w:hint="eastAsia" w:ascii="仿宋" w:hAnsi="仿宋" w:eastAsia="仿宋" w:cs="Times New Roman"/>
          <w:b w:val="0"/>
          <w:bCs w:val="0"/>
          <w:color w:val="auto"/>
          <w:sz w:val="24"/>
          <w:szCs w:val="24"/>
          <w:lang w:val="en-US" w:eastAsia="zh-CN"/>
        </w:rPr>
        <w:t>(2)需提供相关的资质：销售厂家营业执照、医疗器械经营许可证、生产厂家营业执照、医疗器械生产许可证、产品注册证或者备案文件、产品宣传彩页或者其他证明文件。</w:t>
      </w:r>
    </w:p>
    <w:p w14:paraId="4B78B17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 w:val="0"/>
          <w:bCs w:val="0"/>
          <w:color w:val="auto"/>
          <w:sz w:val="24"/>
          <w:szCs w:val="24"/>
          <w:lang w:val="en-US" w:eastAsia="zh-CN"/>
        </w:rPr>
      </w:pPr>
      <w:r>
        <w:rPr>
          <w:rFonts w:hint="eastAsia" w:ascii="仿宋" w:hAnsi="仿宋" w:eastAsia="仿宋" w:cs="Times New Roman"/>
          <w:b w:val="0"/>
          <w:bCs w:val="0"/>
          <w:color w:val="auto"/>
          <w:sz w:val="24"/>
          <w:szCs w:val="24"/>
          <w:lang w:val="en-US" w:eastAsia="zh-CN"/>
        </w:rPr>
        <w:t>(3)需提供合法进货渠道证明的相关文件和国家要求相关耗材资质。</w:t>
      </w:r>
    </w:p>
    <w:p w14:paraId="6AB36BB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 w:val="0"/>
          <w:bCs w:val="0"/>
          <w:color w:val="auto"/>
          <w:sz w:val="24"/>
          <w:szCs w:val="24"/>
          <w:lang w:val="en-US" w:eastAsia="zh-CN"/>
        </w:rPr>
      </w:pPr>
      <w:r>
        <w:rPr>
          <w:rFonts w:hint="eastAsia" w:ascii="仿宋" w:hAnsi="仿宋" w:eastAsia="仿宋" w:cs="Times New Roman"/>
          <w:b w:val="0"/>
          <w:bCs w:val="0"/>
          <w:color w:val="auto"/>
          <w:sz w:val="24"/>
          <w:szCs w:val="24"/>
          <w:lang w:val="en-US" w:eastAsia="zh-CN"/>
        </w:rPr>
        <w:t>(4)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w:t>
      </w:r>
    </w:p>
    <w:p w14:paraId="61930C51">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1"/>
        <w:rPr>
          <w:rFonts w:hint="eastAsia" w:ascii="仿宋" w:hAnsi="仿宋" w:eastAsia="仿宋" w:cs="Times New Roman"/>
          <w:b/>
          <w:bCs/>
          <w:color w:val="auto"/>
          <w:sz w:val="28"/>
          <w:szCs w:val="28"/>
        </w:rPr>
      </w:pPr>
      <w:bookmarkStart w:id="393" w:name="_Toc1732"/>
      <w:r>
        <w:rPr>
          <w:rFonts w:hint="eastAsia" w:ascii="仿宋" w:hAnsi="仿宋" w:eastAsia="仿宋" w:cs="Times New Roman"/>
          <w:b/>
          <w:bCs/>
          <w:color w:val="auto"/>
          <w:sz w:val="28"/>
          <w:szCs w:val="28"/>
          <w:lang w:val="en-US" w:eastAsia="zh-CN"/>
        </w:rPr>
        <w:t>二、投标人应当提供的其他类似效力证明材料</w:t>
      </w:r>
      <w:bookmarkEnd w:id="390"/>
      <w:bookmarkEnd w:id="391"/>
      <w:bookmarkEnd w:id="392"/>
      <w:bookmarkEnd w:id="393"/>
    </w:p>
    <w:p w14:paraId="5A528283">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cs="宋体"/>
          <w:color w:val="auto"/>
        </w:rPr>
      </w:pPr>
      <w:r>
        <w:rPr>
          <w:rFonts w:hint="eastAsia" w:ascii="仿宋" w:hAnsi="仿宋" w:cs="宋体"/>
          <w:color w:val="auto"/>
          <w:lang w:val="en-US" w:eastAsia="zh-CN"/>
        </w:rPr>
        <w:t>1、按照规定获取了招标文件</w:t>
      </w:r>
      <w:r>
        <w:rPr>
          <w:rFonts w:hint="eastAsia" w:ascii="仿宋" w:hAnsi="仿宋" w:cs="宋体"/>
          <w:color w:val="auto"/>
          <w:lang w:eastAsia="zh-CN"/>
        </w:rPr>
        <w:t>：</w:t>
      </w:r>
      <w:r>
        <w:rPr>
          <w:rFonts w:hint="eastAsia" w:ascii="仿宋" w:hAnsi="仿宋" w:cs="宋体"/>
          <w:color w:val="auto"/>
        </w:rPr>
        <w:t>由</w:t>
      </w:r>
      <w:r>
        <w:rPr>
          <w:rFonts w:hint="eastAsia" w:ascii="仿宋" w:hAnsi="仿宋" w:cs="宋体"/>
          <w:color w:val="auto"/>
          <w:lang w:eastAsia="zh-CN"/>
        </w:rPr>
        <w:t>招标代理机构</w:t>
      </w:r>
      <w:r>
        <w:rPr>
          <w:rFonts w:hint="eastAsia" w:ascii="仿宋" w:hAnsi="仿宋" w:cs="宋体"/>
          <w:color w:val="auto"/>
        </w:rPr>
        <w:t>提供</w:t>
      </w:r>
      <w:r>
        <w:rPr>
          <w:rFonts w:hint="eastAsia" w:ascii="仿宋" w:hAnsi="仿宋" w:cs="宋体"/>
          <w:color w:val="auto"/>
          <w:lang w:eastAsia="zh-CN"/>
        </w:rPr>
        <w:t>投标人获取</w:t>
      </w:r>
      <w:r>
        <w:rPr>
          <w:rFonts w:hint="eastAsia" w:ascii="仿宋" w:hAnsi="仿宋" w:cs="宋体"/>
          <w:color w:val="auto"/>
        </w:rPr>
        <w:t>招标文件情况的相关证明材料，</w:t>
      </w:r>
      <w:r>
        <w:rPr>
          <w:rFonts w:hint="eastAsia" w:ascii="仿宋" w:hAnsi="仿宋" w:cs="宋体"/>
          <w:color w:val="auto"/>
          <w:lang w:eastAsia="zh-CN"/>
        </w:rPr>
        <w:t>投标人</w:t>
      </w:r>
      <w:r>
        <w:rPr>
          <w:rFonts w:hint="eastAsia" w:ascii="仿宋" w:hAnsi="仿宋" w:cs="宋体"/>
          <w:color w:val="auto"/>
        </w:rPr>
        <w:t>不用提供证明材料。</w:t>
      </w:r>
    </w:p>
    <w:p w14:paraId="614FEA8F">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cs="宋体"/>
          <w:color w:val="auto"/>
          <w:lang w:eastAsia="zh-CN"/>
        </w:rPr>
      </w:pPr>
      <w:r>
        <w:rPr>
          <w:rFonts w:hint="eastAsia" w:ascii="仿宋" w:hAnsi="仿宋" w:cs="宋体"/>
          <w:color w:val="auto"/>
          <w:lang w:val="en-US" w:eastAsia="zh-CN"/>
        </w:rPr>
        <w:t>2、</w:t>
      </w:r>
      <w:r>
        <w:rPr>
          <w:rFonts w:hint="eastAsia" w:ascii="仿宋" w:hAnsi="仿宋" w:cs="宋体"/>
          <w:color w:val="auto"/>
        </w:rPr>
        <w:t>参加本次投标活动的投标人代表证明材料</w:t>
      </w:r>
      <w:r>
        <w:rPr>
          <w:rFonts w:hint="eastAsia" w:ascii="仿宋" w:hAnsi="仿宋" w:cs="宋体"/>
          <w:color w:val="auto"/>
          <w:lang w:eastAsia="zh-CN"/>
        </w:rPr>
        <w:t>：</w:t>
      </w:r>
    </w:p>
    <w:p w14:paraId="14FA26AB">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cs="宋体"/>
          <w:color w:val="auto"/>
          <w:lang w:eastAsia="zh-CN"/>
        </w:rPr>
      </w:pPr>
      <w:r>
        <w:rPr>
          <w:rFonts w:hint="eastAsia" w:ascii="仿宋" w:hAnsi="仿宋" w:cs="宋体"/>
          <w:color w:val="auto"/>
          <w:lang w:eastAsia="zh-CN"/>
        </w:rPr>
        <w:t>（</w:t>
      </w:r>
      <w:r>
        <w:rPr>
          <w:rFonts w:hint="eastAsia" w:ascii="仿宋" w:hAnsi="仿宋" w:cs="宋体"/>
          <w:color w:val="auto"/>
          <w:lang w:val="en-US" w:eastAsia="zh-CN"/>
        </w:rPr>
        <w:t>1</w:t>
      </w:r>
      <w:r>
        <w:rPr>
          <w:rFonts w:hint="eastAsia" w:ascii="仿宋" w:hAnsi="仿宋" w:cs="宋体"/>
          <w:color w:val="auto"/>
          <w:lang w:eastAsia="zh-CN"/>
        </w:rPr>
        <w:t>）</w:t>
      </w:r>
      <w:r>
        <w:rPr>
          <w:rFonts w:hint="eastAsia" w:ascii="仿宋" w:hAnsi="仿宋" w:cs="宋体"/>
          <w:color w:val="auto"/>
        </w:rPr>
        <w:t>法定代表人</w:t>
      </w:r>
      <w:r>
        <w:rPr>
          <w:rFonts w:hint="eastAsia" w:ascii="仿宋" w:hAnsi="仿宋" w:cs="宋体"/>
          <w:color w:val="auto"/>
          <w:lang w:val="en-US" w:eastAsia="zh-CN"/>
        </w:rPr>
        <w:t>/单位负责人</w:t>
      </w:r>
      <w:r>
        <w:rPr>
          <w:rFonts w:hint="eastAsia" w:ascii="仿宋" w:hAnsi="仿宋" w:cs="宋体"/>
          <w:color w:val="auto"/>
        </w:rPr>
        <w:t>身份</w:t>
      </w:r>
      <w:r>
        <w:rPr>
          <w:rFonts w:hint="eastAsia" w:ascii="仿宋" w:hAnsi="仿宋" w:cs="宋体"/>
          <w:color w:val="auto"/>
          <w:lang w:eastAsia="zh-CN"/>
        </w:rPr>
        <w:t>证明材料。</w:t>
      </w:r>
    </w:p>
    <w:p w14:paraId="6F555C05">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cs="宋体"/>
          <w:color w:val="auto"/>
          <w:lang w:val="en-US" w:eastAsia="zh-CN"/>
        </w:rPr>
      </w:pPr>
      <w:r>
        <w:rPr>
          <w:rFonts w:hint="eastAsia" w:ascii="仿宋" w:hAnsi="仿宋" w:cs="宋体"/>
          <w:color w:val="auto"/>
          <w:lang w:eastAsia="zh-CN"/>
        </w:rPr>
        <w:t>（</w:t>
      </w:r>
      <w:r>
        <w:rPr>
          <w:rFonts w:hint="eastAsia" w:ascii="仿宋" w:hAnsi="仿宋" w:cs="宋体"/>
          <w:color w:val="auto"/>
          <w:lang w:val="en-US" w:eastAsia="zh-CN"/>
        </w:rPr>
        <w:t>2</w:t>
      </w:r>
      <w:r>
        <w:rPr>
          <w:rFonts w:hint="eastAsia" w:ascii="仿宋" w:hAnsi="仿宋" w:cs="宋体"/>
          <w:color w:val="auto"/>
          <w:lang w:eastAsia="zh-CN"/>
        </w:rPr>
        <w:t>）</w:t>
      </w:r>
      <w:r>
        <w:rPr>
          <w:rFonts w:hint="eastAsia" w:ascii="仿宋" w:hAnsi="仿宋" w:cs="宋体"/>
          <w:color w:val="auto"/>
        </w:rPr>
        <w:t>法定代表人</w:t>
      </w:r>
      <w:r>
        <w:rPr>
          <w:rFonts w:hint="eastAsia" w:ascii="仿宋" w:hAnsi="仿宋" w:cs="宋体"/>
          <w:color w:val="auto"/>
          <w:lang w:val="en-US" w:eastAsia="zh-CN"/>
        </w:rPr>
        <w:t>/单位负责人授权书原件和授权代表身份证明材料（投标人代表为非法定代表人时提供）。</w:t>
      </w:r>
    </w:p>
    <w:bookmarkEnd w:id="372"/>
    <w:p w14:paraId="5B7A336E">
      <w:pPr>
        <w:pStyle w:val="51"/>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hint="eastAsia" w:ascii="仿宋" w:hAnsi="仿宋" w:cs="宋体"/>
          <w:b/>
          <w:bCs/>
          <w:color w:val="auto"/>
        </w:rPr>
      </w:pPr>
      <w:bookmarkStart w:id="394" w:name="_Toc217446093"/>
      <w:bookmarkStart w:id="395" w:name="_Toc2122"/>
      <w:r>
        <w:rPr>
          <w:rFonts w:hint="eastAsia" w:ascii="仿宋" w:hAnsi="仿宋" w:cs="宋体"/>
          <w:b/>
          <w:bCs/>
          <w:color w:val="auto"/>
        </w:rPr>
        <w:t>注：</w:t>
      </w:r>
    </w:p>
    <w:p w14:paraId="35DBC60B">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cs="宋体"/>
          <w:color w:val="auto"/>
        </w:rPr>
      </w:pPr>
      <w:r>
        <w:rPr>
          <w:rFonts w:hint="eastAsia" w:ascii="仿宋" w:hAnsi="仿宋" w:cs="宋体"/>
          <w:color w:val="auto"/>
        </w:rPr>
        <w:t>1</w:t>
      </w:r>
      <w:r>
        <w:rPr>
          <w:rFonts w:hint="eastAsia" w:ascii="仿宋" w:hAnsi="仿宋" w:cs="宋体"/>
          <w:color w:val="auto"/>
          <w:lang w:eastAsia="zh-CN"/>
        </w:rPr>
        <w:t>、</w:t>
      </w:r>
      <w:r>
        <w:rPr>
          <w:rFonts w:hint="eastAsia" w:ascii="仿宋" w:hAnsi="仿宋" w:cs="宋体"/>
          <w:color w:val="auto"/>
        </w:rPr>
        <w:t>本章要求提供的相关证明材料应当与第</w:t>
      </w:r>
      <w:r>
        <w:rPr>
          <w:rFonts w:hint="eastAsia" w:ascii="仿宋" w:hAnsi="仿宋" w:cs="宋体"/>
          <w:color w:val="auto"/>
          <w:lang w:eastAsia="zh-CN"/>
        </w:rPr>
        <w:t>四</w:t>
      </w:r>
      <w:r>
        <w:rPr>
          <w:rFonts w:hint="eastAsia" w:ascii="仿宋" w:hAnsi="仿宋" w:cs="宋体"/>
          <w:color w:val="auto"/>
        </w:rPr>
        <w:t>章的规定要求对应，</w:t>
      </w:r>
      <w:r>
        <w:rPr>
          <w:rFonts w:hint="eastAsia" w:ascii="仿宋" w:hAnsi="仿宋" w:cs="宋体"/>
          <w:color w:val="auto"/>
          <w:lang w:eastAsia="zh-CN"/>
        </w:rPr>
        <w:t>并且是有效的证明材料。</w:t>
      </w:r>
    </w:p>
    <w:p w14:paraId="730BBF72">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cs="宋体"/>
          <w:color w:val="auto"/>
        </w:rPr>
      </w:pPr>
      <w:r>
        <w:rPr>
          <w:rFonts w:hint="eastAsia" w:ascii="仿宋" w:hAnsi="仿宋" w:cs="宋体"/>
          <w:color w:val="auto"/>
          <w:lang w:val="en-US" w:eastAsia="zh-CN"/>
        </w:rPr>
        <w:t>2、</w:t>
      </w:r>
      <w:r>
        <w:rPr>
          <w:rFonts w:hint="eastAsia" w:ascii="仿宋" w:hAnsi="仿宋" w:cs="宋体"/>
          <w:color w:val="auto"/>
        </w:rPr>
        <w:t>本章提供的证明材料是资格性审查的主要依据，未通过审查者做无效</w:t>
      </w:r>
      <w:r>
        <w:rPr>
          <w:rFonts w:hint="eastAsia" w:ascii="仿宋" w:hAnsi="仿宋" w:cs="宋体"/>
          <w:color w:val="auto"/>
          <w:lang w:eastAsia="zh-CN"/>
        </w:rPr>
        <w:t>投标</w:t>
      </w:r>
      <w:r>
        <w:rPr>
          <w:rFonts w:hint="eastAsia" w:ascii="仿宋" w:hAnsi="仿宋" w:cs="宋体"/>
          <w:color w:val="auto"/>
        </w:rPr>
        <w:t>文件处理。</w:t>
      </w:r>
    </w:p>
    <w:p w14:paraId="0412E69C">
      <w:pPr>
        <w:pStyle w:val="51"/>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hint="default" w:ascii="仿宋" w:hAnsi="仿宋" w:cs="宋体"/>
          <w:b/>
          <w:bCs/>
          <w:color w:val="auto"/>
          <w:lang w:val="en-US" w:eastAsia="zh-CN"/>
        </w:rPr>
      </w:pPr>
      <w:r>
        <w:rPr>
          <w:rFonts w:hint="eastAsia" w:ascii="仿宋" w:hAnsi="仿宋" w:cs="宋体"/>
          <w:b/>
          <w:bCs/>
          <w:color w:val="auto"/>
          <w:lang w:val="en-US" w:eastAsia="zh-CN"/>
        </w:rPr>
        <w:t>3、本章所涉及到的格式详见第三章。</w:t>
      </w:r>
    </w:p>
    <w:p w14:paraId="1781B4D2">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9"/>
        <w:rPr>
          <w:rFonts w:ascii="仿宋" w:hAnsi="仿宋" w:eastAsia="仿宋"/>
          <w:color w:val="auto"/>
          <w:sz w:val="36"/>
          <w:szCs w:val="36"/>
        </w:rPr>
        <w:sectPr>
          <w:headerReference r:id="rId14" w:type="first"/>
          <w:headerReference r:id="rId12" w:type="default"/>
          <w:footerReference r:id="rId15" w:type="default"/>
          <w:headerReference r:id="rId13" w:type="even"/>
          <w:pgSz w:w="11906" w:h="16838"/>
          <w:pgMar w:top="1440" w:right="1134" w:bottom="1440" w:left="1134" w:header="851" w:footer="992" w:gutter="0"/>
          <w:pgNumType w:fmt="decimal"/>
          <w:cols w:space="720" w:num="1"/>
          <w:docGrid w:type="lines" w:linePitch="312" w:charSpace="0"/>
        </w:sectPr>
      </w:pPr>
    </w:p>
    <w:p w14:paraId="0CA9D5FE">
      <w:pPr>
        <w:keepNext w:val="0"/>
        <w:keepLines w:val="0"/>
        <w:pageBreakBefore w:val="0"/>
        <w:widowControl w:val="0"/>
        <w:kinsoku/>
        <w:wordWrap/>
        <w:overflowPunct/>
        <w:topLinePunct w:val="0"/>
        <w:autoSpaceDE/>
        <w:autoSpaceDN/>
        <w:bidi w:val="0"/>
        <w:adjustRightInd/>
        <w:snapToGrid/>
        <w:spacing w:line="260" w:lineRule="auto"/>
        <w:jc w:val="center"/>
        <w:textAlignment w:val="auto"/>
        <w:outlineLvl w:val="0"/>
        <w:rPr>
          <w:rFonts w:hint="eastAsia" w:ascii="仿宋" w:hAnsi="仿宋" w:eastAsia="仿宋" w:cs="Times New Roman"/>
          <w:b/>
          <w:bCs/>
          <w:color w:val="auto"/>
          <w:sz w:val="36"/>
          <w:szCs w:val="36"/>
        </w:rPr>
      </w:pPr>
      <w:bookmarkStart w:id="396" w:name="_Toc4905"/>
      <w:bookmarkStart w:id="397" w:name="_Toc79959385"/>
      <w:bookmarkStart w:id="398" w:name="_Toc19268"/>
      <w:r>
        <w:rPr>
          <w:rFonts w:hint="eastAsia" w:ascii="仿宋" w:hAnsi="仿宋" w:eastAsia="仿宋" w:cs="Times New Roman"/>
          <w:b/>
          <w:bCs/>
          <w:color w:val="auto"/>
          <w:sz w:val="36"/>
          <w:szCs w:val="36"/>
        </w:rPr>
        <w:t>第六章  招标项目技术、服务、采购合同内容条款及其他商务要求</w:t>
      </w:r>
      <w:bookmarkEnd w:id="394"/>
      <w:bookmarkEnd w:id="395"/>
      <w:bookmarkEnd w:id="396"/>
      <w:bookmarkEnd w:id="397"/>
      <w:bookmarkEnd w:id="398"/>
    </w:p>
    <w:p w14:paraId="34D1CC72">
      <w:pPr>
        <w:pStyle w:val="5"/>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仿宋" w:hAnsi="仿宋" w:eastAsia="仿宋" w:cs="仿宋"/>
          <w:b/>
          <w:bCs/>
          <w:color w:val="auto"/>
          <w:highlight w:val="none"/>
          <w:lang w:val="en-US" w:eastAsia="zh-CN"/>
        </w:rPr>
      </w:pPr>
      <w:bookmarkStart w:id="399" w:name="_Toc9317"/>
      <w:bookmarkStart w:id="400" w:name="_Toc26064"/>
      <w:bookmarkStart w:id="401" w:name="_Toc217446094"/>
      <w:bookmarkStart w:id="402" w:name="_Toc22364"/>
      <w:bookmarkStart w:id="403" w:name="_Toc11445"/>
      <w:bookmarkStart w:id="404" w:name="_Toc24541"/>
      <w:bookmarkStart w:id="405" w:name="_Toc17663"/>
      <w:bookmarkStart w:id="406" w:name="_Toc24120"/>
      <w:bookmarkStart w:id="407" w:name="_Toc24786"/>
      <w:bookmarkStart w:id="408" w:name="_Toc31810"/>
      <w:r>
        <w:rPr>
          <w:rFonts w:hint="eastAsia" w:ascii="仿宋" w:hAnsi="仿宋" w:eastAsia="仿宋" w:cs="仿宋"/>
          <w:b/>
          <w:bCs/>
          <w:color w:val="auto"/>
          <w:highlight w:val="none"/>
          <w:lang w:val="en-US" w:eastAsia="zh-CN"/>
        </w:rPr>
        <w:t>一、项目概述</w:t>
      </w:r>
      <w:bookmarkEnd w:id="399"/>
      <w:bookmarkEnd w:id="400"/>
      <w:bookmarkEnd w:id="401"/>
      <w:bookmarkEnd w:id="402"/>
      <w:bookmarkEnd w:id="403"/>
      <w:bookmarkEnd w:id="404"/>
      <w:bookmarkEnd w:id="405"/>
      <w:bookmarkEnd w:id="406"/>
    </w:p>
    <w:p w14:paraId="6A00CD56">
      <w:pPr>
        <w:pStyle w:val="9"/>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Cs/>
          <w:color w:val="auto"/>
          <w:sz w:val="24"/>
          <w:szCs w:val="24"/>
          <w:highlight w:val="none"/>
        </w:rPr>
      </w:pPr>
      <w:bookmarkStart w:id="409" w:name="_Toc217446095"/>
      <w:r>
        <w:rPr>
          <w:rFonts w:hint="eastAsia" w:ascii="仿宋" w:hAnsi="仿宋" w:eastAsia="仿宋" w:cs="仿宋"/>
          <w:color w:val="auto"/>
          <w:sz w:val="24"/>
          <w:szCs w:val="24"/>
          <w:highlight w:val="none"/>
          <w:lang w:val="en-US" w:eastAsia="zh-CN"/>
        </w:rPr>
        <w:t>本项目共3个包，第一包：心内科类，第二包：肿瘤科类，第三包：普外科等类。包含配送及售后服务等。</w:t>
      </w:r>
    </w:p>
    <w:p w14:paraId="124F8408">
      <w:pPr>
        <w:pStyle w:val="5"/>
        <w:keepNext/>
        <w:keepLines/>
        <w:pageBreakBefore w:val="0"/>
        <w:widowControl w:val="0"/>
        <w:numPr>
          <w:ilvl w:val="0"/>
          <w:numId w:val="4"/>
        </w:numPr>
        <w:kinsoku/>
        <w:wordWrap/>
        <w:overflowPunct/>
        <w:topLinePunct w:val="0"/>
        <w:autoSpaceDE/>
        <w:autoSpaceDN/>
        <w:bidi w:val="0"/>
        <w:adjustRightInd/>
        <w:snapToGrid/>
        <w:spacing w:before="0" w:after="0" w:line="360" w:lineRule="auto"/>
        <w:jc w:val="left"/>
        <w:textAlignment w:val="auto"/>
        <w:rPr>
          <w:rFonts w:hint="eastAsia" w:ascii="仿宋" w:hAnsi="仿宋" w:eastAsia="仿宋" w:cs="仿宋"/>
          <w:b/>
          <w:bCs/>
          <w:color w:val="auto"/>
          <w:highlight w:val="none"/>
          <w:lang w:val="en-US" w:eastAsia="zh-CN"/>
        </w:rPr>
      </w:pPr>
      <w:bookmarkStart w:id="410" w:name="_Toc13830"/>
      <w:bookmarkStart w:id="411" w:name="_Toc7061"/>
      <w:bookmarkStart w:id="412" w:name="_Toc31188"/>
      <w:bookmarkStart w:id="413" w:name="_Toc12143"/>
      <w:bookmarkStart w:id="414" w:name="_Toc20805"/>
      <w:bookmarkStart w:id="415" w:name="_Toc11359"/>
      <w:bookmarkStart w:id="416" w:name="_Toc18579"/>
      <w:r>
        <w:rPr>
          <w:rFonts w:hint="eastAsia" w:ascii="仿宋" w:hAnsi="仿宋" w:eastAsia="仿宋" w:cs="仿宋"/>
          <w:b/>
          <w:bCs/>
          <w:color w:val="auto"/>
          <w:highlight w:val="none"/>
          <w:lang w:val="en-US" w:eastAsia="zh-CN"/>
        </w:rPr>
        <w:t>项目清单</w:t>
      </w:r>
      <w:bookmarkEnd w:id="410"/>
      <w:bookmarkEnd w:id="411"/>
      <w:bookmarkEnd w:id="412"/>
      <w:bookmarkEnd w:id="413"/>
      <w:bookmarkEnd w:id="414"/>
    </w:p>
    <w:tbl>
      <w:tblPr>
        <w:tblStyle w:val="3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463"/>
        <w:gridCol w:w="51"/>
        <w:gridCol w:w="1445"/>
        <w:gridCol w:w="238"/>
        <w:gridCol w:w="402"/>
        <w:gridCol w:w="579"/>
        <w:gridCol w:w="225"/>
        <w:gridCol w:w="116"/>
        <w:gridCol w:w="891"/>
        <w:gridCol w:w="134"/>
        <w:gridCol w:w="1586"/>
        <w:gridCol w:w="41"/>
        <w:gridCol w:w="99"/>
        <w:gridCol w:w="1675"/>
        <w:gridCol w:w="71"/>
        <w:gridCol w:w="45"/>
        <w:gridCol w:w="976"/>
        <w:gridCol w:w="13"/>
      </w:tblGrid>
      <w:tr w14:paraId="5F5E5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7C00">
            <w:pPr>
              <w:keepNext w:val="0"/>
              <w:keepLines w:val="0"/>
              <w:widowControl/>
              <w:suppressLineNumbers w:val="0"/>
              <w:spacing w:line="240" w:lineRule="auto"/>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第一包：心内科类</w:t>
            </w:r>
          </w:p>
        </w:tc>
      </w:tr>
      <w:tr w14:paraId="49567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00E7">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1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EC7B41">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产品名称</w:t>
            </w:r>
          </w:p>
        </w:tc>
        <w:tc>
          <w:tcPr>
            <w:tcW w:w="4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EF33">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单位</w:t>
            </w:r>
          </w:p>
        </w:tc>
        <w:tc>
          <w:tcPr>
            <w:tcW w:w="5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C38A1">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预估使用量</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6E0CE7">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报价单价（元）</w:t>
            </w: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43421">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合计金额（元）</w:t>
            </w:r>
          </w:p>
        </w:tc>
        <w:tc>
          <w:tcPr>
            <w:tcW w:w="5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532F6">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挂网情况</w:t>
            </w:r>
          </w:p>
        </w:tc>
      </w:tr>
      <w:tr w14:paraId="7F7C6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E4C1">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EFBD80">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固定弯诊断用电生理导管</w:t>
            </w:r>
          </w:p>
        </w:tc>
        <w:tc>
          <w:tcPr>
            <w:tcW w:w="4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6AE8">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5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42272">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F105">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2375.00 </w:t>
            </w: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48D1">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23750.00 </w:t>
            </w:r>
          </w:p>
        </w:tc>
        <w:tc>
          <w:tcPr>
            <w:tcW w:w="5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8206">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47161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58AD">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AEA350">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灌注管路</w:t>
            </w:r>
          </w:p>
        </w:tc>
        <w:tc>
          <w:tcPr>
            <w:tcW w:w="4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E742">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5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D6FBB9">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4E54">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397.00 </w:t>
            </w: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5559">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3970.00 </w:t>
            </w:r>
          </w:p>
        </w:tc>
        <w:tc>
          <w:tcPr>
            <w:tcW w:w="5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B641">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0835B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68D9">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F7E3EE">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磁定位可调弯标测导管</w:t>
            </w:r>
          </w:p>
        </w:tc>
        <w:tc>
          <w:tcPr>
            <w:tcW w:w="4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A769">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5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289CF">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C07E">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4300.00 </w:t>
            </w: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0642">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43000.00 </w:t>
            </w:r>
          </w:p>
        </w:tc>
        <w:tc>
          <w:tcPr>
            <w:tcW w:w="5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99F8">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45B85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5C10">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1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41B414">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体表参考电极</w:t>
            </w:r>
          </w:p>
        </w:tc>
        <w:tc>
          <w:tcPr>
            <w:tcW w:w="4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ED0E">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5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C2E285">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0274">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6000.00 </w:t>
            </w: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0BC8">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60000.00 </w:t>
            </w:r>
          </w:p>
        </w:tc>
        <w:tc>
          <w:tcPr>
            <w:tcW w:w="5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0B81">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0E817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A170">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1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6CDDA1">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诊断/消融可调弯头端导管</w:t>
            </w:r>
          </w:p>
        </w:tc>
        <w:tc>
          <w:tcPr>
            <w:tcW w:w="4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0E33">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5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8AD14">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78B6">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23285.00 </w:t>
            </w: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5E8D">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232850.00 </w:t>
            </w:r>
          </w:p>
        </w:tc>
        <w:tc>
          <w:tcPr>
            <w:tcW w:w="5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DD8A">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4BBEE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9F87">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1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BC37AE">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诊断/消融可调弯头端导管</w:t>
            </w:r>
          </w:p>
        </w:tc>
        <w:tc>
          <w:tcPr>
            <w:tcW w:w="4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0C1A">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5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A1D8B">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44EB">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31800.00 </w:t>
            </w: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096B">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318000.00 </w:t>
            </w:r>
          </w:p>
        </w:tc>
        <w:tc>
          <w:tcPr>
            <w:tcW w:w="5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A125">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555AE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4132">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1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2E571F">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弯型可视双向可调弯导引鞘管</w:t>
            </w:r>
          </w:p>
        </w:tc>
        <w:tc>
          <w:tcPr>
            <w:tcW w:w="4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9B08">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5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CD6245">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440E">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5500.00 </w:t>
            </w: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78F3">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55000.00 </w:t>
            </w:r>
          </w:p>
        </w:tc>
        <w:tc>
          <w:tcPr>
            <w:tcW w:w="5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4791">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228BA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4EF0">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1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339D18">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星形磁电双定位标测导管</w:t>
            </w:r>
          </w:p>
        </w:tc>
        <w:tc>
          <w:tcPr>
            <w:tcW w:w="4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CA0E">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5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3D36A6">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C4B0">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24500.00 </w:t>
            </w: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41DC">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245000.00 </w:t>
            </w:r>
          </w:p>
        </w:tc>
        <w:tc>
          <w:tcPr>
            <w:tcW w:w="5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AC70">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442E2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494B9">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1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A1B0B8">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心内导引鞘组及附件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(固定弯心内导引鞘组)</w:t>
            </w:r>
          </w:p>
        </w:tc>
        <w:tc>
          <w:tcPr>
            <w:tcW w:w="4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41A9">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5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735B38">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9F3A">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874.00 </w:t>
            </w: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6E19">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8740.00 </w:t>
            </w:r>
          </w:p>
        </w:tc>
        <w:tc>
          <w:tcPr>
            <w:tcW w:w="5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1284">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4F073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6E9A">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1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CF7F92">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心内导引鞘组及附件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(房间隔穿刺鞘)</w:t>
            </w:r>
          </w:p>
        </w:tc>
        <w:tc>
          <w:tcPr>
            <w:tcW w:w="4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29B1">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5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2D3B1">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4D8E">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5060.00 </w:t>
            </w: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2A1A">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50600.00 </w:t>
            </w:r>
          </w:p>
        </w:tc>
        <w:tc>
          <w:tcPr>
            <w:tcW w:w="5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DE76">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388A2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4133">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1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C388BC">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植入式心脏起搏电极导线</w:t>
            </w:r>
          </w:p>
        </w:tc>
        <w:tc>
          <w:tcPr>
            <w:tcW w:w="4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FC94">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5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AE42B">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732E">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4900.00 </w:t>
            </w: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DAFA">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49000.00 </w:t>
            </w:r>
          </w:p>
        </w:tc>
        <w:tc>
          <w:tcPr>
            <w:tcW w:w="5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814A">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343F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F35E">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1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97E40D">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一次性使用无菌导管鞘组</w:t>
            </w:r>
          </w:p>
        </w:tc>
        <w:tc>
          <w:tcPr>
            <w:tcW w:w="4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D9D81">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803A64">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2D44">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285.00 </w:t>
            </w: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1701">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2850.00 </w:t>
            </w:r>
          </w:p>
        </w:tc>
        <w:tc>
          <w:tcPr>
            <w:tcW w:w="5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B509">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269E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79BE">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1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EE8E5F">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双极临时起搏电极导管</w:t>
            </w:r>
          </w:p>
        </w:tc>
        <w:tc>
          <w:tcPr>
            <w:tcW w:w="4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306E">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5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4F36A">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326B">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1168.00 </w:t>
            </w: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52E0">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11680.00 </w:t>
            </w:r>
          </w:p>
        </w:tc>
        <w:tc>
          <w:tcPr>
            <w:tcW w:w="5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29F4">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0044D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EA6D">
            <w:pPr>
              <w:keepNext w:val="0"/>
              <w:keepLines w:val="0"/>
              <w:widowControl/>
              <w:suppressLineNumbers w:val="0"/>
              <w:spacing w:line="240" w:lineRule="auto"/>
              <w:jc w:val="righ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合计：1104440.00</w:t>
            </w:r>
          </w:p>
        </w:tc>
      </w:tr>
      <w:tr w14:paraId="01CA2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A2A9">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第二包：肿瘤科类</w:t>
            </w:r>
          </w:p>
        </w:tc>
      </w:tr>
      <w:tr w14:paraId="4C3F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567" w:hRule="atLeast"/>
        </w:trPr>
        <w:tc>
          <w:tcPr>
            <w:tcW w:w="6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9A16">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7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A97EE">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产品名称</w:t>
            </w:r>
          </w:p>
        </w:tc>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F00B">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单位</w:t>
            </w:r>
          </w:p>
        </w:tc>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F95DA">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预估使用量</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D9D45">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报价单价（元）</w:t>
            </w:r>
          </w:p>
        </w:tc>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7F938">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合计金额（元）</w:t>
            </w: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03117E">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挂网情况</w:t>
            </w:r>
          </w:p>
        </w:tc>
      </w:tr>
      <w:tr w14:paraId="2AB4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567" w:hRule="atLeast"/>
        </w:trPr>
        <w:tc>
          <w:tcPr>
            <w:tcW w:w="6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2F1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7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4AB7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一次性使用无菌冷冻消融针</w:t>
            </w:r>
          </w:p>
        </w:tc>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5A3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9E01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A56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15000.00 </w:t>
            </w:r>
          </w:p>
        </w:tc>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CD1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150000.00 </w:t>
            </w: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565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5A1AB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567" w:hRule="atLeast"/>
        </w:trPr>
        <w:tc>
          <w:tcPr>
            <w:tcW w:w="6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3E1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59" w:type="pct"/>
            <w:gridSpan w:val="2"/>
            <w:tcBorders>
              <w:top w:val="single" w:color="000000" w:sz="4" w:space="0"/>
              <w:left w:val="single" w:color="000000" w:sz="4" w:space="0"/>
              <w:bottom w:val="nil"/>
              <w:right w:val="single" w:color="000000" w:sz="4" w:space="0"/>
            </w:tcBorders>
            <w:shd w:val="clear" w:color="auto" w:fill="auto"/>
            <w:vAlign w:val="center"/>
          </w:tcPr>
          <w:p w14:paraId="679DE9B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一次性护理包</w:t>
            </w:r>
          </w:p>
        </w:tc>
        <w:tc>
          <w:tcPr>
            <w:tcW w:w="619" w:type="pct"/>
            <w:gridSpan w:val="3"/>
            <w:tcBorders>
              <w:top w:val="single" w:color="000000" w:sz="4" w:space="0"/>
              <w:left w:val="single" w:color="000000" w:sz="4" w:space="0"/>
              <w:bottom w:val="nil"/>
              <w:right w:val="single" w:color="000000" w:sz="4" w:space="0"/>
            </w:tcBorders>
            <w:shd w:val="clear" w:color="auto" w:fill="auto"/>
            <w:noWrap/>
            <w:vAlign w:val="center"/>
          </w:tcPr>
          <w:p w14:paraId="163E1E4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625" w:type="pct"/>
            <w:gridSpan w:val="3"/>
            <w:tcBorders>
              <w:top w:val="single" w:color="000000" w:sz="4" w:space="0"/>
              <w:left w:val="single" w:color="000000" w:sz="4" w:space="0"/>
              <w:bottom w:val="nil"/>
              <w:right w:val="single" w:color="000000" w:sz="4" w:space="0"/>
            </w:tcBorders>
            <w:shd w:val="clear" w:color="auto" w:fill="auto"/>
            <w:vAlign w:val="center"/>
          </w:tcPr>
          <w:p w14:paraId="2916C57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w:t>
            </w:r>
          </w:p>
        </w:tc>
        <w:tc>
          <w:tcPr>
            <w:tcW w:w="873" w:type="pct"/>
            <w:gridSpan w:val="2"/>
            <w:tcBorders>
              <w:top w:val="single" w:color="000000" w:sz="4" w:space="0"/>
              <w:left w:val="single" w:color="000000" w:sz="4" w:space="0"/>
              <w:bottom w:val="nil"/>
              <w:right w:val="single" w:color="000000" w:sz="4" w:space="0"/>
            </w:tcBorders>
            <w:shd w:val="clear" w:color="auto" w:fill="auto"/>
            <w:noWrap/>
            <w:vAlign w:val="center"/>
          </w:tcPr>
          <w:p w14:paraId="71DB16D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72.00 </w:t>
            </w:r>
          </w:p>
        </w:tc>
        <w:tc>
          <w:tcPr>
            <w:tcW w:w="921" w:type="pct"/>
            <w:gridSpan w:val="3"/>
            <w:tcBorders>
              <w:top w:val="single" w:color="000000" w:sz="4" w:space="0"/>
              <w:left w:val="single" w:color="000000" w:sz="4" w:space="0"/>
              <w:bottom w:val="nil"/>
              <w:right w:val="single" w:color="000000" w:sz="4" w:space="0"/>
            </w:tcBorders>
            <w:shd w:val="clear" w:color="auto" w:fill="auto"/>
            <w:noWrap/>
            <w:vAlign w:val="center"/>
          </w:tcPr>
          <w:p w14:paraId="4C3881A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4320.00 </w:t>
            </w:r>
          </w:p>
        </w:tc>
        <w:tc>
          <w:tcPr>
            <w:tcW w:w="551" w:type="pct"/>
            <w:gridSpan w:val="3"/>
            <w:tcBorders>
              <w:top w:val="single" w:color="000000" w:sz="4" w:space="0"/>
              <w:left w:val="single" w:color="000000" w:sz="4" w:space="0"/>
              <w:bottom w:val="nil"/>
              <w:right w:val="single" w:color="000000" w:sz="4" w:space="0"/>
            </w:tcBorders>
            <w:shd w:val="clear" w:color="auto" w:fill="auto"/>
            <w:noWrap/>
            <w:vAlign w:val="center"/>
          </w:tcPr>
          <w:p w14:paraId="04423D6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7C730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567" w:hRule="atLeast"/>
        </w:trPr>
        <w:tc>
          <w:tcPr>
            <w:tcW w:w="499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1C12">
            <w:pPr>
              <w:keepNext w:val="0"/>
              <w:keepLines w:val="0"/>
              <w:widowControl/>
              <w:suppressLineNumbers w:val="0"/>
              <w:jc w:val="righ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合计：154320.00元 </w:t>
            </w:r>
          </w:p>
        </w:tc>
      </w:tr>
      <w:tr w14:paraId="6EFE0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567" w:hRule="atLeast"/>
        </w:trPr>
        <w:tc>
          <w:tcPr>
            <w:tcW w:w="499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994C">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第三包：普外科等类</w:t>
            </w:r>
          </w:p>
        </w:tc>
      </w:tr>
      <w:tr w14:paraId="1EEB8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98D1">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5C8F8">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产品名称</w:t>
            </w:r>
          </w:p>
        </w:tc>
        <w:tc>
          <w:tcPr>
            <w:tcW w:w="6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A756">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单位</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12CA2">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预估使用量</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73098">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报价单价（元）</w:t>
            </w:r>
          </w:p>
        </w:tc>
        <w:tc>
          <w:tcPr>
            <w:tcW w:w="9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AF46B9">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合计金额（元）</w:t>
            </w:r>
          </w:p>
        </w:tc>
        <w:tc>
          <w:tcPr>
            <w:tcW w:w="4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EC8FF">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挂网情况</w:t>
            </w:r>
          </w:p>
        </w:tc>
      </w:tr>
      <w:tr w14:paraId="69046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9BB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3A27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一次性使用套管穿刺器（单孔多通道型）</w:t>
            </w:r>
          </w:p>
        </w:tc>
        <w:tc>
          <w:tcPr>
            <w:tcW w:w="6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23D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1785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408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1200.00 </w:t>
            </w:r>
          </w:p>
        </w:tc>
        <w:tc>
          <w:tcPr>
            <w:tcW w:w="9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20B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24000.00 </w:t>
            </w:r>
          </w:p>
        </w:tc>
        <w:tc>
          <w:tcPr>
            <w:tcW w:w="4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3CA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0ED22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F01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8D93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一次性使用取石网篮</w:t>
            </w:r>
          </w:p>
        </w:tc>
        <w:tc>
          <w:tcPr>
            <w:tcW w:w="6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66C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7CE9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ACA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1380.00 </w:t>
            </w:r>
          </w:p>
        </w:tc>
        <w:tc>
          <w:tcPr>
            <w:tcW w:w="9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232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41400.00 </w:t>
            </w:r>
          </w:p>
        </w:tc>
        <w:tc>
          <w:tcPr>
            <w:tcW w:w="4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92D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7C952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DA4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B3F6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一次使用内窥镜分离钳</w:t>
            </w:r>
          </w:p>
        </w:tc>
        <w:tc>
          <w:tcPr>
            <w:tcW w:w="6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627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CB16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DFE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1650.00 </w:t>
            </w:r>
          </w:p>
        </w:tc>
        <w:tc>
          <w:tcPr>
            <w:tcW w:w="9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538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16500.00 </w:t>
            </w:r>
          </w:p>
        </w:tc>
        <w:tc>
          <w:tcPr>
            <w:tcW w:w="4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DF0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7E170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944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4462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7环套扎器</w:t>
            </w:r>
          </w:p>
        </w:tc>
        <w:tc>
          <w:tcPr>
            <w:tcW w:w="6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66F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C39B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971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2115.00 </w:t>
            </w:r>
          </w:p>
        </w:tc>
        <w:tc>
          <w:tcPr>
            <w:tcW w:w="9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2F0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21150.00 </w:t>
            </w:r>
          </w:p>
        </w:tc>
        <w:tc>
          <w:tcPr>
            <w:tcW w:w="4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F49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4FE09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30F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7F58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医用透明质酸敷料护理包</w:t>
            </w:r>
          </w:p>
        </w:tc>
        <w:tc>
          <w:tcPr>
            <w:tcW w:w="6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596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29FC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200</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08A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352.09 </w:t>
            </w:r>
          </w:p>
        </w:tc>
        <w:tc>
          <w:tcPr>
            <w:tcW w:w="9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B7C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70418.00 </w:t>
            </w:r>
          </w:p>
        </w:tc>
        <w:tc>
          <w:tcPr>
            <w:tcW w:w="4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71E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6E510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03F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DF47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医用护理包</w:t>
            </w:r>
          </w:p>
        </w:tc>
        <w:tc>
          <w:tcPr>
            <w:tcW w:w="6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9DD67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A137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200</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D08B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162.00 </w:t>
            </w:r>
          </w:p>
        </w:tc>
        <w:tc>
          <w:tcPr>
            <w:tcW w:w="9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7AA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32400.00 </w:t>
            </w:r>
          </w:p>
        </w:tc>
        <w:tc>
          <w:tcPr>
            <w:tcW w:w="4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AE7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4A4B0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660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4BC0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皮内针</w:t>
            </w:r>
          </w:p>
        </w:tc>
        <w:tc>
          <w:tcPr>
            <w:tcW w:w="6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831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颗</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1559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3200</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7CA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16.00 </w:t>
            </w:r>
          </w:p>
        </w:tc>
        <w:tc>
          <w:tcPr>
            <w:tcW w:w="9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144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51200.00 </w:t>
            </w:r>
          </w:p>
        </w:tc>
        <w:tc>
          <w:tcPr>
            <w:tcW w:w="4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D2E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58A6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ED9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A3B6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揿针</w:t>
            </w:r>
          </w:p>
        </w:tc>
        <w:tc>
          <w:tcPr>
            <w:tcW w:w="6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2DB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颗</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F3B5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5000</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C49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9.00 </w:t>
            </w:r>
          </w:p>
        </w:tc>
        <w:tc>
          <w:tcPr>
            <w:tcW w:w="9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F86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45000.00 </w:t>
            </w:r>
          </w:p>
        </w:tc>
        <w:tc>
          <w:tcPr>
            <w:tcW w:w="4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946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是</w:t>
            </w:r>
          </w:p>
        </w:tc>
      </w:tr>
      <w:tr w14:paraId="7BE88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8F1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8B63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一次性使用浮针</w:t>
            </w:r>
          </w:p>
        </w:tc>
        <w:tc>
          <w:tcPr>
            <w:tcW w:w="6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AC4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E9BC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1000</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91C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7.80 </w:t>
            </w:r>
          </w:p>
        </w:tc>
        <w:tc>
          <w:tcPr>
            <w:tcW w:w="9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DAD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7800.00 </w:t>
            </w:r>
          </w:p>
        </w:tc>
        <w:tc>
          <w:tcPr>
            <w:tcW w:w="4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2C9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279C3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AB52">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10</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D7F3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盆底电极</w:t>
            </w:r>
          </w:p>
        </w:tc>
        <w:tc>
          <w:tcPr>
            <w:tcW w:w="6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700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BA3C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D54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185.00 </w:t>
            </w:r>
          </w:p>
        </w:tc>
        <w:tc>
          <w:tcPr>
            <w:tcW w:w="9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8B9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3700.00 </w:t>
            </w:r>
          </w:p>
        </w:tc>
        <w:tc>
          <w:tcPr>
            <w:tcW w:w="4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48D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否</w:t>
            </w:r>
          </w:p>
        </w:tc>
      </w:tr>
      <w:tr w14:paraId="6AFDC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FB3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4DCB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医用透气胶带</w:t>
            </w:r>
          </w:p>
        </w:tc>
        <w:tc>
          <w:tcPr>
            <w:tcW w:w="6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957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盒</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65C3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40</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B30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108.00 </w:t>
            </w:r>
          </w:p>
        </w:tc>
        <w:tc>
          <w:tcPr>
            <w:tcW w:w="9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C94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4320.00 </w:t>
            </w:r>
          </w:p>
        </w:tc>
        <w:tc>
          <w:tcPr>
            <w:tcW w:w="4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C6E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否</w:t>
            </w:r>
          </w:p>
        </w:tc>
      </w:tr>
      <w:tr w14:paraId="5B134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7BE6">
            <w:pPr>
              <w:keepNext w:val="0"/>
              <w:keepLines w:val="0"/>
              <w:widowControl/>
              <w:suppressLineNumbers w:val="0"/>
              <w:jc w:val="righ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合计：317888.00元</w:t>
            </w:r>
          </w:p>
        </w:tc>
      </w:tr>
    </w:tbl>
    <w:p w14:paraId="18EA6E46">
      <w:pPr>
        <w:rPr>
          <w:rFonts w:hint="eastAsia"/>
          <w:color w:val="auto"/>
          <w:lang w:val="en-US" w:eastAsia="zh-CN"/>
        </w:rPr>
      </w:pPr>
    </w:p>
    <w:p w14:paraId="08075D5D">
      <w:pPr>
        <w:pStyle w:val="5"/>
        <w:keepNext/>
        <w:keepLines/>
        <w:pageBreakBefore w:val="0"/>
        <w:widowControl w:val="0"/>
        <w:numPr>
          <w:ilvl w:val="0"/>
          <w:numId w:val="4"/>
        </w:numPr>
        <w:kinsoku/>
        <w:wordWrap/>
        <w:overflowPunct/>
        <w:topLinePunct w:val="0"/>
        <w:autoSpaceDE/>
        <w:autoSpaceDN/>
        <w:bidi w:val="0"/>
        <w:adjustRightInd/>
        <w:snapToGrid/>
        <w:spacing w:before="0" w:after="0" w:line="360" w:lineRule="auto"/>
        <w:jc w:val="left"/>
        <w:textAlignment w:val="auto"/>
        <w:rPr>
          <w:rFonts w:hint="default" w:ascii="仿宋" w:hAnsi="仿宋" w:eastAsia="仿宋" w:cs="仿宋"/>
          <w:b/>
          <w:bCs/>
          <w:color w:val="auto"/>
          <w:highlight w:val="none"/>
          <w:lang w:val="en-US" w:eastAsia="zh-CN"/>
        </w:rPr>
      </w:pPr>
      <w:bookmarkStart w:id="417" w:name="_Toc23359"/>
      <w:r>
        <w:rPr>
          <w:rFonts w:hint="eastAsia" w:ascii="仿宋" w:hAnsi="仿宋" w:eastAsia="仿宋" w:cs="仿宋"/>
          <w:b/>
          <w:bCs/>
          <w:color w:val="auto"/>
          <w:highlight w:val="none"/>
          <w:lang w:val="en-US" w:eastAsia="zh-CN"/>
        </w:rPr>
        <w:t>技术参数要求</w:t>
      </w:r>
      <w:bookmarkEnd w:id="415"/>
      <w:bookmarkEnd w:id="416"/>
      <w:bookmarkEnd w:id="417"/>
    </w:p>
    <w:tbl>
      <w:tblPr>
        <w:tblStyle w:val="3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7"/>
        <w:gridCol w:w="2057"/>
        <w:gridCol w:w="2"/>
        <w:gridCol w:w="6814"/>
      </w:tblGrid>
      <w:tr w14:paraId="40F87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55F7">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第一包：心内科类</w:t>
            </w:r>
          </w:p>
        </w:tc>
      </w:tr>
      <w:tr w14:paraId="3500B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6AEA">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A26A0">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标的名称</w:t>
            </w:r>
          </w:p>
        </w:tc>
        <w:tc>
          <w:tcPr>
            <w:tcW w:w="3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3E2B1">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lang w:val="en-US"/>
              </w:rPr>
            </w:pPr>
            <w:r>
              <w:rPr>
                <w:rFonts w:hint="eastAsia" w:ascii="仿宋" w:hAnsi="仿宋" w:eastAsia="仿宋" w:cs="仿宋"/>
                <w:b/>
                <w:bCs/>
                <w:i w:val="0"/>
                <w:iCs w:val="0"/>
                <w:color w:val="auto"/>
                <w:kern w:val="0"/>
                <w:sz w:val="24"/>
                <w:szCs w:val="24"/>
                <w:u w:val="none"/>
                <w:lang w:val="en-US" w:eastAsia="zh-CN" w:bidi="ar"/>
              </w:rPr>
              <w:t>技术参数</w:t>
            </w:r>
          </w:p>
        </w:tc>
      </w:tr>
      <w:tr w14:paraId="2316D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B65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0D04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固定弯诊断用电生理导管</w:t>
            </w:r>
          </w:p>
        </w:tc>
        <w:tc>
          <w:tcPr>
            <w:tcW w:w="3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9983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1、一次性使用灭菌产品，由连接器、手柄、管身和电极组成。不同型号导管电极数量、电极间距、直径及头端弯度不同。</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2、用于心脏结构的电生理标测，仅用于刺激和记录。</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3、各型号大小，根据术中选择尺寸。</w:t>
            </w:r>
          </w:p>
        </w:tc>
      </w:tr>
      <w:tr w14:paraId="2889F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4F4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641E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灌注管路</w:t>
            </w:r>
          </w:p>
        </w:tc>
        <w:tc>
          <w:tcPr>
            <w:tcW w:w="3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7F24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由保护套、穿刺器、滴斗、管路、鲁尔接头、三通接头组成，组成材料为低密度聚乙烯、聚氯乙烯（含乙酰基柠檬酸三丁酯增塑剂和偏苯三酸三辛酯增塑剂）、丙烯腈丁二烯苯乙烯、丙烯酸聚合物、聚丙烯、聚碳酸酯、硅润滑剂和环己酮。本产品为一次性使用，伽马射线灭菌。</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2、灌注管路设计与灌注泵配合使用，以规定的流速向本公司的射频消融导管提供冲洗溶液，用于导管头端的冷却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3、各型号大小，根据术中选择尺寸，提供跟台服务和技术指导。</w:t>
            </w:r>
          </w:p>
        </w:tc>
      </w:tr>
      <w:tr w14:paraId="703C3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7CB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A5E2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磁定位可调弯标测导管</w:t>
            </w:r>
          </w:p>
        </w:tc>
        <w:tc>
          <w:tcPr>
            <w:tcW w:w="3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54B8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1、导管由连接器，手柄，管身和电极组成。产品为一次性灭菌产品，环氧乙烷灭菌。</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2、导管适用于包括冠状窦在内的心脏结构的电生理标测，即刺激和记录。该导管还与兼容的电生理导航系统配套，用于提供导管尖端的位置信息。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3、各型号大小，根据术中选择尺寸。</w:t>
            </w:r>
          </w:p>
        </w:tc>
      </w:tr>
      <w:tr w14:paraId="17E0F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551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F482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体表参考电极</w:t>
            </w:r>
          </w:p>
        </w:tc>
        <w:tc>
          <w:tcPr>
            <w:tcW w:w="3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729E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1、产品由聚碳酸酯连接器、泡沫贴片、贴片粘合剂和猪尾连接器组成，非灭菌产品，一次性使用。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2、适用于与心电标测系统配用，提供了将贴片电极传感器电缆粘贴在患者身上的手段，用于传送导管的位置。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3、各型号大小，根据术中选择尺寸，提供跟台服务和技术指导。</w:t>
            </w:r>
          </w:p>
        </w:tc>
      </w:tr>
      <w:tr w14:paraId="3E554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4DF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392D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诊断/消融可调弯头端导管</w:t>
            </w:r>
          </w:p>
        </w:tc>
        <w:tc>
          <w:tcPr>
            <w:tcW w:w="3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A027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1、产品由连接器、管身、手柄和电极组成，为环氧乙烷灭菌，一次性使用产品。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2、在医疗机构中用于心脏电生理标测（刺激和记录），当与射频消融仪配合使用时，可用于治疗室上性心动过速（房扑和阵发性室上速）和室性心律失常。</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3、6孔，单弯。</w:t>
            </w:r>
          </w:p>
        </w:tc>
      </w:tr>
      <w:tr w14:paraId="7D8A9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34F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59BA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诊断/消融可调弯头端导管</w:t>
            </w:r>
          </w:p>
        </w:tc>
        <w:tc>
          <w:tcPr>
            <w:tcW w:w="3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FEA2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1、产品由连接器、管身、手柄和电极组成，为环氧乙烷灭菌，一次性使用产品。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2、在医疗机构中用于心脏电生理标测（刺激和记录），当与射频消融仪配合使用时，可用于治疗室上性心动过速（房颤、房扑和阵发性室上速）和室性心律失常。</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3、56孔，单弯。。</w:t>
            </w:r>
          </w:p>
        </w:tc>
      </w:tr>
      <w:tr w14:paraId="037F9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8C9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0B65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弯型可视双向可调弯导引鞘管</w:t>
            </w:r>
          </w:p>
        </w:tc>
        <w:tc>
          <w:tcPr>
            <w:tcW w:w="3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8F04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1、产品由导引鞘管、扩张器和导丝构成。</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2、产品预期用于将心血管导管引入到心脏，包括通过房间隔引入到心脏左侧。在与电生理导航系统版本及兼容的版本配合使用时，鞘管的弯型是可视的。</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3、各型号大小，根据术中选择尺寸。</w:t>
            </w:r>
          </w:p>
        </w:tc>
      </w:tr>
      <w:tr w14:paraId="14859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9A0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E28F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星形磁电双定位标测导管</w:t>
            </w:r>
          </w:p>
        </w:tc>
        <w:tc>
          <w:tcPr>
            <w:tcW w:w="3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7A4B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1、导管为一次性使用环氧乙烷灭菌产品，由连接器、手柄、管身、骨架、管身电极和环电极组成。不同型号产品其弯型、电极间隙不同。</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2、适用于对心脏的心内结构进行多电极电生理标测，即仅限进行记录或刺激。此导管设计用于获得心脏的心房和心室区域内的心电图。在与兼容的电生理导航系统配套使用时，该导管可提供定位信息。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3、各型号大小，根据术中选择尺寸。</w:t>
            </w:r>
          </w:p>
        </w:tc>
      </w:tr>
      <w:tr w14:paraId="1633A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1C5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79B4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心内导引鞘组及附件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(固定弯心内导引鞘组)</w:t>
            </w:r>
          </w:p>
        </w:tc>
        <w:tc>
          <w:tcPr>
            <w:tcW w:w="3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0619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1、产品包含心内导引鞘组及房间隔穿刺针两部分，其中心内导引鞘组由导管鞘、扩张器和导丝组成。房间隔穿刺针由房间隔穿刺针和通管丝组成。产品经环氧乙烷灭菌，一次性使用。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2、适用于射频消融治疗快速心律失常时经股静脉入路建立血管内通路，将消融导管或标测导管导引至各个心腔，包括通过房间隔穿刺术导引导管进入左侧心房。</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3、各型号大小，根据术中选择尺寸。</w:t>
            </w:r>
          </w:p>
        </w:tc>
      </w:tr>
      <w:tr w14:paraId="4D7AF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68C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7B4F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心内导引鞘组及附件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(房间隔穿刺鞘)</w:t>
            </w:r>
          </w:p>
        </w:tc>
        <w:tc>
          <w:tcPr>
            <w:tcW w:w="3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34F6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心内导引和穿刺系统由心内导引鞘组、房间隔穿刺针和经房间隔导丝组成。心内导引鞘组由导管鞘、扩张器和导丝组成。导管鞘的结构组成包括鞘管、止血阀、侧支和三通阀，且头端具有显影环和两个均匀分布的侧孔。扩张器的结构组成包括扩张管和连接座；导丝的结构组成包括芯丝和绕丝，部分型号导丝具有安全丝。房间隔穿刺针的结构组成包括针座、截止阀、指针法兰和针管，且配有通丝。产品经环氧乙烷灭菌，一次性使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2、心内导引和穿刺系统为一次性使用无菌器械，适用于导引各种经血管介入类手术器械经由股静脉穿刺进入心脏，必要时可完成房间隔穿刺的功能。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3、各型号大小，根据术中选择尺寸。</w:t>
            </w:r>
          </w:p>
        </w:tc>
      </w:tr>
      <w:tr w14:paraId="7046C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004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B63D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植入式心脏起搏电极导线</w:t>
            </w:r>
          </w:p>
        </w:tc>
        <w:tc>
          <w:tcPr>
            <w:tcW w:w="3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10BD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1、产品由电极导线和附件组成。</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与兼容脉冲发生器结合使用时，用于对右心房和/或右心室进行长期起搏和感知。该电极导线与脉冲发生器构成的植入式系统属于磁共振环境条件安全医疗器械。在规定的条件下，以及保证对患者和植入设备采取了特殊保护措施的前提下，患者可接受临床1.5T或3T场强的磁共振成像检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3、配套我院集采的波科品牌永久心脏起搏器使用。</w:t>
            </w:r>
          </w:p>
        </w:tc>
      </w:tr>
      <w:tr w14:paraId="3BE82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E5D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69B4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一次性使用无菌导管鞘组</w:t>
            </w:r>
          </w:p>
        </w:tc>
        <w:tc>
          <w:tcPr>
            <w:tcW w:w="3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E94D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一次性使用无菌导管鞘组是在实施起搏器植入、电生理检查、介入治疗手术时使用的一个工具，只在手术过程中完成静脉血管穿刺，为植入器械或植入物提供一个手术通道。产品为一次性使用产品，环氧乙烷灭菌，每套静脉导管鞘组包括一个穿刺针、一个注射器、一根导丝和一个血管扩张器/导管鞘组件。针头、导丝主要材料为：0Cr18Ni9，注射器主要材料为聚丙烯，血管扩张器主要材料为聚乙烯、导管鞘主要材料为聚四氟乙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2、适用于静脉血管穿刺，辅助心脏起搏器电极导管等各种静脉导管的插入。</w:t>
            </w:r>
          </w:p>
        </w:tc>
      </w:tr>
      <w:tr w14:paraId="0D73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DA8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4F1C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双极临时起搏电极导管</w:t>
            </w:r>
          </w:p>
        </w:tc>
        <w:tc>
          <w:tcPr>
            <w:tcW w:w="3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295D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1、电极导管（含适配器）、电极导管保护套、导管鞘、注射器、穿刺针和电极组成。</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2、适用于在临时经静脉右心室起搏中使用。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3、各型号大小，根据术中选择尺寸。</w:t>
            </w:r>
          </w:p>
        </w:tc>
      </w:tr>
      <w:tr w14:paraId="28CF9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EC76">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第二包：肿瘤科类</w:t>
            </w:r>
          </w:p>
        </w:tc>
      </w:tr>
      <w:tr w14:paraId="5BA12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E129">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450C">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标的名称</w:t>
            </w:r>
          </w:p>
        </w:tc>
        <w:tc>
          <w:tcPr>
            <w:tcW w:w="3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3CE49">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lang w:val="en-US" w:eastAsia="zh-CN"/>
              </w:rPr>
            </w:pPr>
            <w:r>
              <w:rPr>
                <w:rFonts w:hint="eastAsia" w:ascii="仿宋" w:hAnsi="仿宋" w:eastAsia="仿宋" w:cs="仿宋"/>
                <w:b/>
                <w:bCs/>
                <w:i w:val="0"/>
                <w:iCs w:val="0"/>
                <w:color w:val="auto"/>
                <w:sz w:val="24"/>
                <w:szCs w:val="24"/>
                <w:u w:val="none"/>
                <w:lang w:val="en-US" w:eastAsia="zh-CN"/>
              </w:rPr>
              <w:t>技术参数</w:t>
            </w:r>
          </w:p>
        </w:tc>
      </w:tr>
      <w:tr w14:paraId="0F47D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20A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7192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一次性使用无菌冷冻消融针</w:t>
            </w:r>
          </w:p>
        </w:tc>
        <w:tc>
          <w:tcPr>
            <w:tcW w:w="3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846B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1、大小要求：1.3mm、1.7mm、2.4mm、3.4mm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2、用于实体肿瘤冷冻治疗    。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3、提供跟台服务、技术指导及配套器械。</w:t>
            </w:r>
          </w:p>
        </w:tc>
      </w:tr>
      <w:tr w14:paraId="380DC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3B2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044" w:type="pct"/>
            <w:tcBorders>
              <w:top w:val="single" w:color="000000" w:sz="4" w:space="0"/>
              <w:left w:val="single" w:color="000000" w:sz="4" w:space="0"/>
              <w:bottom w:val="nil"/>
              <w:right w:val="single" w:color="000000" w:sz="4" w:space="0"/>
            </w:tcBorders>
            <w:shd w:val="clear" w:color="auto" w:fill="auto"/>
            <w:vAlign w:val="center"/>
          </w:tcPr>
          <w:p w14:paraId="73474BA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一次性护理包</w:t>
            </w:r>
          </w:p>
        </w:tc>
        <w:tc>
          <w:tcPr>
            <w:tcW w:w="3459" w:type="pct"/>
            <w:gridSpan w:val="2"/>
            <w:tcBorders>
              <w:top w:val="single" w:color="000000" w:sz="4" w:space="0"/>
              <w:left w:val="single" w:color="000000" w:sz="4" w:space="0"/>
              <w:bottom w:val="nil"/>
              <w:right w:val="single" w:color="000000" w:sz="4" w:space="0"/>
            </w:tcBorders>
            <w:shd w:val="clear" w:color="auto" w:fill="auto"/>
            <w:vAlign w:val="center"/>
          </w:tcPr>
          <w:p w14:paraId="569BF16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1、对患者经外周置入中心静脉导管、中心静脉导管以及留置针置管的护理和换药使用。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配置要求：外科手套（7#）1双、隔离衣（M）1件、透明敷贴（膜面10cmx12cm,方形）1片、无纺布片（5x5cm,4层）2片、无纺布片（10x10cm,4层）4片、医用胶布（4.5x8cm）2张、托盘（21.0x13.5x3.5cm）1个、托盘（19.7x10.7x2.4cm）1个、托盘（刻度:60ml）1个、压脉带（2.5x45cm）1根、医用脱脂棉球（1g/个）10个、剪刀（12cm,塑料手柄）1把、纸尺（刻度:60cm）1条、吸水垫（45x60cm）1张、治疗巾（50x70cm）1张、孔巾（80x90cm）1张、包巾（100x100cm）1张、大单（120x200cm）1张、镊子（12.7cm）1把、镊子（12.0cm）1把。</w:t>
            </w:r>
          </w:p>
        </w:tc>
      </w:tr>
      <w:tr w14:paraId="13D82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B8ED">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第三包：普外科等类</w:t>
            </w:r>
          </w:p>
        </w:tc>
      </w:tr>
      <w:tr w14:paraId="46134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FF6A">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E7DA2">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标的名称</w:t>
            </w:r>
          </w:p>
        </w:tc>
        <w:tc>
          <w:tcPr>
            <w:tcW w:w="3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3AF3B">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lang w:val="en-US"/>
              </w:rPr>
            </w:pPr>
            <w:r>
              <w:rPr>
                <w:rFonts w:hint="eastAsia" w:ascii="仿宋" w:hAnsi="仿宋" w:eastAsia="仿宋" w:cs="仿宋"/>
                <w:b/>
                <w:bCs/>
                <w:i w:val="0"/>
                <w:iCs w:val="0"/>
                <w:color w:val="auto"/>
                <w:kern w:val="0"/>
                <w:sz w:val="24"/>
                <w:szCs w:val="24"/>
                <w:u w:val="none"/>
                <w:lang w:val="en-US" w:eastAsia="zh-CN" w:bidi="ar"/>
              </w:rPr>
              <w:t>技术参数</w:t>
            </w:r>
          </w:p>
        </w:tc>
      </w:tr>
      <w:tr w14:paraId="3A2BC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C03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4152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一次性使用套管穿刺器（单孔多通道型）</w:t>
            </w:r>
          </w:p>
        </w:tc>
        <w:tc>
          <w:tcPr>
            <w:tcW w:w="3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6D91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1、适用于单孔腹腔镜手术。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2、由主体、切口保护套、引导棒、球囊圈四部分组成。主体由1支5mm穿刺导管、2支10mm穿刺导管组成，切口保护套直径70mm。</w:t>
            </w:r>
          </w:p>
        </w:tc>
      </w:tr>
      <w:tr w14:paraId="4B364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DCE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75F0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一次性使用取石网篮</w:t>
            </w:r>
          </w:p>
        </w:tc>
        <w:tc>
          <w:tcPr>
            <w:tcW w:w="3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E376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1、国产品牌，用于圈取消化道内的异物、结石或已切除组织样本。</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2、开幅20mm，网篮有效长度40mm，插入部分最大宽度5F。</w:t>
            </w:r>
          </w:p>
        </w:tc>
      </w:tr>
      <w:tr w14:paraId="1D952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5BC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36FD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一次使用内窥镜分离钳</w:t>
            </w:r>
          </w:p>
        </w:tc>
        <w:tc>
          <w:tcPr>
            <w:tcW w:w="3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8AE0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适用于外科内窥镜手术，用于分离组织，特别是单孔腹腔镜手术。2、产品钳头及钳杆采用不锈钢制成，具有优秀的物理性能、稳定的化学性能和良好的生物相容性。3、产品设计有转轮，可以360°旋转。4、在手柄部分具有有锁卡裝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5、圆锥钳头，1.2mm，钳杆长度180mm,无需Trocar，闭合下实现穿孔、穿刺功能，组织创伤小。4、产品一次性使用，避免交叉感染。</w:t>
            </w:r>
          </w:p>
        </w:tc>
      </w:tr>
      <w:tr w14:paraId="13000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ABC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46B3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7环套扎器</w:t>
            </w:r>
          </w:p>
        </w:tc>
        <w:tc>
          <w:tcPr>
            <w:tcW w:w="3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B91D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1、由2个主要元件组成:套扎元件和配有牵引导丝和内窥镜固定器的手柄元件。套扎元件中弹性环材料为制模聚异戊二烯。一次性使用非灭菌产品。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2、用于开展内镜下内痔套扎治疗。</w:t>
            </w:r>
          </w:p>
        </w:tc>
      </w:tr>
      <w:tr w14:paraId="10A8A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CE4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63F0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医用透明质酸敷料护理包</w:t>
            </w:r>
          </w:p>
        </w:tc>
        <w:tc>
          <w:tcPr>
            <w:tcW w:w="3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A1C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1、医用透明质酸护理包1套含透明质酸敷料1张、医用棉片1张和医用棉签1袋。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2、用于美容科开展水杨酸焕肤对于痤疮的治疗。</w:t>
            </w:r>
          </w:p>
        </w:tc>
      </w:tr>
      <w:tr w14:paraId="4C487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1F9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B82D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医用护理包</w:t>
            </w:r>
          </w:p>
        </w:tc>
        <w:tc>
          <w:tcPr>
            <w:tcW w:w="3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3522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1、配置要求：医用棉签1袋、一次性使用灭菌橡胶外科手套1袋、重组胶原蛋白液体敷料1瓶、泵头1袋 。 2、皮肤科用于脱发患者使用。</w:t>
            </w:r>
          </w:p>
        </w:tc>
      </w:tr>
      <w:tr w14:paraId="2E89F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2BB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45A2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皮内针</w:t>
            </w:r>
          </w:p>
        </w:tc>
        <w:tc>
          <w:tcPr>
            <w:tcW w:w="3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E998C">
            <w:pPr>
              <w:keepNext w:val="0"/>
              <w:keepLines w:val="0"/>
              <w:widowControl/>
              <w:suppressLineNumbers w:val="0"/>
              <w:spacing w:after="180" w:afterAutospacing="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非电针用揿钉型皮内针，0.18*2.00mm。</w:t>
            </w:r>
          </w:p>
        </w:tc>
      </w:tr>
      <w:tr w14:paraId="2F326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3E0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w:t>
            </w: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4086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揿针</w:t>
            </w:r>
          </w:p>
        </w:tc>
        <w:tc>
          <w:tcPr>
            <w:tcW w:w="3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BF941">
            <w:pPr>
              <w:keepNext w:val="0"/>
              <w:keepLines w:val="0"/>
              <w:widowControl/>
              <w:suppressLineNumbers w:val="0"/>
              <w:spacing w:after="180" w:afterAutospacing="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大小0.17mm*1.3mm 和0.17mm*0.3mm  。</w:t>
            </w:r>
          </w:p>
        </w:tc>
      </w:tr>
      <w:tr w14:paraId="6D922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8B0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2B74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一次性使用浮针</w:t>
            </w:r>
          </w:p>
        </w:tc>
        <w:tc>
          <w:tcPr>
            <w:tcW w:w="3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3787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1、用于肩颈腰腿疼痛、疼痛类疾病。</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2、中号，针芯52*0.6mm，软管套：49*1.05mm。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3、同时具有大号、中号、小号供不同穴位使用。</w:t>
            </w:r>
          </w:p>
        </w:tc>
      </w:tr>
      <w:tr w14:paraId="34DED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07E5">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10</w:t>
            </w: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6B60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盆底电极</w:t>
            </w:r>
          </w:p>
        </w:tc>
        <w:tc>
          <w:tcPr>
            <w:tcW w:w="3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0E9A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1、用于开展产后或者术后盆底肌康复。</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2、适配生物刺激反馈仪设备，型号HB-PME4，品牌苏州好博。</w:t>
            </w:r>
          </w:p>
        </w:tc>
      </w:tr>
      <w:tr w14:paraId="182BD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6CFE">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11</w:t>
            </w: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C4FC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医用透气胶带</w:t>
            </w:r>
          </w:p>
        </w:tc>
        <w:tc>
          <w:tcPr>
            <w:tcW w:w="3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30B8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1、用于将敷料粘贴固定于创面或将其他医疗器械固定到人体的特定部位。</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2、优肌绊无纺布材质，具有过敏反应低,适用于体质高敏和需要长期置管的病人。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3、进口，12mm*7m，24卷/盒。</w:t>
            </w:r>
          </w:p>
        </w:tc>
      </w:tr>
    </w:tbl>
    <w:p w14:paraId="5A63D8AC">
      <w:pPr>
        <w:pStyle w:val="9"/>
        <w:pageBreakBefore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bookmarkEnd w:id="409"/>
    <w:p w14:paraId="66AFD91B">
      <w:pPr>
        <w:pStyle w:val="5"/>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仿宋" w:hAnsi="仿宋" w:eastAsia="仿宋" w:cs="仿宋"/>
          <w:b/>
          <w:bCs/>
          <w:color w:val="auto"/>
          <w:highlight w:val="none"/>
          <w:lang w:val="en-US" w:eastAsia="zh-CN"/>
        </w:rPr>
      </w:pPr>
      <w:bookmarkStart w:id="418" w:name="_Toc16952"/>
      <w:bookmarkStart w:id="419" w:name="_Toc24400"/>
      <w:bookmarkStart w:id="420" w:name="_Toc19283"/>
      <w:bookmarkStart w:id="421" w:name="_Toc16486"/>
      <w:bookmarkStart w:id="422" w:name="_Toc3120"/>
      <w:bookmarkStart w:id="423" w:name="_Toc4701"/>
      <w:bookmarkStart w:id="424" w:name="_Toc96"/>
      <w:bookmarkStart w:id="425" w:name="_Toc1339"/>
      <w:bookmarkStart w:id="426" w:name="_Toc79959390"/>
      <w:r>
        <w:rPr>
          <w:rFonts w:hint="eastAsia" w:ascii="仿宋" w:hAnsi="仿宋" w:eastAsia="仿宋" w:cs="仿宋"/>
          <w:b/>
          <w:bCs/>
          <w:color w:val="auto"/>
          <w:kern w:val="2"/>
          <w:sz w:val="32"/>
          <w:szCs w:val="32"/>
          <w:highlight w:val="none"/>
          <w:lang w:val="en-US" w:eastAsia="zh-CN" w:bidi="ar-SA"/>
        </w:rPr>
        <w:t>★</w:t>
      </w:r>
      <w:r>
        <w:rPr>
          <w:rFonts w:hint="eastAsia" w:ascii="仿宋" w:hAnsi="仿宋" w:eastAsia="仿宋" w:cs="仿宋"/>
          <w:b/>
          <w:bCs/>
          <w:color w:val="auto"/>
          <w:highlight w:val="none"/>
          <w:lang w:val="en-US" w:eastAsia="zh-CN"/>
        </w:rPr>
        <w:t>四、商务要求</w:t>
      </w:r>
      <w:bookmarkEnd w:id="418"/>
      <w:bookmarkEnd w:id="419"/>
      <w:bookmarkEnd w:id="420"/>
      <w:bookmarkEnd w:id="421"/>
      <w:bookmarkEnd w:id="422"/>
      <w:bookmarkEnd w:id="423"/>
      <w:r>
        <w:rPr>
          <w:rFonts w:hint="eastAsia" w:ascii="仿宋" w:hAnsi="仿宋" w:eastAsia="仿宋" w:cs="仿宋"/>
          <w:b/>
          <w:bCs/>
          <w:color w:val="auto"/>
          <w:highlight w:val="none"/>
          <w:lang w:val="en-US" w:eastAsia="zh-CN"/>
        </w:rPr>
        <w:t>（各包相同）</w:t>
      </w:r>
      <w:bookmarkEnd w:id="424"/>
    </w:p>
    <w:p w14:paraId="1A43A4F6">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1、投标人需提供全面、合格的货物:投标人提供的货物必须符合已颁布的中国国家标准或国际标准的有关条款。 </w:t>
      </w:r>
    </w:p>
    <w:p w14:paraId="0A43F12D">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签订合同前，耗材必须在“四川医保平台子系统-药品和医用耗材招采管理系统”获得配送资格，如未获得配送权不与签订合同，如供应商虚假响应，所产生的一切后果自行承担。挂网品种根据“药品和医用耗材招采管理系统”目录动态调整，以每月实际采购下订单目录为准。（必须提供相应产品能获得配送权的承诺函，格式自拟）；</w:t>
      </w:r>
    </w:p>
    <w:p w14:paraId="7B431A4A">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1.2、如产品出现了降价的情况配送供应商必须执行新价格（提供承诺函，格式自拟）；</w:t>
      </w:r>
    </w:p>
    <w:p w14:paraId="422554DD">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1.3、采购价不得高于的“四川医保平台子系统-药品和医用耗材招采管理系统”中的“我省最高参考价”、“联动参考价”、“截止上月末全省医疗机构采购加权平均价”等价格 ，中标供应商无条件执行价格政策，并在四川药械采购网上进行价格确认生成订单，中标供应商无条件执行价格政策，出现了降价的情况配送供应商必须执行新价格，不得以任何理由不供货。中标供应商如不执行，我院有权终止合同；（提供承诺函，格式自拟）</w:t>
      </w:r>
    </w:p>
    <w:p w14:paraId="1732643C">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1.4、挂网品种根据“药品和医用耗材招采管理系统”目录动态调整，以每月实际采购下订单目录为准。</w:t>
      </w:r>
    </w:p>
    <w:p w14:paraId="3BAA9613">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1.5、所有采购产品，出现国家集采范围内，进入国家集采范围内的产品自动中止采购，执行国家集采相关政策。</w:t>
      </w:r>
    </w:p>
    <w:p w14:paraId="1739F715">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1.6、所有采购产品，由总院统一采购后合同自动终止，执行总院采购政策。</w:t>
      </w:r>
    </w:p>
    <w:p w14:paraId="1DC58541">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2、中标后签合同之前提供样品到使用科室，确定参数要求是否满足。中标人需向招标人提供及时有效的技术支持。 </w:t>
      </w:r>
    </w:p>
    <w:p w14:paraId="0DB0761A">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本项目各包件清单中列举的物品为招标人主要采购物品（属于预估清单），各包件清单不代表采购的所有内容，投标人在服务期内须根据招标人实际需求提供相应物品，清单中未列举的物品，无参考价格的新进挂网产品，其价格由招标人参照有参考价格的同类产品、按照招标人内部采购管理制度和程序进行确定。</w:t>
      </w:r>
    </w:p>
    <w:p w14:paraId="0A248F58">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 4、中标人配送及时，一般耗材于2天内送达，急用耗材应根据需要按时送达。（投标人需在售后服务承诺书中明确表述）。 </w:t>
      </w:r>
    </w:p>
    <w:p w14:paraId="293FF53B">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5、产品质保期：≥1 年（招标文件技术要求另有规定的按技术要求相关规定执行）。产品在使用前若发现有质量问题，应及时免费更换。对合同执行期间产品有效期低于 6 个月的货物中标人应免费更换。其他质量问题在采购合同中约束。</w:t>
      </w:r>
    </w:p>
    <w:p w14:paraId="2960753C">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6、供货期限：合同签订生效后 2年（具体起止时间以合同约定为准，供货时间及质量符合招标文件要求及投标文件承诺的，中标人3次未及时供货或产品质量不合格的，采购方可自动取消其中标资格，并取消其供货合同）。实际采购金额以中标单价和实际发生的数量结算。</w:t>
      </w:r>
    </w:p>
    <w:p w14:paraId="7D95952B">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7、支付方式: </w:t>
      </w:r>
    </w:p>
    <w:p w14:paraId="26D98C16">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7.1 最终采购量以实际需求采购量为准，最终结算金额以中标单价和实际发生的数量结算，按月据实结算（每月供货量经双方确认）并开具完整有效的票据，以票据为准实行滚动付款。 </w:t>
      </w:r>
    </w:p>
    <w:p w14:paraId="0B3CA09C">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7.2 配送履约期间，如因疫情变动或政策调整等不可抗拒因素导致价格变动较大的，双方另行约定。</w:t>
      </w:r>
    </w:p>
    <w:p w14:paraId="3B0911DF">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7.3 本采购项目明细各单项均设预算单价，单项预算单价详见明细表。投标人必须对各项单价进行报价，且不得高于各项预算单价。单项单价超过预算单价的供货商的报价视为无效投标。 </w:t>
      </w:r>
    </w:p>
    <w:p w14:paraId="74F7A9D0">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8、交货地点：富顺县中医医院指定地点。 </w:t>
      </w:r>
    </w:p>
    <w:p w14:paraId="553A0696">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9、质量保证</w:t>
      </w:r>
    </w:p>
    <w:p w14:paraId="7CBB68A2">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9.1 中标人保证所提供的产品质量，如出现产品质量问题中标人应负责退换。对合同执行期间产品有效期低于 6 个月的货物中标人应免费更换。由于产品质量问题引起的医疗事故均由中标人承担相应责任。 </w:t>
      </w:r>
    </w:p>
    <w:p w14:paraId="062F75C8">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9.2  中标人所供货物适用于临床，如临床在使用过程出现不良事件的情况，中标人为招标人更换相应的产品，如更换 2 次仍不能达到临床要求，则中标人在不高于合同单价的前提下为招标人提供合格产品。</w:t>
      </w:r>
    </w:p>
    <w:p w14:paraId="58A9AD83">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9.3、检验试剂需提供性能验证服务包含试剂及工程师，且通过性能验证后才能投入临床使用。</w:t>
      </w:r>
    </w:p>
    <w:p w14:paraId="01A80DF2">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10、验收标准：中标人与招标人应严格按照《财政部关于进一步加强政府采购需求和履约验收管理的指导意见》（财库〔2016〕209号）的要求和招标文件以及投标文件进行验收。</w:t>
      </w:r>
    </w:p>
    <w:p w14:paraId="5DCC081A">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11、售后服务 </w:t>
      </w:r>
    </w:p>
    <w:p w14:paraId="0F06693E">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11.1、合同协议期限内，供应商根据招标人的具体时间要求进行分批次供货，供应商须按招标人交货要求供货，中标人配送及时，一般耗材于2天内送达，急用耗材应根据需要按时送达。若有需要冷藏的产品需保证冷链运输。</w:t>
      </w:r>
    </w:p>
    <w:p w14:paraId="3C8DB4B5">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11.2、供应商对所供医用耗材应充足备货，确保招标人随时需要。供应商知悉本次采购事项发生的背景和环境，合同履行过程中因不可抗力因素和可能面临的外部困难和障碍，供应商对此均有充分的计划和准备，保证及时供货。急诊或急救耗材必须保证下达计划后随时供货，不得因供货不及时影响招标人正常医疗工作。</w:t>
      </w:r>
    </w:p>
    <w:p w14:paraId="5FFC6D55">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11.3、供应商所供医用耗材送达招标人库房办理验收手续，并在招标人指定位置码放整齐；应急情况例外。</w:t>
      </w:r>
    </w:p>
    <w:p w14:paraId="1DFE2C59">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11.4、在实际使用过程中如因产品自身质量原因出现异常情况，供应商能在收到院方口头或书面通知后请厂家或专家24 小时内到招标人处协助解决异常情况，相关一切费用由供应商负责。</w:t>
      </w:r>
    </w:p>
    <w:p w14:paraId="02E31977">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11.5、对于一些需要培训后使用的产品，供应商必须做好相关培训工作，培训产生的费用由供应商负责。</w:t>
      </w:r>
    </w:p>
    <w:p w14:paraId="61009554">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11.6、中标人保证所提供的产品质量，如出现产品质量问题中标人应负责退换。由于产品质量问题引起的医疗事故均由中标人承担相应责任。</w:t>
      </w:r>
    </w:p>
    <w:p w14:paraId="2BEF9978">
      <w:pPr>
        <w:keepNext/>
        <w:keepLines/>
        <w:pageBreakBefore w:val="0"/>
        <w:widowControl w:val="0"/>
        <w:kinsoku/>
        <w:wordWrap/>
        <w:overflowPunct/>
        <w:topLinePunct w:val="0"/>
        <w:autoSpaceDE/>
        <w:autoSpaceDN/>
        <w:bidi w:val="0"/>
        <w:adjustRightInd/>
        <w:snapToGrid/>
        <w:spacing w:before="0" w:after="0" w:line="360" w:lineRule="auto"/>
        <w:textAlignment w:val="auto"/>
        <w:outlineLvl w:val="9"/>
        <w:rPr>
          <w:rFonts w:hint="eastAsia" w:ascii="仿宋" w:hAnsi="仿宋" w:eastAsia="仿宋" w:cs="仿宋"/>
          <w:b/>
          <w:bCs/>
          <w:color w:val="auto"/>
          <w:kern w:val="2"/>
          <w:sz w:val="32"/>
          <w:szCs w:val="32"/>
          <w:highlight w:val="none"/>
          <w:lang w:val="en-US" w:eastAsia="zh-CN" w:bidi="ar-SA"/>
        </w:rPr>
      </w:pPr>
    </w:p>
    <w:p w14:paraId="179912A8">
      <w:pPr>
        <w:keepNext/>
        <w:keepLines/>
        <w:pageBreakBefore w:val="0"/>
        <w:widowControl w:val="0"/>
        <w:kinsoku/>
        <w:wordWrap/>
        <w:overflowPunct/>
        <w:topLinePunct w:val="0"/>
        <w:autoSpaceDE/>
        <w:autoSpaceDN/>
        <w:bidi w:val="0"/>
        <w:adjustRightInd/>
        <w:snapToGrid/>
        <w:spacing w:before="0" w:after="0" w:line="360" w:lineRule="auto"/>
        <w:textAlignment w:val="auto"/>
        <w:outlineLvl w:val="9"/>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注：本章采购需求中标注“★”号的条款为本次采购项目的实质性要求，投标人应全部满足。</w:t>
      </w:r>
    </w:p>
    <w:p w14:paraId="10B6428F">
      <w:pPr>
        <w:pStyle w:val="2"/>
        <w:pageBreakBefore w:val="0"/>
        <w:widowControl w:val="0"/>
        <w:kinsoku/>
        <w:wordWrap/>
        <w:overflowPunct/>
        <w:topLinePunct w:val="0"/>
        <w:bidi w:val="0"/>
        <w:snapToGrid/>
        <w:outlineLvl w:val="9"/>
        <w:rPr>
          <w:rFonts w:ascii="仿宋" w:hAnsi="仿宋" w:eastAsia="仿宋"/>
          <w:color w:val="auto"/>
        </w:rPr>
        <w:sectPr>
          <w:pgSz w:w="11906" w:h="16838"/>
          <w:pgMar w:top="1440" w:right="1134" w:bottom="1440" w:left="1134" w:header="851" w:footer="992" w:gutter="0"/>
          <w:pgNumType w:fmt="decimal"/>
          <w:cols w:space="425" w:num="1"/>
          <w:docGrid w:type="lines" w:linePitch="312" w:charSpace="0"/>
        </w:sectPr>
      </w:pPr>
    </w:p>
    <w:p w14:paraId="343AD22E">
      <w:pPr>
        <w:keepNext w:val="0"/>
        <w:keepLines w:val="0"/>
        <w:pageBreakBefore w:val="0"/>
        <w:widowControl w:val="0"/>
        <w:kinsoku/>
        <w:wordWrap/>
        <w:overflowPunct/>
        <w:topLinePunct w:val="0"/>
        <w:autoSpaceDE/>
        <w:autoSpaceDN/>
        <w:bidi w:val="0"/>
        <w:adjustRightInd/>
        <w:snapToGrid/>
        <w:spacing w:line="260" w:lineRule="auto"/>
        <w:jc w:val="center"/>
        <w:textAlignment w:val="auto"/>
        <w:outlineLvl w:val="0"/>
        <w:rPr>
          <w:rFonts w:hint="eastAsia" w:ascii="仿宋" w:hAnsi="仿宋" w:eastAsia="仿宋" w:cs="Times New Roman"/>
          <w:b/>
          <w:bCs/>
          <w:color w:val="auto"/>
          <w:sz w:val="36"/>
          <w:szCs w:val="36"/>
        </w:rPr>
      </w:pPr>
      <w:bookmarkStart w:id="427" w:name="_Toc17018"/>
      <w:r>
        <w:rPr>
          <w:rFonts w:hint="eastAsia" w:ascii="仿宋" w:hAnsi="仿宋" w:eastAsia="仿宋" w:cs="Times New Roman"/>
          <w:b/>
          <w:bCs/>
          <w:color w:val="auto"/>
          <w:sz w:val="36"/>
          <w:szCs w:val="36"/>
        </w:rPr>
        <w:t>第七章  评标办法</w:t>
      </w:r>
      <w:bookmarkEnd w:id="407"/>
      <w:bookmarkEnd w:id="408"/>
      <w:bookmarkEnd w:id="425"/>
      <w:bookmarkEnd w:id="426"/>
      <w:bookmarkEnd w:id="427"/>
      <w:bookmarkStart w:id="428" w:name="_Hlt101846155"/>
      <w:bookmarkEnd w:id="428"/>
      <w:bookmarkStart w:id="429" w:name="_Toc183682415"/>
      <w:bookmarkStart w:id="430" w:name="_Toc208849007"/>
      <w:bookmarkStart w:id="431" w:name="_Toc217446097"/>
      <w:bookmarkStart w:id="432" w:name="_Toc183582280"/>
    </w:p>
    <w:p w14:paraId="3B3025B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Times New Roman"/>
          <w:b/>
          <w:bCs/>
          <w:color w:val="auto"/>
          <w:sz w:val="28"/>
          <w:szCs w:val="28"/>
          <w:lang w:val="en-US" w:eastAsia="zh-CN"/>
        </w:rPr>
      </w:pPr>
      <w:bookmarkStart w:id="433" w:name="_Toc9767"/>
      <w:bookmarkStart w:id="434" w:name="_Toc11011"/>
      <w:bookmarkStart w:id="435" w:name="_Toc79959391"/>
      <w:r>
        <w:rPr>
          <w:rFonts w:hint="eastAsia" w:ascii="仿宋" w:hAnsi="仿宋" w:eastAsia="仿宋" w:cs="Times New Roman"/>
          <w:b/>
          <w:bCs/>
          <w:color w:val="auto"/>
          <w:sz w:val="28"/>
          <w:szCs w:val="28"/>
          <w:lang w:val="en-US" w:eastAsia="zh-CN"/>
        </w:rPr>
        <w:t>一、总则</w:t>
      </w:r>
      <w:bookmarkEnd w:id="429"/>
      <w:bookmarkEnd w:id="430"/>
      <w:bookmarkEnd w:id="431"/>
      <w:bookmarkEnd w:id="432"/>
      <w:bookmarkEnd w:id="433"/>
      <w:bookmarkEnd w:id="434"/>
      <w:bookmarkEnd w:id="435"/>
    </w:p>
    <w:p w14:paraId="1661FBB7">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bookmarkStart w:id="436" w:name="_Toc217446098"/>
      <w:bookmarkStart w:id="437" w:name="_Toc79959392"/>
      <w:r>
        <w:rPr>
          <w:rFonts w:hint="eastAsia" w:ascii="仿宋" w:hAnsi="仿宋" w:eastAsia="仿宋" w:cs="Times New Roman"/>
          <w:b w:val="0"/>
          <w:bCs w:val="0"/>
          <w:color w:val="auto"/>
          <w:kern w:val="2"/>
          <w:sz w:val="24"/>
          <w:szCs w:val="24"/>
          <w:lang w:val="en-US" w:eastAsia="zh-CN" w:bidi="ar-SA"/>
        </w:rPr>
        <w:t>1.1 根据相关法律制度，结合采购项目特点制定本评标办法。</w:t>
      </w:r>
    </w:p>
    <w:p w14:paraId="7752B7B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1.2 评标工作由招标代理机构负责组织，具体评标事务由招标代理机构依法组建的评标委员会负责。评标委员会由招标人代表和有关技术、经济、法律等方面的专家组成。</w:t>
      </w:r>
    </w:p>
    <w:p w14:paraId="5F40009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1.3 评标工作应遵循公平、公正、科学及择优的原则，并以相同的评标程序和标准对待所有的投标人。</w:t>
      </w:r>
    </w:p>
    <w:p w14:paraId="55292CFF">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1.4 评标委员会按照招标文件规定的评标方法和标准进行评标，并独立履行下列职责：</w:t>
      </w:r>
    </w:p>
    <w:p w14:paraId="47B4399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（一）熟悉和理解招标文件；</w:t>
      </w:r>
    </w:p>
    <w:p w14:paraId="2A71384D">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（二）审查投标人投标文件等是否满足招标文件要求，并作出评价；</w:t>
      </w:r>
    </w:p>
    <w:p w14:paraId="2816A5B1">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（三）根据需要要求招标采购单位对招标文件作出解释；根据需要要求投标人对投标文件有关事项作出澄清、说明或者更正；</w:t>
      </w:r>
    </w:p>
    <w:p w14:paraId="21B4D051">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（四）推荐中标候选投标人，或者受招标人委托确定中标人；</w:t>
      </w:r>
    </w:p>
    <w:p w14:paraId="17E6A732">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（五）起草评标报告并进行签署；</w:t>
      </w:r>
    </w:p>
    <w:p w14:paraId="231272EE">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（六）向招标采购单位或者其他监督部门报告非法干预评标工作的行为；</w:t>
      </w:r>
    </w:p>
    <w:p w14:paraId="463AA3E2">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（七）法律、法规和规章规定的其他职责。</w:t>
      </w:r>
    </w:p>
    <w:p w14:paraId="437E87AE">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1.5 评标过程独立、保密。投标人非法干预评标过程的行为将导致其投标文件作为无效处理。</w:t>
      </w:r>
    </w:p>
    <w:p w14:paraId="4E625349">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Times New Roman"/>
          <w:b w:val="0"/>
          <w:bCs w:val="0"/>
          <w:color w:val="auto"/>
          <w:kern w:val="2"/>
          <w:sz w:val="24"/>
          <w:szCs w:val="24"/>
          <w:lang w:val="en-US" w:eastAsia="zh-CN" w:bidi="ar-SA"/>
        </w:rPr>
        <w:t>1.6 评标委员会评价投标文件的响应性，对于投标人而言，除评标委员会要求其澄清、说明或者更正而提供的资料外，仅依据投标文件本身的内容，不寻求其他外部证据。</w:t>
      </w:r>
    </w:p>
    <w:p w14:paraId="0C34EBD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Times New Roman"/>
          <w:b/>
          <w:bCs/>
          <w:color w:val="auto"/>
          <w:sz w:val="28"/>
          <w:szCs w:val="28"/>
          <w:lang w:val="en-US" w:eastAsia="zh-CN"/>
        </w:rPr>
      </w:pPr>
      <w:bookmarkStart w:id="438" w:name="_Toc484"/>
      <w:bookmarkStart w:id="439" w:name="_Toc1699"/>
      <w:r>
        <w:rPr>
          <w:rFonts w:hint="eastAsia" w:ascii="仿宋" w:hAnsi="仿宋" w:eastAsia="仿宋" w:cs="Times New Roman"/>
          <w:b/>
          <w:bCs/>
          <w:color w:val="auto"/>
          <w:sz w:val="28"/>
          <w:szCs w:val="28"/>
          <w:lang w:val="en-US" w:eastAsia="zh-CN"/>
        </w:rPr>
        <w:t>二、评标</w:t>
      </w:r>
      <w:bookmarkEnd w:id="436"/>
      <w:r>
        <w:rPr>
          <w:rFonts w:hint="eastAsia" w:ascii="仿宋" w:hAnsi="仿宋" w:eastAsia="仿宋" w:cs="Times New Roman"/>
          <w:b/>
          <w:bCs/>
          <w:color w:val="auto"/>
          <w:sz w:val="28"/>
          <w:szCs w:val="28"/>
          <w:lang w:val="en-US" w:eastAsia="zh-CN"/>
        </w:rPr>
        <w:t>方法</w:t>
      </w:r>
      <w:bookmarkEnd w:id="437"/>
      <w:bookmarkEnd w:id="438"/>
      <w:bookmarkEnd w:id="439"/>
    </w:p>
    <w:p w14:paraId="095DBDCF">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bookmarkStart w:id="440" w:name="_Toc217446103"/>
      <w:bookmarkStart w:id="441" w:name="_Toc217446099"/>
      <w:r>
        <w:rPr>
          <w:rFonts w:hint="eastAsia" w:ascii="仿宋" w:hAnsi="仿宋" w:eastAsia="仿宋"/>
          <w:color w:val="auto"/>
          <w:sz w:val="24"/>
        </w:rPr>
        <w:t>2.1本项目评标方法为：</w:t>
      </w:r>
      <w:r>
        <w:rPr>
          <w:rFonts w:hint="eastAsia" w:ascii="仿宋_GB2312" w:hAnsi="宋体" w:eastAsia="仿宋_GB2312"/>
          <w:color w:val="auto"/>
          <w:sz w:val="24"/>
          <w:highlight w:val="none"/>
          <w:lang w:eastAsia="zh-CN"/>
        </w:rPr>
        <w:t>综合评分法</w:t>
      </w:r>
    </w:p>
    <w:p w14:paraId="39EDB60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Times New Roman"/>
          <w:b/>
          <w:bCs/>
          <w:color w:val="auto"/>
          <w:sz w:val="28"/>
          <w:szCs w:val="28"/>
          <w:lang w:val="en-US" w:eastAsia="zh-CN"/>
        </w:rPr>
      </w:pPr>
      <w:bookmarkStart w:id="442" w:name="_Toc5130"/>
      <w:bookmarkStart w:id="443" w:name="_Toc3154"/>
      <w:bookmarkStart w:id="444" w:name="_Toc79959393"/>
      <w:r>
        <w:rPr>
          <w:rFonts w:hint="eastAsia" w:ascii="仿宋" w:hAnsi="仿宋" w:eastAsia="仿宋" w:cs="Times New Roman"/>
          <w:b/>
          <w:bCs/>
          <w:color w:val="auto"/>
          <w:sz w:val="28"/>
          <w:szCs w:val="28"/>
          <w:lang w:val="en-US" w:eastAsia="zh-CN"/>
        </w:rPr>
        <w:t>三、评标程序</w:t>
      </w:r>
      <w:bookmarkEnd w:id="442"/>
      <w:bookmarkEnd w:id="443"/>
      <w:bookmarkEnd w:id="444"/>
    </w:p>
    <w:p w14:paraId="418B46A0">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bCs/>
          <w:color w:val="auto"/>
          <w:kern w:val="2"/>
          <w:sz w:val="24"/>
          <w:szCs w:val="24"/>
          <w:lang w:val="en-US" w:eastAsia="zh-CN" w:bidi="ar-SA"/>
        </w:rPr>
      </w:pPr>
      <w:bookmarkStart w:id="445" w:name="_Toc79959394"/>
      <w:r>
        <w:rPr>
          <w:rFonts w:hint="eastAsia" w:ascii="仿宋" w:hAnsi="仿宋" w:eastAsia="仿宋" w:cs="Times New Roman"/>
          <w:b/>
          <w:bCs/>
          <w:color w:val="auto"/>
          <w:kern w:val="2"/>
          <w:sz w:val="24"/>
          <w:szCs w:val="24"/>
          <w:lang w:val="en-US" w:eastAsia="zh-CN" w:bidi="ar-SA"/>
        </w:rPr>
        <w:t>3.1熟悉和理解招标文件和停止评标。</w:t>
      </w:r>
    </w:p>
    <w:p w14:paraId="01EC0195">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3.1.1评标委员会正式评标前，应当对招标文件进行熟悉和理解，内容主要包括招标文件中投标人资格条件要求、采购项目技术、服务和商务要求、评标方法和标准以及可能涉及签订采购合同的内容等。</w:t>
      </w:r>
    </w:p>
    <w:p w14:paraId="44910F62">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3.1.2评标委员会熟悉和理解招标文件以及评标过程中，发现本招标文件有下列情形之一的，评标委员会应当停止评标：</w:t>
      </w:r>
    </w:p>
    <w:p w14:paraId="308C0471">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（1）招标文件的规定存在歧义、重大缺陷的；</w:t>
      </w:r>
    </w:p>
    <w:p w14:paraId="2BE97F2B">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（2）招标文件明显以不合理条件对投标人实行差别待遇或者歧视待遇的；</w:t>
      </w:r>
    </w:p>
    <w:p w14:paraId="12A66D18">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（3）采购项目属于国家规定的优先、强制采购范围，但是招标文件未依法体现优先、强制采购相关规定的；</w:t>
      </w:r>
    </w:p>
    <w:p w14:paraId="4A31AB32">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（4）招标文件规定的评标方法是综合评分法、最低评标价法之外的评标方法，或者虽然名称为综合评分法、最低评标价法，但实际上不符合国家规定；</w:t>
      </w:r>
    </w:p>
    <w:p w14:paraId="5686740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（5）招标文件将投标人的资格条件列为评分因素的；</w:t>
      </w:r>
    </w:p>
    <w:p w14:paraId="75ACD65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（6）招标文件有违反国家其他有关强制性规定的情形。</w:t>
      </w:r>
    </w:p>
    <w:p w14:paraId="754023BE">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3.1.3出现本条3.1.2规定应当停止评标情形的，评标委员会成员应当向招标采购单位书面说明情况。除本条规定和评标委员会无法依法组建的情形外，评标委员会成员不得以任何方式和理由停止评标。</w:t>
      </w:r>
    </w:p>
    <w:p w14:paraId="242011A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出现本条规定应当停止评审情形的，招标采购单位应当书面告知参加采购活动的投标人，并说明具体原因，同时在采购招标信息服务平台、富顺县中医医院官网（http://www.fsxzyyy.com/）发布公告。</w:t>
      </w:r>
    </w:p>
    <w:p w14:paraId="5E82C0C6">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3.2资格性检查。</w:t>
      </w:r>
    </w:p>
    <w:p w14:paraId="1897C7F6">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开标会结束后，</w:t>
      </w:r>
      <w:r>
        <w:rPr>
          <w:rFonts w:hint="eastAsia" w:ascii="仿宋" w:hAnsi="仿宋" w:eastAsia="仿宋" w:cs="仿宋"/>
          <w:b/>
          <w:bCs/>
          <w:color w:val="auto"/>
          <w:kern w:val="2"/>
          <w:sz w:val="24"/>
          <w:szCs w:val="24"/>
          <w:lang w:val="en-US" w:eastAsia="zh-CN" w:bidi="ar-SA"/>
        </w:rPr>
        <w:t>评标委员</w:t>
      </w:r>
      <w:r>
        <w:rPr>
          <w:rFonts w:hint="eastAsia" w:ascii="仿宋" w:hAnsi="仿宋" w:eastAsia="仿宋" w:cs="仿宋"/>
          <w:b w:val="0"/>
          <w:bCs w:val="0"/>
          <w:color w:val="auto"/>
          <w:kern w:val="2"/>
          <w:sz w:val="24"/>
          <w:szCs w:val="24"/>
          <w:lang w:val="en-US" w:eastAsia="zh-CN" w:bidi="ar-SA"/>
        </w:rPr>
        <w:t>会</w:t>
      </w:r>
      <w:r>
        <w:rPr>
          <w:rFonts w:hint="eastAsia" w:ascii="仿宋" w:hAnsi="仿宋" w:eastAsia="仿宋" w:cs="Times New Roman"/>
          <w:b w:val="0"/>
          <w:bCs w:val="0"/>
          <w:color w:val="auto"/>
          <w:kern w:val="2"/>
          <w:sz w:val="24"/>
          <w:szCs w:val="24"/>
          <w:lang w:val="en-US" w:eastAsia="zh-CN" w:bidi="ar-SA"/>
        </w:rPr>
        <w:t>应</w:t>
      </w:r>
      <w:r>
        <w:rPr>
          <w:rFonts w:hint="eastAsia" w:ascii="仿宋" w:hAnsi="仿宋" w:eastAsia="仿宋" w:cs="Times New Roman"/>
          <w:b w:val="0"/>
          <w:bCs w:val="0"/>
          <w:color w:val="auto"/>
          <w:kern w:val="2"/>
          <w:sz w:val="24"/>
          <w:szCs w:val="24"/>
          <w:lang w:val="en-US" w:eastAsia="zh-CN" w:bidi="ar-SA"/>
        </w:rPr>
        <w:t>依据法律法规和本招标文件的规定，并做好相关记录及取证，对投标文件是否按照规定要求提供资格性证明材料</w:t>
      </w:r>
      <w:r>
        <w:rPr>
          <w:rFonts w:hint="eastAsia" w:ascii="仿宋_GB2312" w:hAnsi="仿宋_GB2312" w:eastAsia="仿宋_GB2312" w:cs="仿宋_GB2312"/>
          <w:color w:val="auto"/>
          <w:sz w:val="24"/>
          <w:highlight w:val="none"/>
        </w:rPr>
        <w:t>、</w:t>
      </w:r>
      <w:r>
        <w:rPr>
          <w:rFonts w:hint="eastAsia" w:ascii="仿宋" w:hAnsi="仿宋" w:eastAsia="仿宋" w:cs="Times New Roman"/>
          <w:b w:val="0"/>
          <w:bCs w:val="0"/>
          <w:color w:val="auto"/>
          <w:kern w:val="2"/>
          <w:sz w:val="24"/>
          <w:szCs w:val="24"/>
          <w:lang w:val="en-US" w:eastAsia="zh-CN" w:bidi="ar-SA"/>
        </w:rPr>
        <w:t>是否属于禁止参加投标的投标人等进行审查，以确定投标人是否具备投标资格。</w:t>
      </w:r>
    </w:p>
    <w:p w14:paraId="2C9AEA97">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 xml:space="preserve">合格投标人不足3家的，不得评标。 </w:t>
      </w:r>
    </w:p>
    <w:p w14:paraId="4C1935B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3.3符合性检查。</w:t>
      </w:r>
    </w:p>
    <w:p w14:paraId="1A1B2CD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3.3.1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4C38F7D2">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3.3.2投标文件（包括单独递交的开标一览表）有下列情形的，本项目不作为实质性要求进行规定，即不作为符合性审查事项，不得作为无效投标处理：</w:t>
      </w:r>
    </w:p>
    <w:p w14:paraId="15B6CC32">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（一）正副本数量齐全、密封完好，只是未按照招标文件要求进行分装或者统装的；</w:t>
      </w:r>
    </w:p>
    <w:p w14:paraId="5215954D">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（二）存在个别地方（不超过2个）没有法定代表人签字，但有法定代表人的私人印章或者有效授权代理人签字的；</w:t>
      </w:r>
    </w:p>
    <w:p w14:paraId="741594A5">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（三）除招标文件明确要求加盖单位(法人)公章的以外，其他地方以相关专用章加盖的；</w:t>
      </w:r>
    </w:p>
    <w:p w14:paraId="70EAA47A">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b w:val="0"/>
          <w:color w:val="auto"/>
          <w:sz w:val="24"/>
          <w:szCs w:val="24"/>
          <w:highlight w:val="none"/>
          <w:lang w:val="zh-CN" w:eastAsia="zh-CN"/>
        </w:rPr>
      </w:pPr>
      <w:r>
        <w:rPr>
          <w:rFonts w:hint="eastAsia" w:ascii="仿宋" w:hAnsi="仿宋" w:eastAsia="仿宋"/>
          <w:b w:val="0"/>
          <w:color w:val="auto"/>
          <w:sz w:val="24"/>
          <w:szCs w:val="24"/>
          <w:highlight w:val="none"/>
          <w:lang w:val="zh-CN" w:eastAsia="zh-CN"/>
        </w:rPr>
        <w:t>（</w:t>
      </w:r>
      <w:r>
        <w:rPr>
          <w:rFonts w:hint="eastAsia" w:ascii="仿宋" w:hAnsi="仿宋" w:eastAsia="仿宋"/>
          <w:b w:val="0"/>
          <w:color w:val="auto"/>
          <w:sz w:val="24"/>
          <w:szCs w:val="24"/>
          <w:highlight w:val="none"/>
          <w:lang w:eastAsia="zh-CN"/>
        </w:rPr>
        <w:t>4</w:t>
      </w:r>
      <w:r>
        <w:rPr>
          <w:rFonts w:hint="eastAsia" w:ascii="仿宋" w:hAnsi="仿宋" w:eastAsia="仿宋"/>
          <w:b w:val="0"/>
          <w:color w:val="auto"/>
          <w:sz w:val="24"/>
          <w:szCs w:val="24"/>
          <w:highlight w:val="none"/>
          <w:lang w:val="zh-CN" w:eastAsia="zh-CN"/>
        </w:rPr>
        <w:t>）</w:t>
      </w:r>
      <w:r>
        <w:rPr>
          <w:rFonts w:hint="eastAsia" w:ascii="仿宋" w:hAnsi="仿宋" w:eastAsia="仿宋" w:cs="仿宋"/>
          <w:bCs/>
          <w:color w:val="auto"/>
          <w:sz w:val="24"/>
          <w:szCs w:val="24"/>
          <w:highlight w:val="none"/>
          <w:lang w:val="zh-CN"/>
        </w:rPr>
        <w:t>以骑缝章的形式代替投标文件内容逐页盖章的（但是骑缝章模糊不清，印章名称无法辨认的除外）。</w:t>
      </w:r>
    </w:p>
    <w:p w14:paraId="6D31E17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（五）其他不影响采购项目实质性要求的情形。</w:t>
      </w:r>
    </w:p>
    <w:p w14:paraId="5C2983F3">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3.3.3本项目投标人或者其投标文件有下列情形之一的，作为无效投标处理：</w:t>
      </w:r>
    </w:p>
    <w:p w14:paraId="4BE3CF7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（一）投标文件正副本数量不足的；</w:t>
      </w:r>
    </w:p>
    <w:p w14:paraId="0C17A802">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（二）投标文件组成明显不符合招标文件的规定要求，影响评标委员会评判的；</w:t>
      </w:r>
    </w:p>
    <w:p w14:paraId="58858F2B">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（三）投标文件的格式、语言、计量单位、报价货币、知识产权、投标有效期等不符合招标文件的规定，影响评标委员会评判的；</w:t>
      </w:r>
    </w:p>
    <w:p w14:paraId="0AFE45DD">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（四）投标报价不符合招标文件规定的采购预算或限价或其他报价规定的；</w:t>
      </w:r>
    </w:p>
    <w:p w14:paraId="6532328E">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（五）商务、技术、服务应答内容没有完全响应招标文件的实质性要求的；</w:t>
      </w:r>
    </w:p>
    <w:p w14:paraId="3A6BB697">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（六）未载明或者载明的招标项目履约时间、方式、数量及其他采购合同实质性内容与招标文件要求不一致，且招标采购单位无法接受的。</w:t>
      </w:r>
    </w:p>
    <w:p w14:paraId="19DA507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3.4比较与评价。</w:t>
      </w:r>
      <w:r>
        <w:rPr>
          <w:rFonts w:hint="eastAsia" w:ascii="仿宋" w:hAnsi="仿宋" w:eastAsia="仿宋" w:cs="Times New Roman"/>
          <w:b w:val="0"/>
          <w:bCs w:val="0"/>
          <w:color w:val="auto"/>
          <w:kern w:val="2"/>
          <w:sz w:val="24"/>
          <w:szCs w:val="24"/>
          <w:lang w:val="en-US" w:eastAsia="zh-CN" w:bidi="ar-SA"/>
        </w:rPr>
        <w:t>按招标文件中规定的评标方法和标准，对未作无效投标处理的投标文件进行技术、服务、商务等方面评估，综合比较与评价。</w:t>
      </w:r>
    </w:p>
    <w:p w14:paraId="3C4C1FE9">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3.5复核。</w:t>
      </w:r>
      <w:r>
        <w:rPr>
          <w:rFonts w:hint="eastAsia" w:ascii="仿宋" w:hAnsi="仿宋" w:eastAsia="仿宋" w:cs="仿宋"/>
          <w:color w:val="auto"/>
          <w:sz w:val="24"/>
          <w:highlight w:val="none"/>
        </w:rPr>
        <w:t>评分汇总结束后，评标委员会应当进行复核，特别要对拟推荐为中标候选</w:t>
      </w:r>
      <w:r>
        <w:rPr>
          <w:rFonts w:hint="eastAsia" w:ascii="仿宋" w:hAnsi="仿宋" w:eastAsia="仿宋" w:cs="仿宋"/>
          <w:color w:val="auto"/>
          <w:sz w:val="24"/>
          <w:highlight w:val="none"/>
          <w:lang w:eastAsia="zh-CN"/>
        </w:rPr>
        <w:t>人</w:t>
      </w:r>
      <w:r>
        <w:rPr>
          <w:rFonts w:hint="eastAsia" w:ascii="仿宋" w:hAnsi="仿宋" w:eastAsia="仿宋" w:cs="仿宋"/>
          <w:color w:val="auto"/>
          <w:sz w:val="24"/>
          <w:highlight w:val="none"/>
        </w:rPr>
        <w:t>的、报价最低的、投标文件被认定为无效的进行重点复核。</w:t>
      </w:r>
    </w:p>
    <w:p w14:paraId="34D7B71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3.6推荐中标候选人。</w:t>
      </w:r>
    </w:p>
    <w:p w14:paraId="17171949">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中标候选人应当排序。</w:t>
      </w:r>
      <w:r>
        <w:rPr>
          <w:rFonts w:hint="eastAsia" w:ascii="仿宋_GB2312" w:hAnsi="仿宋_GB2312" w:eastAsia="仿宋_GB2312" w:cs="仿宋_GB2312"/>
          <w:color w:val="auto"/>
          <w:sz w:val="24"/>
          <w:highlight w:val="none"/>
        </w:rPr>
        <w:t>采用综合评分法的，评标结果按评审后得分由高到低顺序排列</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得分相同的，按投标报价由低到高顺序排列</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得分且投标报价相同的并列</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投标文件满足招标文件全部实质性要求且按照评审因素的量化指标评审得分最高的</w:t>
      </w:r>
      <w:r>
        <w:rPr>
          <w:rFonts w:hint="eastAsia" w:ascii="仿宋_GB2312" w:hAnsi="仿宋_GB2312" w:eastAsia="仿宋_GB2312" w:cs="仿宋_GB2312"/>
          <w:color w:val="auto"/>
          <w:sz w:val="24"/>
          <w:highlight w:val="none"/>
          <w:lang w:eastAsia="zh-CN"/>
        </w:rPr>
        <w:t>投标人</w:t>
      </w:r>
      <w:r>
        <w:rPr>
          <w:rFonts w:hint="eastAsia" w:ascii="仿宋_GB2312" w:hAnsi="仿宋_GB2312" w:eastAsia="仿宋_GB2312" w:cs="仿宋_GB2312"/>
          <w:color w:val="auto"/>
          <w:sz w:val="24"/>
          <w:highlight w:val="none"/>
        </w:rPr>
        <w:t>为</w:t>
      </w:r>
      <w:r>
        <w:rPr>
          <w:rFonts w:hint="eastAsia" w:ascii="仿宋_GB2312" w:hAnsi="仿宋_GB2312" w:eastAsia="仿宋_GB2312" w:cs="仿宋_GB2312"/>
          <w:color w:val="auto"/>
          <w:sz w:val="24"/>
          <w:highlight w:val="none"/>
          <w:lang w:eastAsia="zh-CN"/>
        </w:rPr>
        <w:t>排名第一的</w:t>
      </w:r>
      <w:r>
        <w:rPr>
          <w:rFonts w:hint="eastAsia" w:ascii="仿宋_GB2312" w:hAnsi="仿宋_GB2312" w:eastAsia="仿宋_GB2312" w:cs="仿宋_GB2312"/>
          <w:color w:val="auto"/>
          <w:sz w:val="24"/>
          <w:highlight w:val="none"/>
        </w:rPr>
        <w:t>中标候选</w:t>
      </w:r>
      <w:r>
        <w:rPr>
          <w:rFonts w:hint="eastAsia" w:ascii="仿宋_GB2312" w:hAnsi="仿宋_GB2312" w:eastAsia="仿宋_GB2312" w:cs="仿宋_GB2312"/>
          <w:color w:val="auto"/>
          <w:sz w:val="24"/>
          <w:highlight w:val="none"/>
          <w:lang w:eastAsia="zh-CN"/>
        </w:rPr>
        <w:t>人。</w:t>
      </w:r>
      <w:r>
        <w:rPr>
          <w:rFonts w:hint="eastAsia" w:ascii="仿宋_GB2312" w:hAnsi="仿宋_GB2312" w:eastAsia="仿宋_GB2312" w:cs="仿宋_GB2312"/>
          <w:color w:val="auto"/>
          <w:sz w:val="24"/>
          <w:highlight w:val="none"/>
        </w:rPr>
        <w:t>报价相同且满足招标文件全部实质性要求且按照评审因素的量化指标评审得分也相同的并列，</w:t>
      </w:r>
      <w:r>
        <w:rPr>
          <w:rFonts w:hint="eastAsia" w:ascii="仿宋_GB2312" w:hAnsi="仿宋_GB2312" w:eastAsia="仿宋_GB2312" w:cs="仿宋_GB2312"/>
          <w:color w:val="auto"/>
          <w:sz w:val="24"/>
          <w:highlight w:val="none"/>
          <w:lang w:eastAsia="zh-CN"/>
        </w:rPr>
        <w:t>应当由招标人</w:t>
      </w:r>
      <w:r>
        <w:rPr>
          <w:rFonts w:hint="eastAsia" w:ascii="仿宋" w:hAnsi="仿宋" w:eastAsia="仿宋"/>
          <w:b w:val="0"/>
          <w:bCs w:val="0"/>
          <w:color w:val="auto"/>
          <w:sz w:val="24"/>
          <w:highlight w:val="none"/>
          <w:lang w:eastAsia="zh-CN"/>
        </w:rPr>
        <w:t>通过抽签的方式确定排序</w:t>
      </w:r>
      <w:r>
        <w:rPr>
          <w:rFonts w:hint="eastAsia" w:ascii="仿宋" w:hAnsi="仿宋" w:eastAsia="仿宋"/>
          <w:color w:val="auto"/>
          <w:sz w:val="24"/>
          <w:highlight w:val="none"/>
          <w:lang w:eastAsia="zh-CN"/>
        </w:rPr>
        <w:t>。</w:t>
      </w:r>
    </w:p>
    <w:p w14:paraId="3843924E">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评标委员会推荐的中标候选人数量根据招标文件和评审情况的规定确定。评标委员会可推荐的中标候选人数量满足法定要求，但不能满足招标文件规定的数量的，应当在获得招标人书面同意后，可以根据评审情况推荐中标候选人。未获得招标人的书面同意，评标委员会不得在招标文件规定以外推荐中标候选人，否则，招标人可以不予认可。</w:t>
      </w:r>
    </w:p>
    <w:p w14:paraId="50D80479">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3.7出具评标报告。</w:t>
      </w:r>
      <w:r>
        <w:rPr>
          <w:rFonts w:hint="eastAsia" w:ascii="仿宋" w:hAnsi="仿宋" w:eastAsia="仿宋" w:cs="Times New Roman"/>
          <w:b w:val="0"/>
          <w:bCs w:val="0"/>
          <w:color w:val="auto"/>
          <w:kern w:val="2"/>
          <w:sz w:val="24"/>
          <w:szCs w:val="24"/>
          <w:lang w:val="en-US" w:eastAsia="zh-CN" w:bidi="ar-SA"/>
        </w:rPr>
        <w:t>评标委员会推荐中标候选人后，应当向招标采购单位出具评标报告。评标报告应当包括下列内容：</w:t>
      </w:r>
    </w:p>
    <w:p w14:paraId="1FDFE9F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（一）招标公告刊登的媒体名称、开标日期和地点；</w:t>
      </w:r>
    </w:p>
    <w:p w14:paraId="4B292338">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（二）获取招标文件的投标人名单和评标委员会成员名单；</w:t>
      </w:r>
    </w:p>
    <w:p w14:paraId="0B078256">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（三）评标方法和标准；</w:t>
      </w:r>
    </w:p>
    <w:p w14:paraId="2E7208D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（四）开标记录和评标情况及说明，包括无效投标人名单及原因；</w:t>
      </w:r>
    </w:p>
    <w:p w14:paraId="1987BA2F">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（五）评标结果和中标候选人排序表；</w:t>
      </w:r>
    </w:p>
    <w:p w14:paraId="5D24108E">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（六）评标委员会授标建议；</w:t>
      </w:r>
    </w:p>
    <w:p w14:paraId="443828C9">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（七）报价最高的投标人为中标候选人的，评标委员会应当对其报价的合理性予以特别说明。</w:t>
      </w:r>
    </w:p>
    <w:p w14:paraId="14086183">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3CA0DA08">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3.8评标争议处理规则。</w:t>
      </w:r>
    </w:p>
    <w:p w14:paraId="7DECEF3D">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评标委员会在评审过程中，对于资格性审查、符合性审查、对投标人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w:t>
      </w:r>
    </w:p>
    <w:p w14:paraId="086FE51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3.9投标人应当书面澄清、说明或者更正。</w:t>
      </w:r>
    </w:p>
    <w:p w14:paraId="11D36B0E">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3.9.1在评标过程中，投标人投标文件实质性符合招标文件要求的前提下，评标委员会对投标文件中含义不明确、同类问题表述不一致或者有明显文字和计算错误的内容，应当以书面形式（须由评标委员会全体成员签字）要求投标人作出必要的书面澄清、说明或者更正，并给予投标人必要的反馈时间。</w:t>
      </w:r>
    </w:p>
    <w:p w14:paraId="2A9E8F05">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3.9.2投标人应当书面澄清、说明或者更正，并加盖公章或签字确认（投标人为法人的，应当由其法定代表人或者代理人签字确认；投标人为其他组织的，应当由其单位负责人或者代理人签字确认；投标人为自然人的，应当由其本人或者代理人签字确认），否则无效。澄清、说明或者更正不影响投标文件的效力，有效的澄清、说明或者更正材料，是投标文件的组成部分。</w:t>
      </w:r>
    </w:p>
    <w:p w14:paraId="03AED4CB">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3.9.3评标委员会要求投标人澄清、说明或者更正，不得超出招标文件的范围，不得以此让投标人实质改变投标文件的内容，不得影响投标人公平竞争。本项目下列内容不得澄清：</w:t>
      </w:r>
    </w:p>
    <w:p w14:paraId="29D88BC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（一）按相关规定应当在评标时不予承认的投标文件内容事项；</w:t>
      </w:r>
    </w:p>
    <w:p w14:paraId="5D2E7C06">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（二）投标文件中已经明确的内容事项。</w:t>
      </w:r>
    </w:p>
    <w:p w14:paraId="72B20ED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3.9.4 投标文件报价出现前后不一致的，除招标文件另有规定外，按照下列规定修正：</w:t>
      </w:r>
    </w:p>
    <w:p w14:paraId="221FFA3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（一）投标文件中开标一览表（报价表）内容与投标文件中相应内容不一致的，以开标一览表（报价表）为准；</w:t>
      </w:r>
    </w:p>
    <w:p w14:paraId="62941013">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（二）大写金额和小写金额不一致的，以大写金额为准；</w:t>
      </w:r>
    </w:p>
    <w:p w14:paraId="5E30AAE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（三）单价金额小数点或者百分比有明显错位的，以开标一览表的总价为准，并修改单价；</w:t>
      </w:r>
    </w:p>
    <w:p w14:paraId="5D042BBF">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（四）总价金额与按单价汇总金额不一致的，以单价金额计算结果为准。</w:t>
      </w:r>
    </w:p>
    <w:p w14:paraId="07D1BED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同时出现两种以上不一致的，按照前款规定的顺序修正。修正后的报价按照本章3.9.2-3.9.3的规定经投标人确认后产生约束力，投标人不确认的，其投标无效。</w:t>
      </w:r>
    </w:p>
    <w:p w14:paraId="63D242CF">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注：评标委员会应当积极履行澄清、说明或者更正的职责，不得滥用权力。投标人的投标文件可以要求澄清、说明或者更正的，不得未经澄清、说明或者更正而直接作无效投标处理。</w:t>
      </w:r>
      <w:r>
        <w:rPr>
          <w:rFonts w:hint="eastAsia" w:ascii="仿宋" w:hAnsi="仿宋" w:eastAsia="仿宋" w:cs="Times New Roman"/>
          <w:b w:val="0"/>
          <w:bCs w:val="0"/>
          <w:color w:val="auto"/>
          <w:kern w:val="2"/>
          <w:sz w:val="24"/>
          <w:szCs w:val="24"/>
          <w:lang w:val="en-US" w:eastAsia="zh-CN" w:bidi="ar-SA"/>
        </w:rPr>
        <w:t xml:space="preserve">  </w:t>
      </w:r>
    </w:p>
    <w:p w14:paraId="3EB27DF5">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3.10 低于成本价投标处理。</w:t>
      </w:r>
      <w:r>
        <w:rPr>
          <w:rFonts w:hint="eastAsia" w:ascii="仿宋" w:hAnsi="仿宋" w:eastAsia="仿宋" w:cs="Times New Roman"/>
          <w:b w:val="0"/>
          <w:bCs w:val="0"/>
          <w:color w:val="auto"/>
          <w:kern w:val="2"/>
          <w:sz w:val="24"/>
          <w:szCs w:val="24"/>
          <w:lang w:val="en-US" w:eastAsia="zh-CN" w:bidi="ar-SA"/>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14:paraId="0FE715F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投标人书面说明应当签字确认或者加盖公章，否则无效。书面说明的签字确认，投标人为法人的，由其法定代表人或者代理人签字确认；投标人为其他组织的，由其单位负责人或者代理人签字确认；投标人为自然人的，由其本人或者代理人签字确认。</w:t>
      </w:r>
    </w:p>
    <w:p w14:paraId="3D512921">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p w14:paraId="059B56A0">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3.11 招标采购单位现场复核评标结果。</w:t>
      </w:r>
    </w:p>
    <w:p w14:paraId="4AF96A8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评标结果汇总完成后，评标委员会拟出具评标报告前，招标采购单位应当组织2名以上的本单位工作人员，在采购现场监督人员的监督之下，依据有关的法律制度和招标文件对评标结果进行复核，出具复核报告。</w:t>
      </w:r>
    </w:p>
    <w:p w14:paraId="169D63C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除下列情形外，任何人不得修改评标结果：</w:t>
      </w:r>
    </w:p>
    <w:p w14:paraId="4B613B5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（一）分值汇总计算错误的；</w:t>
      </w:r>
    </w:p>
    <w:p w14:paraId="43DA966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（二）分项评分超出评分标准范围的；</w:t>
      </w:r>
    </w:p>
    <w:p w14:paraId="5DE2515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（三）评标委员会成员对客观评审因素评分不一致的；</w:t>
      </w:r>
    </w:p>
    <w:p w14:paraId="5DDE7E1E">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（四）经评标委员会认定评分畸高畸低的。</w:t>
      </w:r>
    </w:p>
    <w:p w14:paraId="462A820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评标委员会在评标报告签署前，经复核发现存在以上情形之一的，评标委员会应当当场修改评标结果，并在评标报告中记载；评标报告签署后，招标人或者招标代理机构发现存在以上情形之一的，应当组织原评标委员会进行重新评审。</w:t>
      </w:r>
    </w:p>
    <w:p w14:paraId="22C664BF">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投标人对本条第一款情形提出质疑的，招标人或者招标代理机构可以组织原评标委员会进行重新评审。</w:t>
      </w:r>
    </w:p>
    <w:p w14:paraId="5A5DB56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Times New Roman"/>
          <w:b/>
          <w:bCs/>
          <w:color w:val="auto"/>
          <w:sz w:val="28"/>
          <w:szCs w:val="28"/>
          <w:lang w:val="en-US" w:eastAsia="zh-CN"/>
        </w:rPr>
      </w:pPr>
      <w:bookmarkStart w:id="446" w:name="_Toc15944"/>
      <w:bookmarkStart w:id="447" w:name="_Toc13678"/>
      <w:r>
        <w:rPr>
          <w:rFonts w:hint="eastAsia" w:ascii="仿宋" w:hAnsi="仿宋" w:eastAsia="仿宋" w:cs="Times New Roman"/>
          <w:b/>
          <w:bCs/>
          <w:color w:val="auto"/>
          <w:sz w:val="28"/>
          <w:szCs w:val="28"/>
          <w:lang w:val="en-US" w:eastAsia="zh-CN"/>
        </w:rPr>
        <w:t>四、评标细则及标准</w:t>
      </w:r>
      <w:bookmarkEnd w:id="440"/>
      <w:bookmarkEnd w:id="445"/>
      <w:bookmarkEnd w:id="446"/>
      <w:bookmarkEnd w:id="447"/>
    </w:p>
    <w:p w14:paraId="4A1E1C7C">
      <w:pPr>
        <w:pStyle w:val="11"/>
        <w:pageBreakBefore w:val="0"/>
        <w:widowControl w:val="0"/>
        <w:tabs>
          <w:tab w:val="left" w:pos="600"/>
        </w:tabs>
        <w:kinsoku/>
        <w:wordWrap/>
        <w:overflowPunct/>
        <w:topLinePunct w:val="0"/>
        <w:bidi w:val="0"/>
        <w:snapToGrid/>
        <w:spacing w:before="0" w:after="0" w:line="360" w:lineRule="auto"/>
        <w:ind w:firstLine="482" w:firstLineChars="200"/>
        <w:textAlignment w:val="auto"/>
        <w:outlineLvl w:val="9"/>
        <w:rPr>
          <w:rFonts w:hint="eastAsia" w:ascii="仿宋" w:hAnsi="仿宋" w:eastAsia="仿宋"/>
          <w:b/>
          <w:bCs/>
          <w:color w:val="auto"/>
          <w:szCs w:val="24"/>
        </w:rPr>
      </w:pPr>
      <w:r>
        <w:rPr>
          <w:rFonts w:hint="eastAsia" w:ascii="仿宋" w:hAnsi="仿宋" w:eastAsia="仿宋"/>
          <w:b/>
          <w:bCs/>
          <w:color w:val="auto"/>
          <w:szCs w:val="24"/>
        </w:rPr>
        <w:t>4.1本次综合评分的因素是：详见本章节综合评分明细表。</w:t>
      </w:r>
    </w:p>
    <w:p w14:paraId="172710FD">
      <w:pPr>
        <w:pStyle w:val="11"/>
        <w:pageBreakBefore w:val="0"/>
        <w:widowControl w:val="0"/>
        <w:tabs>
          <w:tab w:val="left" w:pos="600"/>
        </w:tabs>
        <w:kinsoku/>
        <w:wordWrap/>
        <w:overflowPunct/>
        <w:topLinePunct w:val="0"/>
        <w:bidi w:val="0"/>
        <w:snapToGrid/>
        <w:spacing w:before="0" w:after="0"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 评标委员会成员应当根据自身专业情况对每个有效</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的投标文件进行独立评分，加权汇总每项评分因素的得分，得出每个有效</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的总分。</w:t>
      </w:r>
    </w:p>
    <w:p w14:paraId="08B7FC2D">
      <w:pPr>
        <w:pStyle w:val="11"/>
        <w:pageBreakBefore w:val="0"/>
        <w:widowControl w:val="0"/>
        <w:tabs>
          <w:tab w:val="left" w:pos="600"/>
        </w:tabs>
        <w:kinsoku/>
        <w:wordWrap/>
        <w:overflowPunct/>
        <w:topLinePunct w:val="0"/>
        <w:bidi w:val="0"/>
        <w:snapToGrid/>
        <w:spacing w:before="0" w:after="0" w:line="360" w:lineRule="auto"/>
        <w:ind w:firstLine="480" w:firstLineChars="200"/>
        <w:textAlignment w:val="auto"/>
        <w:outlineLvl w:val="9"/>
        <w:rPr>
          <w:rFonts w:ascii="仿宋" w:hAnsi="仿宋" w:eastAsia="仿宋"/>
          <w:color w:val="auto"/>
          <w:szCs w:val="24"/>
        </w:rPr>
      </w:pPr>
      <w:r>
        <w:rPr>
          <w:rFonts w:hint="eastAsia" w:ascii="仿宋" w:hAnsi="仿宋" w:eastAsia="仿宋"/>
          <w:color w:val="auto"/>
          <w:szCs w:val="24"/>
        </w:rPr>
        <w:t>4.</w:t>
      </w:r>
      <w:r>
        <w:rPr>
          <w:rFonts w:hint="eastAsia" w:ascii="仿宋" w:hAnsi="仿宋" w:eastAsia="仿宋"/>
          <w:color w:val="auto"/>
          <w:szCs w:val="24"/>
          <w:lang w:val="en-US" w:eastAsia="zh-CN"/>
        </w:rPr>
        <w:t>3</w:t>
      </w:r>
      <w:r>
        <w:rPr>
          <w:rFonts w:hint="eastAsia" w:ascii="仿宋" w:hAnsi="仿宋" w:eastAsia="仿宋"/>
          <w:color w:val="auto"/>
          <w:szCs w:val="24"/>
        </w:rPr>
        <w:t>综合评分明细表</w:t>
      </w:r>
    </w:p>
    <w:p w14:paraId="314B7BDD">
      <w:pPr>
        <w:pageBreakBefore w:val="0"/>
        <w:widowControl w:val="0"/>
        <w:kinsoku/>
        <w:wordWrap/>
        <w:overflowPunct/>
        <w:topLinePunct w:val="0"/>
        <w:bidi w:val="0"/>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rPr>
        <w:t>4.</w:t>
      </w:r>
      <w:r>
        <w:rPr>
          <w:rFonts w:hint="eastAsia" w:ascii="仿宋" w:hAnsi="仿宋" w:eastAsia="仿宋"/>
          <w:color w:val="auto"/>
          <w:sz w:val="24"/>
          <w:lang w:val="en-US" w:eastAsia="zh-CN"/>
        </w:rPr>
        <w:t>3</w:t>
      </w:r>
      <w:r>
        <w:rPr>
          <w:rFonts w:hint="eastAsia" w:ascii="仿宋" w:hAnsi="仿宋" w:eastAsia="仿宋"/>
          <w:color w:val="auto"/>
          <w:sz w:val="24"/>
        </w:rPr>
        <w:t>.</w:t>
      </w:r>
      <w:r>
        <w:rPr>
          <w:rFonts w:ascii="仿宋" w:hAnsi="仿宋" w:eastAsia="仿宋"/>
          <w:color w:val="auto"/>
          <w:sz w:val="24"/>
        </w:rPr>
        <w:t>1</w:t>
      </w:r>
      <w:r>
        <w:rPr>
          <w:rFonts w:hint="eastAsia" w:ascii="仿宋" w:hAnsi="仿宋" w:eastAsia="仿宋" w:cs="仿宋"/>
          <w:color w:val="auto"/>
          <w:sz w:val="24"/>
          <w:szCs w:val="24"/>
          <w:highlight w:val="none"/>
        </w:rPr>
        <w:t>综合评分明细表的制定以科学合理、降低评委会自由裁量权为原则。</w:t>
      </w:r>
    </w:p>
    <w:p w14:paraId="378FD40C">
      <w:pPr>
        <w:pStyle w:val="11"/>
        <w:pageBreakBefore w:val="0"/>
        <w:widowControl w:val="0"/>
        <w:tabs>
          <w:tab w:val="left" w:pos="600"/>
        </w:tabs>
        <w:kinsoku/>
        <w:wordWrap/>
        <w:overflowPunct/>
        <w:topLinePunct w:val="0"/>
        <w:bidi w:val="0"/>
        <w:snapToGrid/>
        <w:spacing w:before="0" w:after="0" w:line="360" w:lineRule="auto"/>
        <w:ind w:firstLine="480" w:firstLineChars="200"/>
        <w:textAlignment w:val="auto"/>
        <w:outlineLvl w:val="9"/>
        <w:rPr>
          <w:rFonts w:hint="eastAsia" w:ascii="仿宋" w:hAnsi="仿宋" w:eastAsia="仿宋"/>
          <w:color w:val="auto"/>
          <w:szCs w:val="24"/>
          <w:lang w:eastAsia="zh-CN"/>
        </w:rPr>
      </w:pPr>
      <w:r>
        <w:rPr>
          <w:rFonts w:hint="eastAsia" w:ascii="仿宋" w:hAnsi="仿宋" w:eastAsia="仿宋"/>
          <w:color w:val="auto"/>
          <w:szCs w:val="24"/>
        </w:rPr>
        <w:t>4.</w:t>
      </w:r>
      <w:r>
        <w:rPr>
          <w:rFonts w:hint="eastAsia" w:ascii="仿宋" w:hAnsi="仿宋" w:eastAsia="仿宋"/>
          <w:color w:val="auto"/>
          <w:szCs w:val="24"/>
          <w:lang w:val="en-US" w:eastAsia="zh-CN"/>
        </w:rPr>
        <w:t>3</w:t>
      </w:r>
      <w:r>
        <w:rPr>
          <w:rFonts w:hint="eastAsia" w:ascii="仿宋" w:hAnsi="仿宋" w:eastAsia="仿宋"/>
          <w:color w:val="auto"/>
          <w:szCs w:val="24"/>
        </w:rPr>
        <w:t>.</w:t>
      </w:r>
      <w:r>
        <w:rPr>
          <w:rFonts w:ascii="仿宋" w:hAnsi="仿宋" w:eastAsia="仿宋"/>
          <w:color w:val="auto"/>
          <w:szCs w:val="24"/>
        </w:rPr>
        <w:t>2</w:t>
      </w:r>
      <w:r>
        <w:rPr>
          <w:rFonts w:hint="eastAsia" w:ascii="仿宋" w:hAnsi="仿宋" w:eastAsia="仿宋"/>
          <w:color w:val="auto"/>
          <w:szCs w:val="24"/>
        </w:rPr>
        <w:t>综合评分明细表</w:t>
      </w:r>
      <w:r>
        <w:rPr>
          <w:rFonts w:hint="eastAsia" w:ascii="仿宋" w:hAnsi="仿宋" w:eastAsia="仿宋"/>
          <w:b/>
          <w:bCs/>
          <w:color w:val="auto"/>
          <w:szCs w:val="24"/>
          <w:lang w:eastAsia="zh-CN"/>
        </w:rPr>
        <w:t>（</w:t>
      </w:r>
      <w:r>
        <w:rPr>
          <w:rFonts w:hint="eastAsia" w:ascii="仿宋" w:hAnsi="仿宋" w:eastAsia="仿宋"/>
          <w:b/>
          <w:bCs/>
          <w:color w:val="auto"/>
          <w:szCs w:val="24"/>
          <w:lang w:val="en-US" w:eastAsia="zh-CN"/>
        </w:rPr>
        <w:t>各包相同</w:t>
      </w:r>
      <w:r>
        <w:rPr>
          <w:rFonts w:hint="eastAsia" w:ascii="仿宋" w:hAnsi="仿宋" w:eastAsia="仿宋"/>
          <w:b/>
          <w:bCs/>
          <w:color w:val="auto"/>
          <w:szCs w:val="24"/>
          <w:lang w:eastAsia="zh-CN"/>
        </w:rPr>
        <w:t>）</w:t>
      </w:r>
    </w:p>
    <w:tbl>
      <w:tblPr>
        <w:tblStyle w:val="3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747"/>
        <w:gridCol w:w="528"/>
        <w:gridCol w:w="6309"/>
        <w:gridCol w:w="1738"/>
      </w:tblGrid>
      <w:tr w14:paraId="32739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96E43">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9322B">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评分因数及权重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DB0C8">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分值</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EBC4B">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评分标准</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B154E">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val="0"/>
                <w:bCs w:val="0"/>
                <w:color w:val="auto"/>
                <w:spacing w:val="-10"/>
                <w:sz w:val="24"/>
                <w:szCs w:val="24"/>
                <w:highlight w:val="none"/>
                <w:lang w:bidi="zh-CN"/>
              </w:rPr>
              <w:t>评审依据</w:t>
            </w:r>
          </w:p>
        </w:tc>
      </w:tr>
      <w:tr w14:paraId="033E0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63A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3344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报价40%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1D3E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40分</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1958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满足招标文件要求且价格最低的投标人投标报价为评标基准价，其价格分为满分。其他投标人的价格分统一按照下列公式计算：</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报价得分=（评标基准价÷投标报价）×40%×100。</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1241">
            <w:pPr>
              <w:widowControl/>
              <w:wordWrap w:val="0"/>
              <w:spacing w:line="360" w:lineRule="auto"/>
              <w:ind w:right="30" w:rightChars="0"/>
              <w:jc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highlight w:val="none"/>
                <w:lang w:eastAsia="zh-CN"/>
              </w:rPr>
              <w:t>以投标人提供的报价一览表为依据。</w:t>
            </w:r>
          </w:p>
        </w:tc>
      </w:tr>
      <w:tr w14:paraId="4DE0F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65F8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3EBB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项目实施方案30%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2C44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30分</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0EE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根据投标人提供的针对本项目的项目实施方案（包含：①配送服务计划及响应时限；②公司内部管理制度；③备货方案；④人员配置安排方案；⑤项目服务质量保障措施及安全保障措施。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以上5个部分方案要素齐全得30分。每缺少一个部分扣6分，扣完为止，内容描述存在不完整、前后矛盾、不符合项目要求中任何一种情形或其他不足之处的，每有一处扣1分，每个部分最多扣6分，扣完为止。（注：其他不足之处是指存在内容套用或错用、涉及的规范及标准错误、地点区域错误、科学原理错误以及不可能实现的夸大情形、仅有标题或框架等。）</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64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val="0"/>
                <w:bCs w:val="0"/>
                <w:color w:val="auto"/>
                <w:sz w:val="24"/>
                <w:szCs w:val="24"/>
                <w:highlight w:val="none"/>
              </w:rPr>
              <w:t>以投标人提供的投标文件为依据。</w:t>
            </w:r>
          </w:p>
        </w:tc>
      </w:tr>
      <w:tr w14:paraId="5F075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AAF2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FBFE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售后服务方案25%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35C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25分</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CBCF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根据投标人提供的针对本项目的售后服务方案（包含：①售后服务体系；②不良事件处理方案；③短缺货/紧急采购应急处置流程；④退换货服务方案;⑤设备维护保养技术人员。</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以上5个部分方案要素齐全得25分。每缺少一个部分扣5分，扣完为止，内容描述存在不完整、前后矛盾、不符合项目要求中任何一种情形或其他不足之处的，每有一处扣1分，每个部分最多扣5分，扣完为止。（注：其他不足之处是指存在内容套用或错用、涉及的规范及标准错误、地点区域错误、科学原理错误以及不可能实现的夸大情形、仅有标题或框架等。）</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32D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val="0"/>
                <w:bCs w:val="0"/>
                <w:color w:val="auto"/>
                <w:sz w:val="24"/>
                <w:szCs w:val="24"/>
                <w:highlight w:val="none"/>
              </w:rPr>
              <w:t>以投标人提供的投标文件为依据。</w:t>
            </w:r>
          </w:p>
        </w:tc>
      </w:tr>
      <w:tr w14:paraId="3D579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5BEA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2400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同类业绩5%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6753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5分</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DEB6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投标人自 2023年 1 月 1 日含（以签订合同时间为准）至今，每提供 1 个同类业绩的得2.5分，本项最多得5分。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注：提供项目合同复印件，并加盖投标人鲜章。</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DB3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val="0"/>
                <w:bCs w:val="0"/>
                <w:color w:val="auto"/>
                <w:sz w:val="24"/>
                <w:szCs w:val="24"/>
                <w:highlight w:val="none"/>
              </w:rPr>
              <w:t>以投标人提供的投标文件为依据。</w:t>
            </w:r>
          </w:p>
        </w:tc>
      </w:tr>
    </w:tbl>
    <w:p w14:paraId="3A9B7363">
      <w:pPr>
        <w:keepNext w:val="0"/>
        <w:keepLines w:val="0"/>
        <w:pageBreakBefore w:val="0"/>
        <w:widowControl w:val="0"/>
        <w:kinsoku/>
        <w:wordWrap/>
        <w:overflowPunct/>
        <w:topLinePunct w:val="0"/>
        <w:autoSpaceDE/>
        <w:autoSpaceDN/>
        <w:bidi w:val="0"/>
        <w:adjustRightInd/>
        <w:snapToGrid/>
        <w:spacing w:after="0" w:line="360" w:lineRule="auto"/>
        <w:ind w:firstLine="360" w:firstLineChars="150"/>
        <w:textAlignment w:val="auto"/>
        <w:outlineLvl w:val="9"/>
        <w:rPr>
          <w:rFonts w:ascii="仿宋" w:hAnsi="仿宋" w:eastAsia="仿宋"/>
          <w:color w:val="auto"/>
          <w:sz w:val="24"/>
        </w:rPr>
      </w:pPr>
      <w:r>
        <w:rPr>
          <w:rFonts w:hint="eastAsia" w:ascii="仿宋" w:hAnsi="仿宋" w:eastAsia="仿宋"/>
          <w:color w:val="auto"/>
          <w:sz w:val="24"/>
        </w:rPr>
        <w:t>注： 评分的取值按四舍五入法，保留小数点后两位。</w:t>
      </w:r>
    </w:p>
    <w:p w14:paraId="76B1DA6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Times New Roman"/>
          <w:b/>
          <w:bCs/>
          <w:color w:val="auto"/>
          <w:sz w:val="28"/>
          <w:szCs w:val="28"/>
          <w:lang w:val="en-US" w:eastAsia="zh-CN"/>
        </w:rPr>
      </w:pPr>
      <w:bookmarkStart w:id="448" w:name="_Toc13609"/>
      <w:bookmarkStart w:id="449" w:name="_Toc79959395"/>
      <w:bookmarkStart w:id="450" w:name="_Toc30227"/>
      <w:bookmarkStart w:id="451" w:name="_Toc217446060"/>
      <w:r>
        <w:rPr>
          <w:rFonts w:hint="eastAsia" w:ascii="仿宋" w:hAnsi="仿宋" w:eastAsia="仿宋" w:cs="Times New Roman"/>
          <w:b/>
          <w:bCs/>
          <w:color w:val="auto"/>
          <w:sz w:val="28"/>
          <w:szCs w:val="28"/>
          <w:lang w:val="en-US" w:eastAsia="zh-CN"/>
        </w:rPr>
        <w:t>五、废 标</w:t>
      </w:r>
      <w:bookmarkEnd w:id="448"/>
      <w:bookmarkEnd w:id="449"/>
      <w:bookmarkEnd w:id="450"/>
    </w:p>
    <w:p w14:paraId="7AD71414">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Cs w:val="0"/>
          <w:color w:val="auto"/>
          <w:sz w:val="24"/>
          <w:szCs w:val="24"/>
        </w:rPr>
      </w:pPr>
      <w:r>
        <w:rPr>
          <w:rFonts w:hint="eastAsia" w:ascii="仿宋" w:hAnsi="仿宋" w:eastAsia="仿宋" w:cs="Times New Roman"/>
          <w:bCs w:val="0"/>
          <w:color w:val="auto"/>
          <w:sz w:val="24"/>
          <w:szCs w:val="24"/>
        </w:rPr>
        <w:t>5.1本次采购活动中，出现下列情形之一的，予以废标：</w:t>
      </w:r>
    </w:p>
    <w:p w14:paraId="6D4E470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Cs w:val="0"/>
          <w:color w:val="auto"/>
          <w:sz w:val="24"/>
          <w:szCs w:val="24"/>
        </w:rPr>
      </w:pPr>
      <w:r>
        <w:rPr>
          <w:rFonts w:hint="eastAsia" w:ascii="仿宋" w:hAnsi="仿宋" w:eastAsia="仿宋" w:cs="Times New Roman"/>
          <w:bCs w:val="0"/>
          <w:color w:val="auto"/>
          <w:sz w:val="24"/>
          <w:szCs w:val="24"/>
        </w:rPr>
        <w:t>（1）符合专业条件的</w:t>
      </w:r>
      <w:r>
        <w:rPr>
          <w:rFonts w:hint="eastAsia" w:ascii="仿宋" w:hAnsi="仿宋" w:eastAsia="仿宋" w:cs="Times New Roman"/>
          <w:bCs w:val="0"/>
          <w:color w:val="auto"/>
          <w:sz w:val="24"/>
          <w:szCs w:val="24"/>
          <w:lang w:eastAsia="zh-CN"/>
        </w:rPr>
        <w:t>投标人</w:t>
      </w:r>
      <w:r>
        <w:rPr>
          <w:rFonts w:hint="eastAsia" w:ascii="仿宋" w:hAnsi="仿宋" w:eastAsia="仿宋" w:cs="Times New Roman"/>
          <w:bCs w:val="0"/>
          <w:color w:val="auto"/>
          <w:sz w:val="24"/>
          <w:szCs w:val="24"/>
        </w:rPr>
        <w:t>或者对招标文件作实质响应的</w:t>
      </w:r>
      <w:r>
        <w:rPr>
          <w:rFonts w:hint="eastAsia" w:ascii="仿宋" w:hAnsi="仿宋" w:eastAsia="仿宋" w:cs="Times New Roman"/>
          <w:bCs w:val="0"/>
          <w:color w:val="auto"/>
          <w:sz w:val="24"/>
          <w:szCs w:val="24"/>
          <w:lang w:eastAsia="zh-CN"/>
        </w:rPr>
        <w:t>投标人</w:t>
      </w:r>
      <w:r>
        <w:rPr>
          <w:rFonts w:hint="eastAsia" w:ascii="仿宋" w:hAnsi="仿宋" w:eastAsia="仿宋" w:cs="Times New Roman"/>
          <w:bCs w:val="0"/>
          <w:color w:val="auto"/>
          <w:sz w:val="24"/>
          <w:szCs w:val="24"/>
        </w:rPr>
        <w:t>不足三家的；</w:t>
      </w:r>
    </w:p>
    <w:p w14:paraId="1E7E9D75">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Cs w:val="0"/>
          <w:color w:val="auto"/>
          <w:sz w:val="24"/>
          <w:szCs w:val="24"/>
        </w:rPr>
      </w:pPr>
      <w:r>
        <w:rPr>
          <w:rFonts w:hint="eastAsia" w:ascii="仿宋" w:hAnsi="仿宋" w:eastAsia="仿宋" w:cs="Times New Roman"/>
          <w:bCs w:val="0"/>
          <w:color w:val="auto"/>
          <w:sz w:val="24"/>
          <w:szCs w:val="24"/>
        </w:rPr>
        <w:t>（2）出现影响采购公正的违法、违规行为的；</w:t>
      </w:r>
    </w:p>
    <w:p w14:paraId="0BE9084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Cs w:val="0"/>
          <w:color w:val="auto"/>
          <w:sz w:val="24"/>
          <w:szCs w:val="24"/>
        </w:rPr>
      </w:pPr>
      <w:r>
        <w:rPr>
          <w:rFonts w:hint="eastAsia" w:ascii="仿宋" w:hAnsi="仿宋" w:eastAsia="仿宋" w:cs="Times New Roman"/>
          <w:bCs w:val="0"/>
          <w:color w:val="auto"/>
          <w:sz w:val="24"/>
          <w:szCs w:val="24"/>
        </w:rPr>
        <w:t>（3）投标人的报价均超过了采购预算，</w:t>
      </w:r>
      <w:r>
        <w:rPr>
          <w:rFonts w:hint="eastAsia" w:ascii="仿宋" w:hAnsi="仿宋" w:eastAsia="仿宋" w:cs="Times New Roman"/>
          <w:bCs w:val="0"/>
          <w:color w:val="auto"/>
          <w:sz w:val="24"/>
          <w:szCs w:val="24"/>
          <w:lang w:eastAsia="zh-CN"/>
        </w:rPr>
        <w:t>招标人</w:t>
      </w:r>
      <w:r>
        <w:rPr>
          <w:rFonts w:hint="eastAsia" w:ascii="仿宋" w:hAnsi="仿宋" w:eastAsia="仿宋" w:cs="Times New Roman"/>
          <w:bCs w:val="0"/>
          <w:color w:val="auto"/>
          <w:sz w:val="24"/>
          <w:szCs w:val="24"/>
        </w:rPr>
        <w:t>不能支付的；</w:t>
      </w:r>
    </w:p>
    <w:p w14:paraId="229AD290">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Cs w:val="0"/>
          <w:color w:val="auto"/>
          <w:sz w:val="24"/>
          <w:szCs w:val="24"/>
        </w:rPr>
      </w:pPr>
      <w:r>
        <w:rPr>
          <w:rFonts w:hint="eastAsia" w:ascii="仿宋" w:hAnsi="仿宋" w:eastAsia="仿宋" w:cs="Times New Roman"/>
          <w:bCs w:val="0"/>
          <w:color w:val="auto"/>
          <w:sz w:val="24"/>
          <w:szCs w:val="24"/>
        </w:rPr>
        <w:t>（4）因重大变故，采购任务取消的。</w:t>
      </w:r>
    </w:p>
    <w:p w14:paraId="00F2AF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Times New Roman"/>
          <w:bCs w:val="0"/>
          <w:color w:val="auto"/>
          <w:sz w:val="24"/>
          <w:szCs w:val="24"/>
        </w:rPr>
      </w:pPr>
      <w:r>
        <w:rPr>
          <w:rFonts w:hint="eastAsia" w:ascii="仿宋" w:hAnsi="仿宋" w:eastAsia="仿宋" w:cs="Times New Roman"/>
          <w:bCs w:val="0"/>
          <w:color w:val="auto"/>
          <w:sz w:val="24"/>
          <w:szCs w:val="24"/>
        </w:rPr>
        <w:t>废标后，</w:t>
      </w:r>
      <w:r>
        <w:rPr>
          <w:rFonts w:hint="eastAsia" w:ascii="仿宋" w:hAnsi="仿宋" w:eastAsia="仿宋" w:cs="Times New Roman"/>
          <w:bCs w:val="0"/>
          <w:color w:val="auto"/>
          <w:sz w:val="24"/>
          <w:szCs w:val="24"/>
          <w:lang w:eastAsia="zh-CN"/>
        </w:rPr>
        <w:t>招标代理机构</w:t>
      </w:r>
      <w:r>
        <w:rPr>
          <w:rFonts w:hint="eastAsia" w:ascii="仿宋" w:hAnsi="仿宋" w:eastAsia="仿宋" w:cs="Times New Roman"/>
          <w:bCs w:val="0"/>
          <w:color w:val="auto"/>
          <w:sz w:val="24"/>
          <w:szCs w:val="24"/>
        </w:rPr>
        <w:t>将在采购招标信息服务平台</w:t>
      </w:r>
      <w:r>
        <w:rPr>
          <w:rFonts w:hint="eastAsia" w:ascii="仿宋" w:hAnsi="仿宋" w:eastAsia="仿宋" w:cs="Times New Roman"/>
          <w:bCs w:val="0"/>
          <w:color w:val="auto"/>
          <w:sz w:val="24"/>
          <w:szCs w:val="24"/>
          <w:lang w:eastAsia="zh-CN"/>
        </w:rPr>
        <w:t>、富顺县中医医院官网（http://www.fsxzyyy.com/）</w:t>
      </w:r>
      <w:r>
        <w:rPr>
          <w:rFonts w:hint="eastAsia" w:ascii="仿宋" w:hAnsi="仿宋" w:eastAsia="仿宋" w:cs="Times New Roman"/>
          <w:bCs w:val="0"/>
          <w:color w:val="auto"/>
          <w:sz w:val="24"/>
          <w:szCs w:val="24"/>
        </w:rPr>
        <w:t>上公告，并公告废标的情形。投标人需要知晓导致废标情形的具体原因和理由的，可以通过书面形式询问招标采购单位。</w:t>
      </w:r>
    </w:p>
    <w:p w14:paraId="27B204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Times New Roman"/>
          <w:bCs w:val="0"/>
          <w:color w:val="auto"/>
          <w:sz w:val="24"/>
          <w:szCs w:val="24"/>
        </w:rPr>
      </w:pPr>
      <w:r>
        <w:rPr>
          <w:rFonts w:hint="eastAsia" w:ascii="仿宋" w:hAnsi="仿宋" w:eastAsia="仿宋"/>
          <w:color w:val="auto"/>
          <w:sz w:val="24"/>
          <w:highlight w:val="none"/>
        </w:rPr>
        <w:t>5.2对于评标过程中废标的采购项目，评标委员会应当对招标文件是否存在倾向性和歧视性、是否存在不合理条款进行论证，并出具书面论证意见。</w:t>
      </w:r>
    </w:p>
    <w:p w14:paraId="5A43907C">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Times New Roman"/>
          <w:b/>
          <w:bCs/>
          <w:color w:val="auto"/>
          <w:sz w:val="28"/>
          <w:szCs w:val="28"/>
          <w:lang w:val="en-US" w:eastAsia="zh-CN"/>
        </w:rPr>
      </w:pPr>
      <w:bookmarkStart w:id="452" w:name="_Toc24927"/>
      <w:bookmarkStart w:id="453" w:name="_Toc79959396"/>
      <w:bookmarkStart w:id="454" w:name="_Toc2100"/>
      <w:r>
        <w:rPr>
          <w:rFonts w:hint="eastAsia" w:ascii="仿宋" w:hAnsi="仿宋" w:eastAsia="仿宋" w:cs="Times New Roman"/>
          <w:b/>
          <w:bCs/>
          <w:color w:val="auto"/>
          <w:sz w:val="28"/>
          <w:szCs w:val="28"/>
          <w:lang w:val="en-US" w:eastAsia="zh-CN"/>
        </w:rPr>
        <w:t>六、定标</w:t>
      </w:r>
      <w:bookmarkEnd w:id="451"/>
      <w:bookmarkEnd w:id="452"/>
      <w:bookmarkEnd w:id="453"/>
      <w:bookmarkEnd w:id="454"/>
      <w:bookmarkStart w:id="455" w:name="_Toc217446061"/>
    </w:p>
    <w:p w14:paraId="6641E003">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hint="eastAsia" w:ascii="仿宋" w:hAnsi="仿宋" w:eastAsia="仿宋"/>
          <w:b/>
          <w:bCs/>
          <w:color w:val="auto"/>
          <w:sz w:val="24"/>
        </w:rPr>
      </w:pPr>
      <w:r>
        <w:rPr>
          <w:rFonts w:hint="eastAsia" w:ascii="仿宋" w:hAnsi="仿宋" w:eastAsia="仿宋"/>
          <w:b/>
          <w:bCs/>
          <w:color w:val="auto"/>
          <w:sz w:val="24"/>
        </w:rPr>
        <w:t>6.1.定标原则</w:t>
      </w:r>
      <w:bookmarkEnd w:id="455"/>
      <w:r>
        <w:rPr>
          <w:rFonts w:hint="eastAsia" w:ascii="仿宋" w:hAnsi="仿宋" w:eastAsia="仿宋"/>
          <w:b/>
          <w:bCs/>
          <w:color w:val="auto"/>
          <w:sz w:val="24"/>
        </w:rPr>
        <w:t>：</w:t>
      </w:r>
    </w:p>
    <w:p w14:paraId="56F6BC6A">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bCs w:val="0"/>
          <w:color w:val="auto"/>
          <w:sz w:val="24"/>
          <w:szCs w:val="24"/>
        </w:rPr>
      </w:pPr>
      <w:r>
        <w:rPr>
          <w:rFonts w:hint="eastAsia" w:ascii="仿宋" w:hAnsi="仿宋" w:eastAsia="仿宋"/>
          <w:bCs w:val="0"/>
          <w:color w:val="auto"/>
          <w:sz w:val="24"/>
          <w:szCs w:val="24"/>
        </w:rPr>
        <w:t>方式一：</w:t>
      </w:r>
      <w:r>
        <w:rPr>
          <w:rFonts w:hint="eastAsia" w:ascii="仿宋" w:hAnsi="仿宋" w:eastAsia="仿宋"/>
          <w:bCs w:val="0"/>
          <w:color w:val="auto"/>
          <w:sz w:val="24"/>
          <w:szCs w:val="24"/>
          <w:lang w:eastAsia="zh-CN"/>
        </w:rPr>
        <w:t>招标人</w:t>
      </w:r>
      <w:r>
        <w:rPr>
          <w:rFonts w:hint="eastAsia" w:ascii="仿宋" w:hAnsi="仿宋" w:eastAsia="仿宋"/>
          <w:bCs w:val="0"/>
          <w:color w:val="auto"/>
          <w:sz w:val="24"/>
          <w:szCs w:val="24"/>
        </w:rPr>
        <w:t>将按</w:t>
      </w:r>
      <w:r>
        <w:rPr>
          <w:rFonts w:hint="eastAsia" w:ascii="仿宋" w:hAnsi="仿宋" w:eastAsia="仿宋"/>
          <w:bCs w:val="0"/>
          <w:color w:val="auto"/>
          <w:sz w:val="24"/>
          <w:szCs w:val="24"/>
          <w:lang w:eastAsia="zh-CN"/>
        </w:rPr>
        <w:t>评标委员会</w:t>
      </w:r>
      <w:r>
        <w:rPr>
          <w:rFonts w:hint="eastAsia" w:ascii="仿宋" w:hAnsi="仿宋" w:eastAsia="仿宋"/>
          <w:bCs w:val="0"/>
          <w:color w:val="auto"/>
          <w:sz w:val="24"/>
          <w:szCs w:val="24"/>
        </w:rPr>
        <w:t>推荐的</w:t>
      </w:r>
      <w:r>
        <w:rPr>
          <w:rFonts w:hint="eastAsia" w:ascii="仿宋" w:hAnsi="仿宋" w:eastAsia="仿宋"/>
          <w:bCs w:val="0"/>
          <w:color w:val="auto"/>
          <w:sz w:val="24"/>
          <w:szCs w:val="24"/>
          <w:lang w:eastAsia="zh-CN"/>
        </w:rPr>
        <w:t>中标候选人</w:t>
      </w:r>
      <w:r>
        <w:rPr>
          <w:rFonts w:hint="eastAsia" w:ascii="仿宋" w:hAnsi="仿宋" w:eastAsia="仿宋"/>
          <w:bCs w:val="0"/>
          <w:color w:val="auto"/>
          <w:sz w:val="24"/>
          <w:szCs w:val="24"/>
        </w:rPr>
        <w:t>顺序确定</w:t>
      </w:r>
      <w:r>
        <w:rPr>
          <w:rFonts w:hint="eastAsia" w:ascii="仿宋" w:hAnsi="仿宋" w:eastAsia="仿宋"/>
          <w:bCs w:val="0"/>
          <w:color w:val="auto"/>
          <w:sz w:val="24"/>
          <w:szCs w:val="24"/>
          <w:lang w:eastAsia="zh-CN"/>
        </w:rPr>
        <w:t>中标人</w:t>
      </w:r>
      <w:r>
        <w:rPr>
          <w:rFonts w:hint="eastAsia" w:ascii="仿宋" w:hAnsi="仿宋" w:eastAsia="仿宋"/>
          <w:bCs w:val="0"/>
          <w:color w:val="auto"/>
          <w:sz w:val="24"/>
          <w:szCs w:val="24"/>
        </w:rPr>
        <w:t>。</w:t>
      </w:r>
    </w:p>
    <w:p w14:paraId="423D1069">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default" w:ascii="仿宋" w:hAnsi="仿宋" w:eastAsia="仿宋"/>
          <w:bCs w:val="0"/>
          <w:color w:val="auto"/>
          <w:sz w:val="24"/>
          <w:szCs w:val="24"/>
          <w:lang w:val="en-US" w:eastAsia="zh-CN"/>
        </w:rPr>
      </w:pPr>
      <w:r>
        <w:rPr>
          <w:rFonts w:hint="eastAsia" w:ascii="仿宋" w:hAnsi="仿宋" w:eastAsia="仿宋"/>
          <w:bCs w:val="0"/>
          <w:color w:val="auto"/>
          <w:sz w:val="24"/>
          <w:szCs w:val="24"/>
        </w:rPr>
        <w:t>本项目采用方式一</w:t>
      </w:r>
      <w:r>
        <w:rPr>
          <w:rFonts w:hint="eastAsia" w:ascii="仿宋" w:hAnsi="仿宋" w:eastAsia="仿宋"/>
          <w:bCs w:val="0"/>
          <w:color w:val="auto"/>
          <w:sz w:val="24"/>
          <w:szCs w:val="24"/>
          <w:lang w:eastAsia="zh-CN"/>
        </w:rPr>
        <w:t>确定中标人</w:t>
      </w:r>
      <w:r>
        <w:rPr>
          <w:rFonts w:hint="eastAsia" w:ascii="仿宋" w:hAnsi="仿宋" w:eastAsia="仿宋"/>
          <w:bCs w:val="0"/>
          <w:color w:val="auto"/>
          <w:sz w:val="24"/>
          <w:szCs w:val="24"/>
        </w:rPr>
        <w:t>。</w:t>
      </w:r>
    </w:p>
    <w:bookmarkEnd w:id="441"/>
    <w:p w14:paraId="0CF1EBE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outlineLvl w:val="9"/>
        <w:rPr>
          <w:rFonts w:hint="eastAsia" w:ascii="仿宋" w:hAnsi="仿宋" w:eastAsia="仿宋"/>
          <w:b/>
          <w:bCs/>
          <w:color w:val="auto"/>
          <w:sz w:val="24"/>
          <w:szCs w:val="24"/>
        </w:rPr>
      </w:pPr>
      <w:bookmarkStart w:id="456" w:name="_Toc183682432"/>
      <w:bookmarkStart w:id="457" w:name="_Toc183582297"/>
      <w:bookmarkStart w:id="458" w:name="_Toc217446105"/>
      <w:bookmarkStart w:id="459" w:name="_Toc208849022"/>
      <w:bookmarkStart w:id="460" w:name="_Toc79959397"/>
      <w:r>
        <w:rPr>
          <w:rFonts w:hint="eastAsia" w:ascii="仿宋" w:hAnsi="仿宋" w:eastAsia="仿宋"/>
          <w:b/>
          <w:bCs/>
          <w:color w:val="auto"/>
          <w:sz w:val="24"/>
          <w:szCs w:val="24"/>
        </w:rPr>
        <w:t>6.2 定标程序：</w:t>
      </w:r>
    </w:p>
    <w:p w14:paraId="04E18B4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bCs w:val="0"/>
          <w:color w:val="auto"/>
          <w:sz w:val="24"/>
          <w:szCs w:val="24"/>
        </w:rPr>
      </w:pPr>
      <w:r>
        <w:rPr>
          <w:rFonts w:hint="eastAsia" w:ascii="仿宋" w:hAnsi="仿宋" w:eastAsia="仿宋"/>
          <w:bCs w:val="0"/>
          <w:color w:val="auto"/>
          <w:sz w:val="24"/>
          <w:szCs w:val="24"/>
        </w:rPr>
        <w:t>6.2.1 评标委员会将评标情况写出书面报告，确定中标候选人顺序。</w:t>
      </w:r>
    </w:p>
    <w:p w14:paraId="240A9E2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bCs w:val="0"/>
          <w:color w:val="auto"/>
          <w:sz w:val="24"/>
          <w:szCs w:val="24"/>
        </w:rPr>
      </w:pPr>
      <w:r>
        <w:rPr>
          <w:rFonts w:hint="eastAsia" w:ascii="仿宋" w:hAnsi="仿宋" w:eastAsia="仿宋"/>
          <w:bCs w:val="0"/>
          <w:color w:val="auto"/>
          <w:sz w:val="24"/>
          <w:szCs w:val="24"/>
        </w:rPr>
        <w:t xml:space="preserve">6.2.2 </w:t>
      </w:r>
      <w:r>
        <w:rPr>
          <w:rFonts w:hint="eastAsia" w:ascii="仿宋" w:hAnsi="仿宋" w:eastAsia="仿宋"/>
          <w:bCs w:val="0"/>
          <w:color w:val="auto"/>
          <w:sz w:val="24"/>
          <w:szCs w:val="24"/>
          <w:lang w:eastAsia="zh-CN"/>
        </w:rPr>
        <w:t>招标代理机构</w:t>
      </w:r>
      <w:r>
        <w:rPr>
          <w:rFonts w:hint="eastAsia" w:ascii="仿宋" w:hAnsi="仿宋" w:eastAsia="仿宋"/>
          <w:bCs w:val="0"/>
          <w:color w:val="auto"/>
          <w:sz w:val="24"/>
          <w:szCs w:val="24"/>
        </w:rPr>
        <w:t>在评标结束后2个工作日内将评标报告送</w:t>
      </w:r>
      <w:r>
        <w:rPr>
          <w:rFonts w:hint="eastAsia" w:ascii="仿宋" w:hAnsi="仿宋" w:eastAsia="仿宋"/>
          <w:bCs w:val="0"/>
          <w:color w:val="auto"/>
          <w:sz w:val="24"/>
          <w:szCs w:val="24"/>
          <w:lang w:eastAsia="zh-CN"/>
        </w:rPr>
        <w:t>招标人</w:t>
      </w:r>
      <w:r>
        <w:rPr>
          <w:rFonts w:hint="eastAsia" w:ascii="仿宋" w:hAnsi="仿宋" w:eastAsia="仿宋"/>
          <w:bCs w:val="0"/>
          <w:color w:val="auto"/>
          <w:sz w:val="24"/>
          <w:szCs w:val="24"/>
        </w:rPr>
        <w:t>。</w:t>
      </w:r>
    </w:p>
    <w:p w14:paraId="03AC8A9E">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bCs w:val="0"/>
          <w:color w:val="auto"/>
          <w:sz w:val="24"/>
          <w:szCs w:val="24"/>
        </w:rPr>
      </w:pPr>
      <w:r>
        <w:rPr>
          <w:rFonts w:hint="eastAsia" w:ascii="仿宋" w:hAnsi="仿宋" w:eastAsia="仿宋"/>
          <w:bCs w:val="0"/>
          <w:color w:val="auto"/>
          <w:sz w:val="24"/>
          <w:szCs w:val="24"/>
        </w:rPr>
        <w:t xml:space="preserve">6.2.3 </w:t>
      </w:r>
      <w:r>
        <w:rPr>
          <w:rFonts w:hint="eastAsia" w:ascii="仿宋" w:hAnsi="仿宋" w:eastAsia="仿宋"/>
          <w:bCs w:val="0"/>
          <w:color w:val="auto"/>
          <w:sz w:val="24"/>
          <w:szCs w:val="24"/>
          <w:lang w:eastAsia="zh-CN"/>
        </w:rPr>
        <w:t>招标人</w:t>
      </w:r>
      <w:r>
        <w:rPr>
          <w:rFonts w:hint="eastAsia" w:ascii="仿宋" w:hAnsi="仿宋" w:eastAsia="仿宋"/>
          <w:bCs w:val="0"/>
          <w:color w:val="auto"/>
          <w:sz w:val="24"/>
          <w:szCs w:val="24"/>
        </w:rPr>
        <w:t>收到评标报告及有关资料后，将在5个工作日内按照评标报告中推荐的中标候选投标人顺序确定中标人。</w:t>
      </w:r>
      <w:r>
        <w:rPr>
          <w:rFonts w:hint="eastAsia" w:ascii="仿宋" w:hAnsi="仿宋" w:eastAsia="仿宋"/>
          <w:bCs w:val="0"/>
          <w:color w:val="auto"/>
          <w:sz w:val="24"/>
          <w:szCs w:val="24"/>
          <w:lang w:eastAsia="zh-CN"/>
        </w:rPr>
        <w:t>招标人</w:t>
      </w:r>
      <w:r>
        <w:rPr>
          <w:rFonts w:hint="eastAsia" w:ascii="仿宋" w:hAnsi="仿宋" w:eastAsia="仿宋"/>
          <w:bCs w:val="0"/>
          <w:color w:val="auto"/>
          <w:sz w:val="24"/>
          <w:szCs w:val="24"/>
        </w:rPr>
        <w:t>逾期未确定中标人且不提出异议的，视为确定评标报告提出的排序第一的投标人为中标人。</w:t>
      </w:r>
    </w:p>
    <w:p w14:paraId="31437E49">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bCs w:val="0"/>
          <w:color w:val="auto"/>
          <w:sz w:val="24"/>
          <w:szCs w:val="24"/>
        </w:rPr>
      </w:pPr>
      <w:r>
        <w:rPr>
          <w:rFonts w:hint="eastAsia" w:ascii="仿宋" w:hAnsi="仿宋" w:eastAsia="仿宋"/>
          <w:bCs w:val="0"/>
          <w:color w:val="auto"/>
          <w:sz w:val="24"/>
          <w:szCs w:val="24"/>
        </w:rPr>
        <w:t>6.2.4 根据确定的中标人，</w:t>
      </w:r>
      <w:r>
        <w:rPr>
          <w:rFonts w:hint="eastAsia" w:ascii="仿宋" w:hAnsi="仿宋" w:eastAsia="仿宋"/>
          <w:bCs w:val="0"/>
          <w:color w:val="auto"/>
          <w:sz w:val="24"/>
          <w:szCs w:val="24"/>
          <w:lang w:eastAsia="zh-CN"/>
        </w:rPr>
        <w:t>招标代理机构</w:t>
      </w:r>
      <w:r>
        <w:rPr>
          <w:rFonts w:hint="eastAsia" w:ascii="仿宋" w:hAnsi="仿宋" w:eastAsia="仿宋"/>
          <w:bCs w:val="0"/>
          <w:color w:val="auto"/>
          <w:sz w:val="24"/>
          <w:szCs w:val="24"/>
        </w:rPr>
        <w:t>在采购招标信息服务平台</w:t>
      </w:r>
      <w:r>
        <w:rPr>
          <w:rFonts w:hint="eastAsia" w:ascii="仿宋" w:hAnsi="仿宋" w:eastAsia="仿宋"/>
          <w:bCs w:val="0"/>
          <w:color w:val="auto"/>
          <w:sz w:val="24"/>
          <w:szCs w:val="24"/>
          <w:lang w:eastAsia="zh-CN"/>
        </w:rPr>
        <w:t>、富顺县中医医院官网（http://www.fsxzyyy.com/）</w:t>
      </w:r>
      <w:r>
        <w:rPr>
          <w:rFonts w:hint="eastAsia" w:ascii="仿宋" w:hAnsi="仿宋" w:eastAsia="仿宋"/>
          <w:bCs w:val="0"/>
          <w:color w:val="auto"/>
          <w:sz w:val="24"/>
          <w:szCs w:val="24"/>
        </w:rPr>
        <w:t>发布中标公告，并向中标人发出中标通知书。</w:t>
      </w:r>
    </w:p>
    <w:p w14:paraId="2D982347">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bCs w:val="0"/>
          <w:color w:val="auto"/>
          <w:sz w:val="24"/>
          <w:szCs w:val="24"/>
        </w:rPr>
      </w:pPr>
      <w:r>
        <w:rPr>
          <w:rFonts w:hint="eastAsia" w:ascii="仿宋" w:hAnsi="仿宋" w:eastAsia="仿宋"/>
          <w:bCs w:val="0"/>
          <w:color w:val="auto"/>
          <w:sz w:val="24"/>
          <w:szCs w:val="24"/>
        </w:rPr>
        <w:t xml:space="preserve">6.2.5 </w:t>
      </w:r>
      <w:r>
        <w:rPr>
          <w:rFonts w:hint="eastAsia" w:ascii="仿宋" w:hAnsi="仿宋" w:eastAsia="仿宋"/>
          <w:bCs w:val="0"/>
          <w:color w:val="auto"/>
          <w:sz w:val="24"/>
          <w:szCs w:val="24"/>
          <w:lang w:eastAsia="zh-CN"/>
        </w:rPr>
        <w:t>招标人</w:t>
      </w:r>
      <w:r>
        <w:rPr>
          <w:rFonts w:hint="eastAsia" w:ascii="仿宋" w:hAnsi="仿宋" w:eastAsia="仿宋"/>
          <w:bCs w:val="0"/>
          <w:color w:val="auto"/>
          <w:sz w:val="24"/>
          <w:szCs w:val="24"/>
        </w:rPr>
        <w:t>、</w:t>
      </w:r>
      <w:r>
        <w:rPr>
          <w:rFonts w:hint="eastAsia" w:ascii="仿宋" w:hAnsi="仿宋" w:eastAsia="仿宋"/>
          <w:bCs w:val="0"/>
          <w:color w:val="auto"/>
          <w:sz w:val="24"/>
          <w:szCs w:val="24"/>
          <w:lang w:eastAsia="zh-CN"/>
        </w:rPr>
        <w:t>招标代理机构</w:t>
      </w:r>
      <w:r>
        <w:rPr>
          <w:rFonts w:hint="eastAsia" w:ascii="仿宋" w:hAnsi="仿宋" w:eastAsia="仿宋"/>
          <w:bCs w:val="0"/>
          <w:color w:val="auto"/>
          <w:sz w:val="24"/>
          <w:szCs w:val="24"/>
        </w:rPr>
        <w:t>不退回投标人投标文件和其他投标资料。</w:t>
      </w:r>
    </w:p>
    <w:bookmarkEnd w:id="456"/>
    <w:bookmarkEnd w:id="457"/>
    <w:bookmarkEnd w:id="458"/>
    <w:bookmarkEnd w:id="459"/>
    <w:p w14:paraId="20F36F8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Times New Roman"/>
          <w:b/>
          <w:bCs/>
          <w:color w:val="auto"/>
          <w:sz w:val="28"/>
          <w:szCs w:val="28"/>
          <w:lang w:val="en-US" w:eastAsia="zh-CN"/>
        </w:rPr>
      </w:pPr>
      <w:bookmarkStart w:id="461" w:name="_Toc24207"/>
      <w:bookmarkStart w:id="462" w:name="_Toc13408"/>
      <w:r>
        <w:rPr>
          <w:rFonts w:hint="eastAsia" w:ascii="仿宋" w:hAnsi="仿宋" w:eastAsia="仿宋" w:cs="Times New Roman"/>
          <w:b/>
          <w:bCs/>
          <w:color w:val="auto"/>
          <w:sz w:val="28"/>
          <w:szCs w:val="28"/>
          <w:lang w:val="en-US" w:eastAsia="zh-CN"/>
        </w:rPr>
        <w:t>七、评标专家在采购活动中承担以下义务</w:t>
      </w:r>
      <w:bookmarkEnd w:id="460"/>
      <w:bookmarkEnd w:id="461"/>
      <w:bookmarkEnd w:id="462"/>
    </w:p>
    <w:p w14:paraId="4CC662F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7.1</w:t>
      </w:r>
      <w:r>
        <w:rPr>
          <w:rFonts w:hint="eastAsia" w:ascii="仿宋" w:hAnsi="仿宋" w:eastAsia="仿宋"/>
          <w:color w:val="auto"/>
          <w:sz w:val="24"/>
        </w:rPr>
        <w:t xml:space="preserve">遵守评审工作纪律； </w:t>
      </w:r>
    </w:p>
    <w:p w14:paraId="1ED3BB6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7.2</w:t>
      </w:r>
      <w:r>
        <w:rPr>
          <w:rFonts w:hint="eastAsia" w:ascii="仿宋" w:hAnsi="仿宋" w:eastAsia="仿宋"/>
          <w:color w:val="auto"/>
          <w:sz w:val="24"/>
        </w:rPr>
        <w:t>按照客观、公正、审慎的原则，根据采购文件规定的评审程序、评审方法和评审标准进行独立评审；</w:t>
      </w:r>
    </w:p>
    <w:p w14:paraId="2F34C37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7.3</w:t>
      </w:r>
      <w:r>
        <w:rPr>
          <w:rFonts w:hint="eastAsia" w:ascii="仿宋" w:hAnsi="仿宋" w:eastAsia="仿宋"/>
          <w:color w:val="auto"/>
          <w:sz w:val="24"/>
        </w:rPr>
        <w:t>不得泄露评审文件、评审情况和在评审过程中获悉的商业秘密；</w:t>
      </w:r>
    </w:p>
    <w:p w14:paraId="03F32A0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7.4</w:t>
      </w:r>
      <w:r>
        <w:rPr>
          <w:rFonts w:hint="eastAsia" w:ascii="仿宋" w:hAnsi="仿宋" w:eastAsia="仿宋"/>
          <w:color w:val="auto"/>
          <w:sz w:val="24"/>
        </w:rPr>
        <w:t>及时向监督部门报告评审过程中采购组织单位向评审专家做倾向性、误导性的解释或者说明，</w:t>
      </w:r>
      <w:r>
        <w:rPr>
          <w:rFonts w:hint="eastAsia" w:ascii="仿宋" w:hAnsi="仿宋" w:eastAsia="仿宋"/>
          <w:color w:val="auto"/>
          <w:sz w:val="24"/>
          <w:lang w:eastAsia="zh-CN"/>
        </w:rPr>
        <w:t>投标人</w:t>
      </w:r>
      <w:r>
        <w:rPr>
          <w:rFonts w:hint="eastAsia" w:ascii="仿宋" w:hAnsi="仿宋" w:eastAsia="仿宋"/>
          <w:color w:val="auto"/>
          <w:sz w:val="24"/>
        </w:rPr>
        <w:t>行贿、提供虚假材料或者串通、受到的非法干预情况等违法违规行为；</w:t>
      </w:r>
    </w:p>
    <w:p w14:paraId="6B5A4C2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7.5</w:t>
      </w:r>
      <w:r>
        <w:rPr>
          <w:rFonts w:hint="eastAsia" w:ascii="仿宋" w:hAnsi="仿宋" w:eastAsia="仿宋"/>
          <w:color w:val="auto"/>
          <w:sz w:val="24"/>
        </w:rPr>
        <w:t>发现采购文件内容违反国家有关强制性规定或者存在歧义、重大缺陷导致评审工作无法进行时，停止评审并向采购组织单位书面说明情况；</w:t>
      </w:r>
    </w:p>
    <w:p w14:paraId="719FF825">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7.6</w:t>
      </w:r>
      <w:r>
        <w:rPr>
          <w:rFonts w:hint="eastAsia" w:ascii="仿宋" w:hAnsi="仿宋" w:eastAsia="仿宋"/>
          <w:color w:val="auto"/>
          <w:sz w:val="24"/>
        </w:rPr>
        <w:t>配合答复处理</w:t>
      </w:r>
      <w:r>
        <w:rPr>
          <w:rFonts w:hint="eastAsia" w:ascii="仿宋" w:hAnsi="仿宋" w:eastAsia="仿宋"/>
          <w:color w:val="auto"/>
          <w:sz w:val="24"/>
          <w:lang w:eastAsia="zh-CN"/>
        </w:rPr>
        <w:t>投标人</w:t>
      </w:r>
      <w:r>
        <w:rPr>
          <w:rFonts w:hint="eastAsia" w:ascii="仿宋" w:hAnsi="仿宋" w:eastAsia="仿宋"/>
          <w:color w:val="auto"/>
          <w:sz w:val="24"/>
        </w:rPr>
        <w:t>的询问、质疑和投诉等事项；</w:t>
      </w:r>
    </w:p>
    <w:p w14:paraId="601E53FF">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7.7</w:t>
      </w:r>
      <w:r>
        <w:rPr>
          <w:rFonts w:hint="eastAsia" w:ascii="仿宋" w:hAnsi="仿宋" w:eastAsia="仿宋"/>
          <w:color w:val="auto"/>
          <w:sz w:val="24"/>
        </w:rPr>
        <w:t>法律、法规和规章规定的其他义务。</w:t>
      </w:r>
    </w:p>
    <w:p w14:paraId="07556C3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Times New Roman"/>
          <w:b/>
          <w:bCs/>
          <w:color w:val="auto"/>
          <w:sz w:val="28"/>
          <w:szCs w:val="28"/>
          <w:lang w:val="en-US" w:eastAsia="zh-CN"/>
        </w:rPr>
      </w:pPr>
      <w:bookmarkStart w:id="463" w:name="_Toc79959398"/>
      <w:bookmarkStart w:id="464" w:name="_Toc21984"/>
      <w:bookmarkStart w:id="465" w:name="_Toc23160"/>
      <w:r>
        <w:rPr>
          <w:rFonts w:hint="eastAsia" w:ascii="仿宋" w:hAnsi="仿宋" w:eastAsia="仿宋" w:cs="Times New Roman"/>
          <w:b/>
          <w:bCs/>
          <w:color w:val="auto"/>
          <w:sz w:val="28"/>
          <w:szCs w:val="28"/>
          <w:lang w:val="en-US" w:eastAsia="zh-CN"/>
        </w:rPr>
        <w:t>八、评标专家在采购活动中应当遵守以下工作纪律</w:t>
      </w:r>
      <w:bookmarkEnd w:id="463"/>
      <w:bookmarkEnd w:id="464"/>
      <w:bookmarkEnd w:id="465"/>
    </w:p>
    <w:p w14:paraId="5DE05866">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8.1</w:t>
      </w:r>
      <w:r>
        <w:rPr>
          <w:rFonts w:hint="eastAsia" w:ascii="仿宋" w:hAnsi="仿宋" w:eastAsia="仿宋"/>
          <w:color w:val="auto"/>
          <w:sz w:val="24"/>
        </w:rPr>
        <w:t>遵行关于回避的规定。</w:t>
      </w:r>
    </w:p>
    <w:p w14:paraId="67FF4A72">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8.2</w:t>
      </w:r>
      <w:r>
        <w:rPr>
          <w:rFonts w:hint="eastAsia" w:ascii="仿宋" w:hAnsi="仿宋" w:eastAsia="仿宋"/>
          <w:color w:val="auto"/>
          <w:sz w:val="24"/>
        </w:rPr>
        <w:t>评标前，应当将通讯工具或者相关电子设备交由招标采购单位统一保管。</w:t>
      </w:r>
    </w:p>
    <w:p w14:paraId="33F3A85E">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8.3</w:t>
      </w:r>
      <w:r>
        <w:rPr>
          <w:rFonts w:hint="eastAsia" w:ascii="仿宋" w:hAnsi="仿宋" w:eastAsia="仿宋"/>
          <w:color w:val="auto"/>
          <w:sz w:val="24"/>
        </w:rPr>
        <w:t>评标过程中，不得与外界联系，因发生不可预见情况，确实需要与外界联系的，应当在监督人员监督之下办理。</w:t>
      </w:r>
    </w:p>
    <w:p w14:paraId="152ED7FC">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8.4</w:t>
      </w:r>
      <w:r>
        <w:rPr>
          <w:rFonts w:hint="eastAsia" w:ascii="仿宋" w:hAnsi="仿宋" w:eastAsia="仿宋"/>
          <w:color w:val="auto"/>
          <w:sz w:val="24"/>
        </w:rPr>
        <w:t>评标过程中，不得干预或者影响正常评标工作，不得发表倾向性、引导性意见，不得修改或细化招标文件确定的评标程序、评标方法、评标因素和评标标准，不得接受</w:t>
      </w:r>
      <w:r>
        <w:rPr>
          <w:rFonts w:hint="eastAsia" w:ascii="仿宋" w:hAnsi="仿宋" w:eastAsia="仿宋"/>
          <w:color w:val="auto"/>
          <w:sz w:val="24"/>
          <w:lang w:eastAsia="zh-CN"/>
        </w:rPr>
        <w:t>投标人</w:t>
      </w:r>
      <w:r>
        <w:rPr>
          <w:rFonts w:hint="eastAsia" w:ascii="仿宋" w:hAnsi="仿宋" w:eastAsia="仿宋"/>
          <w:color w:val="auto"/>
          <w:sz w:val="24"/>
        </w:rPr>
        <w:t>主动提出的澄清和解释，不得征询</w:t>
      </w:r>
      <w:r>
        <w:rPr>
          <w:rFonts w:hint="eastAsia" w:ascii="仿宋" w:hAnsi="仿宋" w:eastAsia="仿宋"/>
          <w:color w:val="auto"/>
          <w:sz w:val="24"/>
          <w:lang w:eastAsia="zh-CN"/>
        </w:rPr>
        <w:t>招标人</w:t>
      </w:r>
      <w:r>
        <w:rPr>
          <w:rFonts w:hint="eastAsia" w:ascii="仿宋" w:hAnsi="仿宋" w:eastAsia="仿宋"/>
          <w:color w:val="auto"/>
          <w:sz w:val="24"/>
        </w:rPr>
        <w:t>代表的意见，不得协商评分，不得违反规定的评标格式评分和撰写评标意见，不得拒绝对自己的评标意见签字确认。</w:t>
      </w:r>
    </w:p>
    <w:p w14:paraId="4278F21E">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8.5</w:t>
      </w:r>
      <w:r>
        <w:rPr>
          <w:rFonts w:hint="eastAsia" w:ascii="仿宋" w:hAnsi="仿宋" w:eastAsia="仿宋"/>
          <w:color w:val="auto"/>
          <w:sz w:val="24"/>
        </w:rPr>
        <w:t>在评标过程中和评标结束后，不得记录、复制或带走任何评标资料，除因规定的义务外，不得向外界透露评标内容。</w:t>
      </w:r>
    </w:p>
    <w:p w14:paraId="43BDAF25">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8.6</w:t>
      </w:r>
      <w:r>
        <w:rPr>
          <w:rFonts w:hint="eastAsia" w:ascii="仿宋" w:hAnsi="仿宋" w:eastAsia="仿宋"/>
          <w:color w:val="auto"/>
          <w:sz w:val="24"/>
        </w:rPr>
        <w:t>服从评标现场招标采购单位的现场秩序管理，接受评标现场监督人员的合法监督。</w:t>
      </w:r>
    </w:p>
    <w:p w14:paraId="7E76BE71">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8.7</w:t>
      </w:r>
      <w:r>
        <w:rPr>
          <w:rFonts w:hint="eastAsia" w:ascii="仿宋" w:hAnsi="仿宋" w:eastAsia="仿宋"/>
          <w:color w:val="auto"/>
          <w:sz w:val="24"/>
        </w:rPr>
        <w:t>遵守有关廉洁自律规定，不得私下接触</w:t>
      </w:r>
      <w:r>
        <w:rPr>
          <w:rFonts w:hint="eastAsia" w:ascii="仿宋" w:hAnsi="仿宋" w:eastAsia="仿宋"/>
          <w:color w:val="auto"/>
          <w:sz w:val="24"/>
          <w:lang w:eastAsia="zh-CN"/>
        </w:rPr>
        <w:t>投标人</w:t>
      </w:r>
      <w:r>
        <w:rPr>
          <w:rFonts w:hint="eastAsia" w:ascii="仿宋" w:hAnsi="仿宋" w:eastAsia="仿宋"/>
          <w:color w:val="auto"/>
          <w:sz w:val="24"/>
        </w:rPr>
        <w:t>，不得收受</w:t>
      </w:r>
      <w:r>
        <w:rPr>
          <w:rFonts w:hint="eastAsia" w:ascii="仿宋" w:hAnsi="仿宋" w:eastAsia="仿宋"/>
          <w:color w:val="auto"/>
          <w:sz w:val="24"/>
          <w:lang w:eastAsia="zh-CN"/>
        </w:rPr>
        <w:t>投标人</w:t>
      </w:r>
      <w:r>
        <w:rPr>
          <w:rFonts w:hint="eastAsia" w:ascii="仿宋" w:hAnsi="仿宋" w:eastAsia="仿宋"/>
          <w:color w:val="auto"/>
          <w:sz w:val="24"/>
        </w:rPr>
        <w:t>及有关业务单位和个人的财物或好处，不得接受采购组织单位的请托。</w:t>
      </w:r>
    </w:p>
    <w:p w14:paraId="44FF8246">
      <w:pPr>
        <w:keepNext w:val="0"/>
        <w:keepLines w:val="0"/>
        <w:pageBreakBefore w:val="0"/>
        <w:widowControl w:val="0"/>
        <w:tabs>
          <w:tab w:val="left" w:pos="7665"/>
        </w:tabs>
        <w:kinsoku/>
        <w:wordWrap/>
        <w:overflowPunct/>
        <w:topLinePunct w:val="0"/>
        <w:autoSpaceDE/>
        <w:autoSpaceDN/>
        <w:bidi w:val="0"/>
        <w:adjustRightInd/>
        <w:snapToGrid/>
        <w:spacing w:line="360" w:lineRule="auto"/>
        <w:jc w:val="both"/>
        <w:textAlignment w:val="auto"/>
        <w:outlineLvl w:val="9"/>
        <w:rPr>
          <w:color w:val="auto"/>
          <w:highlight w:val="none"/>
        </w:rPr>
      </w:pPr>
      <w:bookmarkStart w:id="466" w:name="_Toc23042"/>
      <w:bookmarkStart w:id="467" w:name="_Toc5845"/>
      <w:r>
        <w:rPr>
          <w:rFonts w:hint="eastAsia" w:ascii="仿宋" w:hAnsi="仿宋" w:eastAsia="仿宋"/>
          <w:color w:val="auto"/>
          <w:sz w:val="36"/>
          <w:szCs w:val="36"/>
        </w:rPr>
        <w:br w:type="page"/>
      </w:r>
      <w:bookmarkEnd w:id="466"/>
      <w:bookmarkEnd w:id="467"/>
      <w:r>
        <w:rPr>
          <w:rFonts w:hint="eastAsia" w:ascii="仿宋" w:hAnsi="仿宋" w:eastAsia="仿宋" w:cs="仿宋"/>
          <w:b/>
          <w:bCs/>
          <w:color w:val="auto"/>
          <w:sz w:val="32"/>
          <w:szCs w:val="40"/>
          <w:highlight w:val="none"/>
        </w:rPr>
        <w:t>（</w:t>
      </w:r>
      <w:r>
        <w:rPr>
          <w:rFonts w:hint="eastAsia" w:ascii="仿宋" w:hAnsi="仿宋" w:eastAsia="仿宋" w:cs="仿宋"/>
          <w:b/>
          <w:bCs/>
          <w:color w:val="auto"/>
          <w:sz w:val="32"/>
          <w:szCs w:val="40"/>
          <w:highlight w:val="none"/>
          <w:lang w:eastAsia="zh-CN"/>
        </w:rPr>
        <w:t>样例</w:t>
      </w:r>
      <w:r>
        <w:rPr>
          <w:rFonts w:hint="eastAsia" w:ascii="仿宋" w:hAnsi="仿宋" w:eastAsia="仿宋" w:cs="仿宋"/>
          <w:b/>
          <w:bCs/>
          <w:color w:val="auto"/>
          <w:sz w:val="32"/>
          <w:szCs w:val="40"/>
          <w:highlight w:val="none"/>
          <w:lang w:val="en-US" w:eastAsia="zh-CN"/>
        </w:rPr>
        <w:t xml:space="preserve"> 仅供参考</w:t>
      </w:r>
      <w:r>
        <w:rPr>
          <w:rFonts w:hint="eastAsia" w:ascii="仿宋" w:hAnsi="仿宋" w:eastAsia="仿宋" w:cs="仿宋"/>
          <w:b/>
          <w:bCs/>
          <w:color w:val="auto"/>
          <w:sz w:val="32"/>
          <w:szCs w:val="40"/>
          <w:highlight w:val="none"/>
        </w:rPr>
        <w:t>）</w:t>
      </w:r>
    </w:p>
    <w:p w14:paraId="262BF169">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val="0"/>
          <w:color w:val="auto"/>
          <w:kern w:val="2"/>
          <w:sz w:val="36"/>
          <w:szCs w:val="36"/>
          <w:highlight w:val="none"/>
          <w:lang w:val="en-US" w:eastAsia="zh-CN" w:bidi="ar-SA"/>
        </w:rPr>
      </w:pPr>
      <w:bookmarkStart w:id="468" w:name="_Toc27454"/>
      <w:bookmarkStart w:id="469" w:name="_Toc3171"/>
      <w:bookmarkStart w:id="470" w:name="_Toc7291"/>
      <w:bookmarkStart w:id="471" w:name="_Toc22088"/>
      <w:r>
        <w:rPr>
          <w:rFonts w:hint="eastAsia" w:ascii="仿宋" w:hAnsi="仿宋" w:eastAsia="仿宋" w:cs="仿宋"/>
          <w:b/>
          <w:bCs w:val="0"/>
          <w:color w:val="auto"/>
          <w:kern w:val="2"/>
          <w:sz w:val="36"/>
          <w:szCs w:val="36"/>
          <w:highlight w:val="none"/>
          <w:lang w:val="en-US" w:eastAsia="zh-CN" w:bidi="ar-SA"/>
        </w:rPr>
        <w:t>第八章  采购合同</w:t>
      </w:r>
      <w:bookmarkEnd w:id="468"/>
      <w:bookmarkEnd w:id="469"/>
      <w:bookmarkEnd w:id="470"/>
      <w:bookmarkEnd w:id="471"/>
    </w:p>
    <w:p w14:paraId="4970A0EA">
      <w:pPr>
        <w:widowControl/>
        <w:spacing w:before="240" w:after="240"/>
        <w:jc w:val="center"/>
        <w:rPr>
          <w:rFonts w:hint="eastAsia" w:ascii="仿宋" w:hAnsi="仿宋" w:eastAsia="仿宋" w:cs="仿宋"/>
          <w:color w:val="auto"/>
          <w:sz w:val="24"/>
          <w:szCs w:val="24"/>
        </w:rPr>
      </w:pPr>
      <w:r>
        <w:rPr>
          <w:rFonts w:hint="eastAsia" w:ascii="仿宋" w:hAnsi="仿宋" w:eastAsia="仿宋" w:cs="仿宋"/>
          <w:b/>
          <w:bCs/>
          <w:color w:val="auto"/>
          <w:kern w:val="0"/>
          <w:sz w:val="24"/>
          <w:szCs w:val="24"/>
          <w:highlight w:val="none"/>
          <w:lang w:val="en-US" w:eastAsia="zh-CN"/>
        </w:rPr>
        <w:t>***</w:t>
      </w:r>
      <w:r>
        <w:rPr>
          <w:rFonts w:hint="eastAsia" w:ascii="仿宋" w:hAnsi="仿宋" w:eastAsia="仿宋" w:cs="仿宋"/>
          <w:b/>
          <w:bCs/>
          <w:color w:val="auto"/>
          <w:kern w:val="0"/>
          <w:sz w:val="24"/>
          <w:szCs w:val="24"/>
          <w:highlight w:val="none"/>
          <w:lang w:eastAsia="zh-CN"/>
        </w:rPr>
        <w:t>医疗</w:t>
      </w:r>
      <w:r>
        <w:rPr>
          <w:rFonts w:hint="eastAsia" w:ascii="仿宋" w:hAnsi="仿宋" w:eastAsia="仿宋" w:cs="仿宋"/>
          <w:b/>
          <w:bCs/>
          <w:color w:val="auto"/>
          <w:kern w:val="0"/>
          <w:sz w:val="24"/>
          <w:szCs w:val="24"/>
          <w:highlight w:val="none"/>
        </w:rPr>
        <w:t>耗材</w:t>
      </w:r>
      <w:r>
        <w:rPr>
          <w:rFonts w:hint="eastAsia" w:ascii="仿宋" w:hAnsi="仿宋" w:eastAsia="仿宋" w:cs="仿宋"/>
          <w:b/>
          <w:bCs/>
          <w:color w:val="auto"/>
          <w:kern w:val="0"/>
          <w:sz w:val="24"/>
          <w:szCs w:val="24"/>
          <w:highlight w:val="none"/>
          <w:lang w:eastAsia="zh-CN"/>
        </w:rPr>
        <w:t>采购项目</w:t>
      </w:r>
      <w:r>
        <w:rPr>
          <w:rFonts w:hint="eastAsia" w:ascii="仿宋" w:hAnsi="仿宋" w:eastAsia="仿宋" w:cs="仿宋"/>
          <w:b/>
          <w:bCs/>
          <w:color w:val="auto"/>
          <w:kern w:val="0"/>
          <w:sz w:val="24"/>
          <w:szCs w:val="24"/>
          <w:highlight w:val="none"/>
        </w:rPr>
        <w:t>采购合同</w:t>
      </w:r>
      <w:r>
        <w:rPr>
          <w:rFonts w:hint="eastAsia" w:ascii="仿宋" w:hAnsi="仿宋" w:eastAsia="仿宋" w:cs="仿宋"/>
          <w:color w:val="auto"/>
          <w:kern w:val="0"/>
          <w:sz w:val="24"/>
          <w:szCs w:val="24"/>
          <w:highlight w:val="none"/>
        </w:rPr>
        <w:t xml:space="preserve">             </w:t>
      </w:r>
    </w:p>
    <w:p w14:paraId="7022B743">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合同编号：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(第  包）</w:t>
      </w:r>
      <w:r>
        <w:rPr>
          <w:rFonts w:hint="eastAsia" w:ascii="仿宋" w:hAnsi="仿宋" w:eastAsia="仿宋" w:cs="仿宋"/>
          <w:color w:val="auto"/>
          <w:sz w:val="24"/>
          <w:szCs w:val="24"/>
          <w:u w:val="single"/>
        </w:rPr>
        <w:t xml:space="preserve">  </w:t>
      </w:r>
    </w:p>
    <w:p w14:paraId="25A007D7">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签订地点：</w:t>
      </w:r>
      <w:r>
        <w:rPr>
          <w:rFonts w:hint="eastAsia" w:ascii="仿宋" w:hAnsi="仿宋" w:eastAsia="仿宋" w:cs="仿宋"/>
          <w:color w:val="auto"/>
          <w:sz w:val="24"/>
          <w:szCs w:val="24"/>
          <w:u w:val="single"/>
        </w:rPr>
        <w:t xml:space="preserve">   富顺县中医医院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71BC49D4">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签订时间：</w:t>
      </w:r>
      <w:r>
        <w:rPr>
          <w:rFonts w:hint="eastAsia" w:ascii="仿宋" w:hAnsi="仿宋" w:eastAsia="仿宋" w:cs="仿宋"/>
          <w:color w:val="auto"/>
          <w:sz w:val="24"/>
          <w:szCs w:val="24"/>
          <w:u w:val="single"/>
        </w:rPr>
        <w:t xml:space="preserve">  202</w:t>
      </w:r>
      <w:r>
        <w:rPr>
          <w:rFonts w:hint="eastAsia" w:ascii="仿宋" w:hAnsi="仿宋" w:eastAsia="仿宋" w:cs="仿宋"/>
          <w:color w:val="auto"/>
          <w:sz w:val="24"/>
          <w:szCs w:val="24"/>
          <w:u w:val="single"/>
          <w:lang w:val="en-US" w:eastAsia="zh-CN"/>
        </w:rPr>
        <w:t>5</w:t>
      </w:r>
      <w:r>
        <w:rPr>
          <w:rFonts w:hint="eastAsia" w:ascii="仿宋" w:hAnsi="仿宋" w:eastAsia="仿宋" w:cs="仿宋"/>
          <w:color w:val="auto"/>
          <w:sz w:val="24"/>
          <w:szCs w:val="24"/>
          <w:u w:val="single"/>
        </w:rPr>
        <w:t xml:space="preserve">年   月    日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571F01E2">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招标人（甲方）：</w:t>
      </w:r>
      <w:r>
        <w:rPr>
          <w:rFonts w:hint="eastAsia" w:ascii="仿宋" w:hAnsi="仿宋" w:eastAsia="仿宋" w:cs="仿宋"/>
          <w:color w:val="auto"/>
          <w:sz w:val="24"/>
          <w:szCs w:val="24"/>
          <w:u w:val="single"/>
        </w:rPr>
        <w:t xml:space="preserve">  富顺县中医医院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6B71A934">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投标人（乙方）：</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rPr>
        <w:t xml:space="preserve"> </w:t>
      </w:r>
    </w:p>
    <w:p w14:paraId="1B430D06">
      <w:pPr>
        <w:widowControl/>
        <w:spacing w:line="360" w:lineRule="auto"/>
        <w:ind w:left="120" w:leftChars="57" w:firstLine="360" w:firstLineChars="15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甲方对</w:t>
      </w:r>
      <w:bookmarkStart w:id="472" w:name="OLE_LINK29"/>
      <w:bookmarkStart w:id="473" w:name="OLE_LINK30"/>
      <w:r>
        <w:rPr>
          <w:rFonts w:hint="eastAsia" w:ascii="仿宋" w:hAnsi="仿宋" w:eastAsia="仿宋" w:cs="仿宋"/>
          <w:bCs/>
          <w:color w:val="auto"/>
          <w:sz w:val="24"/>
          <w:szCs w:val="24"/>
        </w:rPr>
        <w:t>富顺县中医医院</w:t>
      </w:r>
      <w:bookmarkStart w:id="474" w:name="OLE_LINK26"/>
      <w:bookmarkStart w:id="475" w:name="OLE_LINK25"/>
      <w:r>
        <w:rPr>
          <w:rFonts w:hint="eastAsia" w:ascii="仿宋" w:hAnsi="仿宋" w:eastAsia="仿宋" w:cs="仿宋"/>
          <w:bCs/>
          <w:color w:val="auto"/>
          <w:sz w:val="24"/>
          <w:szCs w:val="24"/>
        </w:rPr>
        <w:t>202</w:t>
      </w:r>
      <w:r>
        <w:rPr>
          <w:rFonts w:hint="eastAsia" w:ascii="仿宋" w:hAnsi="仿宋" w:eastAsia="仿宋" w:cs="仿宋"/>
          <w:bCs/>
          <w:color w:val="auto"/>
          <w:sz w:val="24"/>
          <w:szCs w:val="24"/>
          <w:lang w:val="en-US" w:eastAsia="zh-CN"/>
        </w:rPr>
        <w:t>5</w:t>
      </w:r>
      <w:r>
        <w:rPr>
          <w:rFonts w:hint="eastAsia" w:ascii="仿宋" w:hAnsi="仿宋" w:eastAsia="仿宋" w:cs="仿宋"/>
          <w:bCs/>
          <w:color w:val="auto"/>
          <w:sz w:val="24"/>
          <w:szCs w:val="24"/>
        </w:rPr>
        <w:t>年第</w:t>
      </w:r>
      <w:r>
        <w:rPr>
          <w:rFonts w:hint="eastAsia" w:ascii="仿宋" w:hAnsi="仿宋" w:eastAsia="仿宋" w:cs="仿宋"/>
          <w:bCs/>
          <w:color w:val="auto"/>
          <w:sz w:val="24"/>
          <w:szCs w:val="24"/>
          <w:lang w:val="en-US" w:eastAsia="zh-CN"/>
        </w:rPr>
        <w:t>....</w:t>
      </w:r>
      <w:r>
        <w:rPr>
          <w:rFonts w:hint="eastAsia" w:ascii="仿宋" w:hAnsi="仿宋" w:eastAsia="仿宋" w:cs="仿宋"/>
          <w:bCs/>
          <w:color w:val="auto"/>
          <w:sz w:val="24"/>
          <w:szCs w:val="24"/>
        </w:rPr>
        <w:t>批医疗耗材</w:t>
      </w:r>
      <w:bookmarkEnd w:id="474"/>
      <w:bookmarkEnd w:id="475"/>
      <w:r>
        <w:rPr>
          <w:rFonts w:hint="eastAsia" w:ascii="仿宋" w:hAnsi="仿宋" w:eastAsia="仿宋" w:cs="仿宋"/>
          <w:bCs/>
          <w:color w:val="auto"/>
          <w:sz w:val="24"/>
          <w:szCs w:val="24"/>
        </w:rPr>
        <w:t>采购</w:t>
      </w:r>
      <w:bookmarkEnd w:id="472"/>
      <w:bookmarkEnd w:id="473"/>
      <w:r>
        <w:rPr>
          <w:rFonts w:hint="eastAsia" w:ascii="仿宋" w:hAnsi="仿宋" w:eastAsia="仿宋" w:cs="仿宋"/>
          <w:color w:val="auto"/>
          <w:kern w:val="0"/>
          <w:sz w:val="24"/>
          <w:szCs w:val="24"/>
        </w:rPr>
        <w:t>项目进行采购，于</w:t>
      </w:r>
      <w:r>
        <w:rPr>
          <w:rFonts w:hint="eastAsia" w:ascii="仿宋" w:hAnsi="仿宋" w:eastAsia="仿宋" w:cs="仿宋"/>
          <w:color w:val="auto"/>
          <w:kern w:val="0"/>
          <w:sz w:val="24"/>
          <w:szCs w:val="24"/>
          <w:u w:val="single"/>
        </w:rPr>
        <w:t>202</w:t>
      </w:r>
      <w:r>
        <w:rPr>
          <w:rFonts w:hint="eastAsia" w:ascii="仿宋" w:hAnsi="仿宋" w:eastAsia="仿宋" w:cs="仿宋"/>
          <w:color w:val="auto"/>
          <w:kern w:val="0"/>
          <w:sz w:val="24"/>
          <w:szCs w:val="24"/>
          <w:u w:val="single"/>
          <w:lang w:val="en-US" w:eastAsia="zh-CN"/>
        </w:rPr>
        <w:t>5</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eastAsia="zh-CN"/>
        </w:rPr>
        <w:t xml:space="preserve"> </w:t>
      </w:r>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eastAsia="zh-CN"/>
        </w:rPr>
        <w:t xml:space="preserve">  </w:t>
      </w:r>
      <w:r>
        <w:rPr>
          <w:rFonts w:hint="eastAsia" w:ascii="仿宋" w:hAnsi="仿宋" w:eastAsia="仿宋" w:cs="仿宋"/>
          <w:color w:val="auto"/>
          <w:kern w:val="0"/>
          <w:sz w:val="24"/>
          <w:szCs w:val="24"/>
        </w:rPr>
        <w:t>日通过公开遴选，确定乙方为项目中选人。为了保护供需各方合法权益,根据《中华人民共和国政府采购法》、《中华人民共和国民法典》</w:t>
      </w:r>
      <w:r>
        <w:rPr>
          <w:rFonts w:hint="eastAsia" w:ascii="仿宋" w:hAnsi="仿宋" w:eastAsia="仿宋" w:cs="仿宋"/>
          <w:color w:val="auto"/>
          <w:kern w:val="0"/>
          <w:sz w:val="24"/>
          <w:szCs w:val="24"/>
          <w:lang w:eastAsia="zh-CN"/>
        </w:rPr>
        <w:t>、</w:t>
      </w:r>
      <w:r>
        <w:rPr>
          <w:rFonts w:hint="eastAsia" w:ascii="仿宋" w:hAnsi="仿宋" w:eastAsia="仿宋" w:cs="仿宋"/>
          <w:color w:val="auto"/>
          <w:sz w:val="24"/>
          <w:szCs w:val="24"/>
        </w:rPr>
        <w:t>合同附件及本项目的招标文件、投标文件、</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eastAsia="zh-CN"/>
        </w:rPr>
        <w:t>中标通知书</w:t>
      </w:r>
      <w:r>
        <w:rPr>
          <w:rFonts w:hint="eastAsia" w:ascii="仿宋" w:hAnsi="仿宋" w:eastAsia="仿宋" w:cs="仿宋"/>
          <w:color w:val="auto"/>
          <w:kern w:val="0"/>
          <w:sz w:val="24"/>
          <w:szCs w:val="24"/>
        </w:rPr>
        <w:t>》等相关法律、法规的规定，经甲乙双方一致协商，订立本合同。</w:t>
      </w:r>
    </w:p>
    <w:p w14:paraId="2CEDA436">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一、项目清单及合同金额</w:t>
      </w:r>
      <w:r>
        <w:rPr>
          <w:rFonts w:hint="eastAsia" w:ascii="仿宋" w:hAnsi="仿宋" w:eastAsia="仿宋" w:cs="仿宋"/>
          <w:color w:val="auto"/>
          <w:kern w:val="0"/>
          <w:sz w:val="24"/>
          <w:szCs w:val="24"/>
        </w:rPr>
        <w:t xml:space="preserve">（详见报价表，附后）   </w:t>
      </w:r>
    </w:p>
    <w:p w14:paraId="1D4876B8">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1. 项目名称：</w:t>
      </w:r>
      <w:r>
        <w:rPr>
          <w:rFonts w:hint="eastAsia" w:ascii="仿宋" w:hAnsi="仿宋" w:eastAsia="仿宋" w:cs="仿宋"/>
          <w:color w:val="auto"/>
          <w:sz w:val="24"/>
          <w:szCs w:val="24"/>
        </w:rPr>
        <w:t>富顺县中医医院</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sz w:val="24"/>
          <w:szCs w:val="24"/>
          <w:lang w:eastAsia="zh-CN"/>
        </w:rPr>
        <w:t>采购项目</w:t>
      </w:r>
    </w:p>
    <w:p w14:paraId="7CB732A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项目编号</w:t>
      </w:r>
      <w:r>
        <w:rPr>
          <w:rFonts w:hint="eastAsia" w:ascii="仿宋" w:hAnsi="仿宋" w:eastAsia="仿宋" w:cs="仿宋"/>
          <w:color w:val="auto"/>
          <w:kern w:val="0"/>
          <w:sz w:val="24"/>
          <w:szCs w:val="24"/>
          <w:lang w:eastAsia="zh-CN"/>
        </w:rPr>
        <w:t>：</w:t>
      </w:r>
    </w:p>
    <w:p w14:paraId="53DAEF3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 xml:space="preserve">. 具体内容： (详见附表) </w:t>
      </w:r>
    </w:p>
    <w:p w14:paraId="0F139AEF">
      <w:pPr>
        <w:pStyle w:val="9"/>
        <w:spacing w:line="360" w:lineRule="auto"/>
        <w:ind w:firstLine="480"/>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 xml:space="preserve">4. </w:t>
      </w:r>
      <w:r>
        <w:rPr>
          <w:rFonts w:hint="eastAsia" w:ascii="仿宋" w:hAnsi="仿宋" w:eastAsia="仿宋" w:cs="仿宋"/>
          <w:color w:val="auto"/>
          <w:kern w:val="0"/>
          <w:sz w:val="24"/>
          <w:szCs w:val="24"/>
          <w:lang w:val="en-US" w:eastAsia="zh-CN" w:bidi="ar-SA"/>
        </w:rPr>
        <w:t>该合同附件价格已包括货物设计、材料、制造、包装、运输等所有其他</w:t>
      </w:r>
      <w:r>
        <w:rPr>
          <w:rFonts w:hint="eastAsia" w:ascii="仿宋" w:hAnsi="仿宋" w:eastAsia="仿宋" w:cs="仿宋"/>
          <w:color w:val="auto"/>
          <w:kern w:val="0"/>
          <w:sz w:val="24"/>
          <w:szCs w:val="24"/>
          <w:highlight w:val="none"/>
          <w:lang w:val="en-US" w:eastAsia="zh-CN" w:bidi="ar-SA"/>
        </w:rPr>
        <w:t>有关各项的含税费用。本合同执行期间采购单价变动参照2021年6月15《四川省医疗保障局关于规范开展药品和医用耗材集中采购工作的通知》执行。采购</w:t>
      </w:r>
      <w:r>
        <w:rPr>
          <w:rFonts w:hint="eastAsia" w:ascii="仿宋" w:hAnsi="仿宋" w:eastAsia="仿宋" w:cs="仿宋"/>
          <w:color w:val="auto"/>
          <w:kern w:val="0"/>
          <w:sz w:val="24"/>
          <w:szCs w:val="24"/>
          <w:lang w:val="en-US" w:eastAsia="zh-CN" w:bidi="ar-SA"/>
        </w:rPr>
        <w:t>数量及总金额以每月实际采购计划为准。</w:t>
      </w:r>
    </w:p>
    <w:p w14:paraId="57148BC4">
      <w:pPr>
        <w:pStyle w:val="9"/>
        <w:keepNext w:val="0"/>
        <w:keepLines w:val="0"/>
        <w:pageBreakBefore w:val="0"/>
        <w:kinsoku/>
        <w:wordWrap/>
        <w:overflowPunct/>
        <w:topLinePunct w:val="0"/>
        <w:autoSpaceDE/>
        <w:autoSpaceDN/>
        <w:bidi w:val="0"/>
        <w:spacing w:line="360" w:lineRule="auto"/>
        <w:ind w:firstLine="480"/>
        <w:textAlignment w:val="auto"/>
        <w:rPr>
          <w:rFonts w:hint="eastAsia" w:ascii="仿宋" w:hAnsi="仿宋" w:eastAsia="仿宋" w:cs="仿宋"/>
          <w:color w:val="auto"/>
          <w:kern w:val="0"/>
          <w:sz w:val="24"/>
          <w:szCs w:val="24"/>
          <w:lang w:val="en-US" w:eastAsia="zh-CN" w:bidi="ar-SA"/>
        </w:rPr>
      </w:pPr>
    </w:p>
    <w:p w14:paraId="7C259212">
      <w:pPr>
        <w:pStyle w:val="9"/>
        <w:keepNext w:val="0"/>
        <w:keepLines w:val="0"/>
        <w:pageBreakBefore w:val="0"/>
        <w:kinsoku/>
        <w:wordWrap/>
        <w:overflowPunct/>
        <w:topLinePunct w:val="0"/>
        <w:autoSpaceDE/>
        <w:autoSpaceDN/>
        <w:bidi w:val="0"/>
        <w:spacing w:line="360" w:lineRule="auto"/>
        <w:ind w:firstLine="480"/>
        <w:textAlignment w:val="auto"/>
        <w:rPr>
          <w:rFonts w:hint="eastAsia" w:ascii="仿宋" w:hAnsi="仿宋" w:eastAsia="仿宋" w:cs="仿宋"/>
          <w:color w:val="auto"/>
          <w:kern w:val="0"/>
          <w:sz w:val="24"/>
          <w:szCs w:val="24"/>
          <w:lang w:val="en-US" w:eastAsia="zh-CN" w:bidi="ar-SA"/>
        </w:rPr>
      </w:pPr>
    </w:p>
    <w:p w14:paraId="3D70AA92">
      <w:pPr>
        <w:keepNext w:val="0"/>
        <w:keepLines w:val="0"/>
        <w:pageBreakBefore w:val="0"/>
        <w:widowControl/>
        <w:numPr>
          <w:ilvl w:val="0"/>
          <w:numId w:val="5"/>
        </w:numPr>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rPr>
        <w:t>采购周期</w:t>
      </w: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 年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月 </w:t>
      </w:r>
      <w:r>
        <w:rPr>
          <w:rFonts w:hint="eastAsia" w:ascii="仿宋" w:hAnsi="仿宋" w:eastAsia="仿宋" w:cs="仿宋"/>
          <w:color w:val="auto"/>
          <w:kern w:val="0"/>
          <w:sz w:val="24"/>
          <w:szCs w:val="24"/>
          <w:lang w:val="en-US" w:eastAsia="zh-CN"/>
        </w:rPr>
        <w:t xml:space="preserve">   日</w:t>
      </w:r>
      <w:r>
        <w:rPr>
          <w:rFonts w:hint="eastAsia" w:ascii="仿宋" w:hAnsi="仿宋" w:eastAsia="仿宋" w:cs="仿宋"/>
          <w:color w:val="auto"/>
          <w:kern w:val="0"/>
          <w:sz w:val="24"/>
          <w:szCs w:val="24"/>
        </w:rPr>
        <w:t>至     年    月</w:t>
      </w:r>
      <w:r>
        <w:rPr>
          <w:rFonts w:hint="eastAsia" w:ascii="仿宋" w:hAnsi="仿宋" w:eastAsia="仿宋" w:cs="仿宋"/>
          <w:color w:val="auto"/>
          <w:kern w:val="0"/>
          <w:sz w:val="24"/>
          <w:szCs w:val="24"/>
          <w:lang w:val="en-US" w:eastAsia="zh-CN"/>
        </w:rPr>
        <w:t xml:space="preserve">    日</w:t>
      </w:r>
    </w:p>
    <w:p w14:paraId="290B665F">
      <w:pPr>
        <w:pStyle w:val="31"/>
        <w:rPr>
          <w:rFonts w:hint="eastAsia" w:ascii="仿宋" w:hAnsi="仿宋" w:eastAsia="仿宋" w:cs="仿宋"/>
          <w:color w:val="auto"/>
          <w:sz w:val="24"/>
          <w:szCs w:val="24"/>
        </w:rPr>
      </w:pPr>
    </w:p>
    <w:p w14:paraId="4BF578A2">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三、交货时间、验收地点及交付方式</w:t>
      </w:r>
    </w:p>
    <w:p w14:paraId="404EA6ED">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 xml:space="preserve"> 交货时间：在接到甲方的通知</w:t>
      </w:r>
      <w:r>
        <w:rPr>
          <w:rFonts w:hint="eastAsia" w:ascii="仿宋" w:hAnsi="仿宋" w:eastAsia="仿宋" w:cs="仿宋"/>
          <w:color w:val="auto"/>
          <w:kern w:val="0"/>
          <w:sz w:val="24"/>
          <w:szCs w:val="24"/>
        </w:rPr>
        <w:t>（包括并不限于书面、口头、电话、短信、微信等形式）</w:t>
      </w:r>
      <w:r>
        <w:rPr>
          <w:rFonts w:hint="eastAsia" w:ascii="仿宋" w:hAnsi="仿宋" w:eastAsia="仿宋" w:cs="仿宋"/>
          <w:color w:val="auto"/>
          <w:kern w:val="0"/>
          <w:sz w:val="24"/>
          <w:szCs w:val="24"/>
        </w:rPr>
        <w:t>后，</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48</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小时内。</w:t>
      </w:r>
    </w:p>
    <w:p w14:paraId="7E0AC9AB">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验收地点：甲方指定地点。</w:t>
      </w:r>
    </w:p>
    <w:p w14:paraId="5FB54ACB">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交付方式：免费送货上门，连同配套工具交付使用，如因甲方手术需要，则厂家技术人员须免费上门指导。</w:t>
      </w:r>
    </w:p>
    <w:p w14:paraId="04311DED">
      <w:pPr>
        <w:pStyle w:val="31"/>
        <w:rPr>
          <w:rFonts w:hint="eastAsia" w:ascii="仿宋" w:hAnsi="仿宋" w:eastAsia="仿宋" w:cs="仿宋"/>
          <w:color w:val="auto"/>
          <w:sz w:val="24"/>
          <w:szCs w:val="24"/>
        </w:rPr>
      </w:pPr>
    </w:p>
    <w:p w14:paraId="48A9CBCD">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四、履约验收</w:t>
      </w:r>
    </w:p>
    <w:p w14:paraId="5B87BDD7">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乙方提供的耗材为最新生产的原装正品，各项指标符合出产国检测标准和出厂标准，各项技术参数符合</w:t>
      </w:r>
      <w:r>
        <w:rPr>
          <w:rFonts w:hint="eastAsia" w:ascii="仿宋" w:hAnsi="仿宋" w:eastAsia="仿宋" w:cs="仿宋"/>
          <w:color w:val="auto"/>
          <w:kern w:val="0"/>
          <w:sz w:val="24"/>
          <w:szCs w:val="24"/>
          <w:lang w:eastAsia="zh-CN"/>
        </w:rPr>
        <w:t>采购</w:t>
      </w:r>
      <w:r>
        <w:rPr>
          <w:rFonts w:hint="eastAsia" w:ascii="仿宋" w:hAnsi="仿宋" w:eastAsia="仿宋" w:cs="仿宋"/>
          <w:color w:val="auto"/>
          <w:kern w:val="0"/>
          <w:sz w:val="24"/>
          <w:szCs w:val="24"/>
        </w:rPr>
        <w:t>文件要求和乙方投递的</w:t>
      </w:r>
      <w:r>
        <w:rPr>
          <w:rFonts w:hint="eastAsia" w:ascii="仿宋" w:hAnsi="仿宋" w:eastAsia="仿宋" w:cs="仿宋"/>
          <w:color w:val="auto"/>
          <w:kern w:val="0"/>
          <w:sz w:val="24"/>
          <w:szCs w:val="24"/>
          <w:lang w:eastAsia="zh-CN"/>
        </w:rPr>
        <w:t>响应</w:t>
      </w:r>
      <w:r>
        <w:rPr>
          <w:rFonts w:hint="eastAsia" w:ascii="仿宋" w:hAnsi="仿宋" w:eastAsia="仿宋" w:cs="仿宋"/>
          <w:color w:val="auto"/>
          <w:kern w:val="0"/>
          <w:sz w:val="24"/>
          <w:szCs w:val="24"/>
        </w:rPr>
        <w:t>文件承诺。</w:t>
      </w:r>
    </w:p>
    <w:p w14:paraId="4194B1A9">
      <w:pPr>
        <w:keepNext w:val="0"/>
        <w:keepLines w:val="0"/>
        <w:pageBreakBefore w:val="0"/>
        <w:widowControl/>
        <w:kinsoku/>
        <w:wordWrap/>
        <w:overflowPunct/>
        <w:topLinePunct w:val="0"/>
        <w:autoSpaceDE/>
        <w:autoSpaceDN/>
        <w:bidi w:val="0"/>
        <w:spacing w:line="360" w:lineRule="auto"/>
        <w:ind w:left="237" w:leftChars="113" w:firstLine="120" w:firstLineChars="5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乙方提供的产品若为原装进口产品，还应在验收时提供该耗材属原装进口</w:t>
      </w:r>
    </w:p>
    <w:p w14:paraId="5580AE82">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的相关凭据。 </w:t>
      </w:r>
    </w:p>
    <w:p w14:paraId="5066892C">
      <w:pPr>
        <w:keepNext w:val="0"/>
        <w:keepLines w:val="0"/>
        <w:pageBreakBefore w:val="0"/>
        <w:widowControl/>
        <w:kinsoku/>
        <w:wordWrap/>
        <w:overflowPunct/>
        <w:topLinePunct w:val="0"/>
        <w:autoSpaceDE/>
        <w:autoSpaceDN/>
        <w:bidi w:val="0"/>
        <w:spacing w:line="360" w:lineRule="auto"/>
        <w:ind w:left="959" w:leftChars="228" w:hanging="480" w:hanging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乙方所交产品不符合规定或质量不合格的，由乙方负责包换，并承担换货</w:t>
      </w:r>
    </w:p>
    <w:p w14:paraId="21779738">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而支付的一切费用。乙方不能调换的，按不能交货处理。 </w:t>
      </w:r>
    </w:p>
    <w:p w14:paraId="19620B8D">
      <w:pPr>
        <w:pStyle w:val="31"/>
        <w:rPr>
          <w:rFonts w:hint="eastAsia" w:ascii="仿宋" w:hAnsi="仿宋" w:eastAsia="仿宋" w:cs="仿宋"/>
          <w:color w:val="auto"/>
          <w:sz w:val="24"/>
          <w:szCs w:val="24"/>
        </w:rPr>
      </w:pPr>
    </w:p>
    <w:p w14:paraId="3BC0BCFE">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五、售后服务</w:t>
      </w:r>
    </w:p>
    <w:p w14:paraId="4C53115A">
      <w:pPr>
        <w:keepNext w:val="0"/>
        <w:keepLines w:val="0"/>
        <w:pageBreakBefore w:val="0"/>
        <w:widowControl/>
        <w:kinsoku/>
        <w:wordWrap/>
        <w:overflowPunct/>
        <w:topLinePunct w:val="0"/>
        <w:autoSpaceDE/>
        <w:autoSpaceDN/>
        <w:bidi w:val="0"/>
        <w:spacing w:line="360" w:lineRule="auto"/>
        <w:ind w:left="479" w:leftChars="228"/>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严格遵守售后服务承诺，耗材在使用中出现任何问题，甲方与乙方联系，</w:t>
      </w:r>
    </w:p>
    <w:p w14:paraId="59EC0FD5">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乙方在接到电话后</w:t>
      </w:r>
      <w:r>
        <w:rPr>
          <w:rFonts w:hint="eastAsia" w:ascii="仿宋" w:hAnsi="仿宋" w:eastAsia="仿宋" w:cs="仿宋"/>
          <w:color w:val="auto"/>
          <w:kern w:val="0"/>
          <w:sz w:val="24"/>
          <w:szCs w:val="24"/>
          <w:u w:val="single"/>
        </w:rPr>
        <w:t xml:space="preserve">   4  </w:t>
      </w:r>
      <w:r>
        <w:rPr>
          <w:rFonts w:hint="eastAsia" w:ascii="仿宋" w:hAnsi="仿宋" w:eastAsia="仿宋" w:cs="仿宋"/>
          <w:color w:val="auto"/>
          <w:kern w:val="0"/>
          <w:sz w:val="24"/>
          <w:szCs w:val="24"/>
        </w:rPr>
        <w:t>小时内到达现场提供现场服务。有关内容如下：</w:t>
      </w:r>
    </w:p>
    <w:p w14:paraId="6ACD7605">
      <w:pPr>
        <w:keepNext w:val="0"/>
        <w:keepLines w:val="0"/>
        <w:pageBreakBefore w:val="0"/>
        <w:widowControl/>
        <w:numPr>
          <w:ilvl w:val="0"/>
          <w:numId w:val="6"/>
        </w:numP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乙方承诺，甲方使用乙方提供的产品，若发生质量问题，乙方将承担全部责任，若乙方不能自已证明该产品无质量问题，或是由非质量问题以外其他原因造成的，同样由乙方承担相应责任。</w:t>
      </w:r>
    </w:p>
    <w:p w14:paraId="25D0E10E">
      <w:pPr>
        <w:keepNext w:val="0"/>
        <w:keepLines w:val="0"/>
        <w:pageBreakBefore w:val="0"/>
        <w:widowControl/>
        <w:numPr>
          <w:ilvl w:val="0"/>
          <w:numId w:val="6"/>
        </w:numP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提供相应的备用机</w:t>
      </w:r>
      <w:r>
        <w:rPr>
          <w:rFonts w:hint="eastAsia" w:ascii="仿宋" w:hAnsi="仿宋" w:eastAsia="仿宋" w:cs="仿宋"/>
          <w:color w:val="auto"/>
          <w:kern w:val="0"/>
          <w:sz w:val="24"/>
          <w:szCs w:val="24"/>
          <w:highlight w:val="none"/>
          <w:lang w:eastAsia="zh-CN"/>
        </w:rPr>
        <w:t>及</w:t>
      </w:r>
      <w:r>
        <w:rPr>
          <w:rFonts w:hint="eastAsia" w:ascii="仿宋" w:hAnsi="仿宋" w:eastAsia="仿宋" w:cs="仿宋"/>
          <w:color w:val="auto"/>
          <w:kern w:val="0"/>
          <w:sz w:val="24"/>
          <w:szCs w:val="24"/>
          <w:highlight w:val="none"/>
        </w:rPr>
        <w:t>备用机的维护保养，保证备用机的正常运行</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 xml:space="preserve">                                        </w:t>
      </w:r>
    </w:p>
    <w:p w14:paraId="63CA17B0">
      <w:pPr>
        <w:widowControl/>
        <w:numPr>
          <w:ilvl w:val="0"/>
          <w:numId w:val="6"/>
        </w:numPr>
        <w:spacing w:line="440" w:lineRule="exact"/>
        <w:ind w:left="0" w:leftChars="0" w:firstLine="480" w:firstLineChars="20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签定合同后耗材价格在</w:t>
      </w:r>
      <w:r>
        <w:rPr>
          <w:rFonts w:hint="eastAsia" w:ascii="仿宋" w:hAnsi="仿宋" w:eastAsia="仿宋" w:cs="仿宋"/>
          <w:color w:val="auto"/>
          <w:sz w:val="24"/>
          <w:szCs w:val="24"/>
          <w:highlight w:val="none"/>
          <w:lang w:eastAsia="zh-CN"/>
        </w:rPr>
        <w:t>四川医保平台子系统</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药品和医用耗材招采管理系统</w:t>
      </w:r>
      <w:r>
        <w:rPr>
          <w:rFonts w:hint="eastAsia" w:ascii="仿宋" w:hAnsi="仿宋" w:eastAsia="仿宋" w:cs="仿宋"/>
          <w:color w:val="auto"/>
          <w:kern w:val="0"/>
          <w:sz w:val="24"/>
          <w:szCs w:val="24"/>
          <w:highlight w:val="none"/>
        </w:rPr>
        <w:t>上如出现了最低采购价的按照最低价格进行采购，中标供应商无条件执行（并在</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四川医保平台子系统-药品和医用耗材招采管理系统</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上进行价格确认）生成订单，中标供应商如不执行我院有权终止合同。</w:t>
      </w:r>
    </w:p>
    <w:p w14:paraId="41E2ECDD">
      <w:pPr>
        <w:widowControl/>
        <w:numPr>
          <w:ilvl w:val="0"/>
          <w:numId w:val="0"/>
        </w:numPr>
        <w:spacing w:line="440" w:lineRule="exact"/>
        <w:ind w:firstLine="480" w:firstLineChars="20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所有采购产品，出现国家集采范围内，进入国家集采范围内的产品自动中止采购，执行国家集采相关政策</w:t>
      </w:r>
      <w:r>
        <w:rPr>
          <w:rFonts w:hint="eastAsia" w:ascii="仿宋" w:hAnsi="仿宋" w:eastAsia="仿宋" w:cs="仿宋"/>
          <w:color w:val="auto"/>
          <w:sz w:val="24"/>
          <w:szCs w:val="24"/>
          <w:lang w:eastAsia="zh-CN"/>
        </w:rPr>
        <w:t>。</w:t>
      </w:r>
    </w:p>
    <w:p w14:paraId="2265D326">
      <w:pPr>
        <w:widowControl/>
        <w:numPr>
          <w:ilvl w:val="0"/>
          <w:numId w:val="0"/>
        </w:numPr>
        <w:spacing w:line="440" w:lineRule="exact"/>
        <w:ind w:leftChars="20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6.投标人需向采购人提供及时有效的技术支持。</w:t>
      </w:r>
    </w:p>
    <w:p w14:paraId="72F2783A">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六、相关权利及义务</w:t>
      </w:r>
    </w:p>
    <w:p w14:paraId="323E01C1">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 xml:space="preserve">1. </w:t>
      </w:r>
      <w:r>
        <w:rPr>
          <w:rFonts w:hint="eastAsia" w:ascii="仿宋" w:hAnsi="仿宋" w:eastAsia="仿宋" w:cs="仿宋"/>
          <w:color w:val="auto"/>
          <w:kern w:val="0"/>
          <w:sz w:val="24"/>
          <w:szCs w:val="24"/>
        </w:rPr>
        <w:t>甲方在验收时对不符合</w:t>
      </w:r>
      <w:r>
        <w:rPr>
          <w:rFonts w:hint="eastAsia" w:ascii="仿宋" w:hAnsi="仿宋" w:eastAsia="仿宋" w:cs="仿宋"/>
          <w:color w:val="auto"/>
          <w:kern w:val="0"/>
          <w:sz w:val="24"/>
          <w:szCs w:val="24"/>
          <w:lang w:eastAsia="zh-CN"/>
        </w:rPr>
        <w:t>采购</w:t>
      </w:r>
      <w:r>
        <w:rPr>
          <w:rFonts w:hint="eastAsia" w:ascii="仿宋" w:hAnsi="仿宋" w:eastAsia="仿宋" w:cs="仿宋"/>
          <w:color w:val="auto"/>
          <w:kern w:val="0"/>
          <w:sz w:val="24"/>
          <w:szCs w:val="24"/>
        </w:rPr>
        <w:t xml:space="preserve">文件要求的产品有权拒绝接收和追究违约责任。 </w:t>
      </w:r>
    </w:p>
    <w:p w14:paraId="282E6773">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 xml:space="preserve">2. </w:t>
      </w:r>
      <w:r>
        <w:rPr>
          <w:rFonts w:hint="eastAsia" w:ascii="仿宋" w:hAnsi="仿宋" w:eastAsia="仿宋" w:cs="仿宋"/>
          <w:color w:val="auto"/>
          <w:kern w:val="0"/>
          <w:sz w:val="24"/>
          <w:szCs w:val="24"/>
        </w:rPr>
        <w:t>甲方有权监督乙方的售后服务，并对乙方的售后服务不符合</w:t>
      </w:r>
      <w:r>
        <w:rPr>
          <w:rFonts w:hint="eastAsia" w:ascii="仿宋" w:hAnsi="仿宋" w:eastAsia="仿宋" w:cs="仿宋"/>
          <w:color w:val="auto"/>
          <w:kern w:val="0"/>
          <w:sz w:val="24"/>
          <w:szCs w:val="24"/>
          <w:lang w:eastAsia="zh-CN"/>
        </w:rPr>
        <w:t>采购</w:t>
      </w:r>
      <w:r>
        <w:rPr>
          <w:rFonts w:hint="eastAsia" w:ascii="仿宋" w:hAnsi="仿宋" w:eastAsia="仿宋" w:cs="仿宋"/>
          <w:color w:val="auto"/>
          <w:kern w:val="0"/>
          <w:sz w:val="24"/>
          <w:szCs w:val="24"/>
        </w:rPr>
        <w:t>文件承诺内容时加以指出乃至追究合同责任。</w:t>
      </w:r>
    </w:p>
    <w:p w14:paraId="63770DFA">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 xml:space="preserve">3. </w:t>
      </w:r>
      <w:r>
        <w:rPr>
          <w:rFonts w:hint="eastAsia" w:ascii="仿宋" w:hAnsi="仿宋" w:eastAsia="仿宋" w:cs="仿宋"/>
          <w:color w:val="auto"/>
          <w:kern w:val="0"/>
          <w:sz w:val="24"/>
          <w:szCs w:val="24"/>
        </w:rPr>
        <w:t>甲方在合同规定期限内协助履行付款责任。</w:t>
      </w:r>
    </w:p>
    <w:p w14:paraId="4B9A8E7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 xml:space="preserve">4. </w:t>
      </w:r>
      <w:r>
        <w:rPr>
          <w:rFonts w:hint="eastAsia" w:ascii="仿宋" w:hAnsi="仿宋" w:eastAsia="仿宋" w:cs="仿宋"/>
          <w:color w:val="auto"/>
          <w:kern w:val="0"/>
          <w:sz w:val="24"/>
          <w:szCs w:val="24"/>
        </w:rPr>
        <w:t>乙方有权按照合同要</w:t>
      </w:r>
      <w:r>
        <w:rPr>
          <w:rFonts w:hint="eastAsia" w:ascii="仿宋" w:hAnsi="仿宋" w:eastAsia="仿宋" w:cs="仿宋"/>
          <w:color w:val="auto"/>
          <w:kern w:val="0"/>
          <w:sz w:val="24"/>
          <w:szCs w:val="24"/>
        </w:rPr>
        <w:t>求及时、保质、保量交付产品。</w:t>
      </w:r>
    </w:p>
    <w:p w14:paraId="01E2562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 xml:space="preserve">5. </w:t>
      </w:r>
      <w:r>
        <w:rPr>
          <w:rFonts w:hint="eastAsia" w:ascii="仿宋" w:hAnsi="仿宋" w:eastAsia="仿宋" w:cs="仿宋"/>
          <w:color w:val="auto"/>
          <w:kern w:val="0"/>
          <w:sz w:val="24"/>
          <w:szCs w:val="24"/>
        </w:rPr>
        <w:t>乙方有义务按</w:t>
      </w:r>
      <w:r>
        <w:rPr>
          <w:rFonts w:hint="eastAsia" w:ascii="仿宋" w:hAnsi="仿宋" w:eastAsia="仿宋" w:cs="仿宋"/>
          <w:color w:val="auto"/>
          <w:kern w:val="0"/>
          <w:sz w:val="24"/>
          <w:szCs w:val="24"/>
          <w:lang w:eastAsia="zh-CN"/>
        </w:rPr>
        <w:t>采购</w:t>
      </w:r>
      <w:r>
        <w:rPr>
          <w:rFonts w:hint="eastAsia" w:ascii="仿宋" w:hAnsi="仿宋" w:eastAsia="仿宋" w:cs="仿宋"/>
          <w:color w:val="auto"/>
          <w:kern w:val="0"/>
          <w:sz w:val="24"/>
          <w:szCs w:val="24"/>
        </w:rPr>
        <w:t>文件</w:t>
      </w:r>
      <w:r>
        <w:rPr>
          <w:rFonts w:hint="eastAsia" w:ascii="仿宋" w:hAnsi="仿宋" w:eastAsia="仿宋" w:cs="仿宋"/>
          <w:color w:val="auto"/>
          <w:kern w:val="0"/>
          <w:sz w:val="24"/>
          <w:szCs w:val="24"/>
          <w:lang w:eastAsia="zh-CN"/>
        </w:rPr>
        <w:t>及响应文件</w:t>
      </w:r>
      <w:r>
        <w:rPr>
          <w:rFonts w:hint="eastAsia" w:ascii="仿宋" w:hAnsi="仿宋" w:eastAsia="仿宋" w:cs="仿宋"/>
          <w:color w:val="auto"/>
          <w:kern w:val="0"/>
          <w:sz w:val="24"/>
          <w:szCs w:val="24"/>
        </w:rPr>
        <w:t>中的售后服务承诺提供良好的服务。</w:t>
      </w:r>
    </w:p>
    <w:p w14:paraId="76A9713D">
      <w:pPr>
        <w:pStyle w:val="2"/>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所有中标公司的产品需经临床试用两个月，在试用过程中如临床科室提出异议，应更换产品的生产厂家或者规格</w:t>
      </w:r>
      <w:r>
        <w:rPr>
          <w:rFonts w:hint="eastAsia" w:ascii="仿宋" w:hAnsi="仿宋" w:eastAsia="仿宋" w:cs="仿宋"/>
          <w:color w:val="auto"/>
          <w:kern w:val="0"/>
          <w:sz w:val="24"/>
          <w:szCs w:val="24"/>
          <w:highlight w:val="none"/>
          <w:lang w:eastAsia="zh-CN"/>
        </w:rPr>
        <w:t>。</w:t>
      </w:r>
    </w:p>
    <w:p w14:paraId="57D5BBB5">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 xml:space="preserve">     7.在合同执行期间，同品种耗材在使用过程中如甲方需采购其他规格型号的，采购价参考</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四川医保平台子系统-药品和医用耗材招采管理系统</w:t>
      </w:r>
      <w:r>
        <w:rPr>
          <w:rFonts w:hint="eastAsia" w:ascii="仿宋" w:hAnsi="仿宋" w:eastAsia="仿宋" w:cs="仿宋"/>
          <w:color w:val="auto"/>
          <w:kern w:val="0"/>
          <w:sz w:val="24"/>
          <w:szCs w:val="24"/>
          <w:highlight w:val="none"/>
          <w:lang w:eastAsia="zh-CN"/>
        </w:rPr>
        <w:t>”上价格。</w:t>
      </w:r>
    </w:p>
    <w:p w14:paraId="69C89E75">
      <w:pPr>
        <w:pStyle w:val="31"/>
        <w:rPr>
          <w:rFonts w:hint="eastAsia" w:ascii="仿宋" w:hAnsi="仿宋" w:eastAsia="仿宋" w:cs="仿宋"/>
          <w:color w:val="auto"/>
          <w:sz w:val="24"/>
          <w:szCs w:val="24"/>
          <w:lang w:val="en-US" w:eastAsia="zh-CN"/>
        </w:rPr>
      </w:pPr>
    </w:p>
    <w:p w14:paraId="1D11A510">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七、付款方式</w:t>
      </w:r>
    </w:p>
    <w:p w14:paraId="54DEEAB5">
      <w:pPr>
        <w:pStyle w:val="49"/>
        <w:keepNext w:val="0"/>
        <w:keepLines w:val="0"/>
        <w:pageBreakBefore w:val="0"/>
        <w:kinsoku/>
        <w:wordWrap/>
        <w:overflowPunct/>
        <w:topLinePunct w:val="0"/>
        <w:autoSpaceDE/>
        <w:autoSpaceDN/>
        <w:bidi w:val="0"/>
        <w:spacing w:line="360" w:lineRule="auto"/>
        <w:ind w:firstLine="436" w:firstLineChars="182"/>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lang w:val="en-US" w:eastAsia="zh-CN"/>
        </w:rPr>
        <w:t xml:space="preserve">1. </w:t>
      </w:r>
      <w:r>
        <w:rPr>
          <w:rFonts w:hint="eastAsia" w:ascii="仿宋" w:hAnsi="仿宋" w:eastAsia="仿宋" w:cs="仿宋"/>
          <w:color w:val="auto"/>
          <w:sz w:val="24"/>
          <w:szCs w:val="24"/>
        </w:rPr>
        <w:t>乙方每月底须向甲方出具合法有效完整的发票及凭证资料进行支付结算。甲方财务部门每月按照实际采购金额进行滚动付款。</w:t>
      </w:r>
      <w:r>
        <w:rPr>
          <w:rFonts w:hint="eastAsia" w:ascii="仿宋" w:hAnsi="仿宋" w:eastAsia="仿宋" w:cs="仿宋"/>
          <w:color w:val="auto"/>
          <w:kern w:val="0"/>
          <w:sz w:val="24"/>
          <w:szCs w:val="24"/>
        </w:rPr>
        <w:t xml:space="preserve"> </w:t>
      </w:r>
    </w:p>
    <w:p w14:paraId="0F9E39BC">
      <w:pPr>
        <w:pStyle w:val="50"/>
        <w:pageBreakBefore w:val="0"/>
        <w:numPr>
          <w:ilvl w:val="0"/>
          <w:numId w:val="0"/>
        </w:numPr>
        <w:kinsoku/>
        <w:wordWrap/>
        <w:overflowPunct/>
        <w:topLinePunct w:val="0"/>
        <w:bidi w:val="0"/>
        <w:spacing w:line="360" w:lineRule="auto"/>
        <w:ind w:firstLine="480" w:firstLineChars="200"/>
        <w:jc w:val="left"/>
        <w:rPr>
          <w:rFonts w:hint="eastAsia" w:ascii="仿宋" w:hAnsi="仿宋" w:eastAsia="仿宋" w:cs="仿宋"/>
          <w:color w:val="auto"/>
          <w:sz w:val="24"/>
          <w:szCs w:val="24"/>
          <w:lang w:val="zh-CN" w:eastAsia="zh-CN" w:bidi="ar-SA"/>
        </w:rPr>
      </w:pPr>
      <w:r>
        <w:rPr>
          <w:rFonts w:hint="eastAsia" w:ascii="仿宋" w:hAnsi="仿宋" w:eastAsia="仿宋" w:cs="仿宋"/>
          <w:color w:val="auto"/>
          <w:sz w:val="24"/>
          <w:szCs w:val="24"/>
          <w:lang w:val="en-US" w:eastAsia="zh-CN" w:bidi="ar-SA"/>
        </w:rPr>
        <w:t>2、</w:t>
      </w:r>
      <w:r>
        <w:rPr>
          <w:rFonts w:hint="eastAsia" w:ascii="仿宋" w:hAnsi="仿宋" w:eastAsia="仿宋" w:cs="仿宋"/>
          <w:color w:val="auto"/>
          <w:sz w:val="24"/>
          <w:szCs w:val="24"/>
          <w:lang w:val="zh-CN" w:eastAsia="zh-CN" w:bidi="ar-SA"/>
        </w:rPr>
        <w:t>履约保证金退还：耗材供货后</w:t>
      </w:r>
      <w:r>
        <w:rPr>
          <w:rFonts w:hint="eastAsia" w:ascii="仿宋" w:hAnsi="仿宋" w:eastAsia="仿宋" w:cs="仿宋"/>
          <w:color w:val="auto"/>
          <w:sz w:val="24"/>
          <w:szCs w:val="24"/>
          <w:lang w:val="en-US" w:eastAsia="zh-CN" w:bidi="ar-SA"/>
        </w:rPr>
        <w:t>6个月，</w:t>
      </w:r>
      <w:r>
        <w:rPr>
          <w:rFonts w:hint="eastAsia" w:ascii="仿宋" w:hAnsi="仿宋" w:eastAsia="仿宋" w:cs="仿宋"/>
          <w:color w:val="auto"/>
          <w:sz w:val="24"/>
          <w:szCs w:val="24"/>
          <w:lang w:val="zh-CN" w:eastAsia="zh-CN" w:bidi="ar-SA"/>
        </w:rPr>
        <w:t>货物无任何质量问题且中标人履行了售后服务义务，采购人凭中标人提供的退还履约保证金申请无息退还履约保证金。</w:t>
      </w:r>
      <w:r>
        <w:rPr>
          <w:rFonts w:hint="eastAsia" w:ascii="仿宋" w:hAnsi="仿宋" w:eastAsia="仿宋" w:cs="仿宋"/>
          <w:color w:val="auto"/>
          <w:sz w:val="24"/>
          <w:szCs w:val="24"/>
          <w:lang w:val="en-US" w:eastAsia="zh-CN" w:bidi="ar-SA"/>
        </w:rPr>
        <w:t>乙方履约不合格的，履约保证金不予退还。</w:t>
      </w:r>
    </w:p>
    <w:p w14:paraId="650E734D">
      <w:pPr>
        <w:pStyle w:val="2"/>
        <w:numPr>
          <w:ilvl w:val="0"/>
          <w:numId w:val="0"/>
        </w:numPr>
        <w:spacing w:line="360" w:lineRule="auto"/>
        <w:ind w:right="292" w:rightChars="0" w:firstLine="456" w:firstLineChars="200"/>
        <w:jc w:val="both"/>
        <w:rPr>
          <w:rFonts w:hint="eastAsia" w:ascii="仿宋" w:hAnsi="仿宋" w:eastAsia="仿宋" w:cs="仿宋"/>
          <w:color w:val="auto"/>
          <w:spacing w:val="-6"/>
          <w:kern w:val="0"/>
          <w:sz w:val="24"/>
          <w:szCs w:val="24"/>
          <w:lang w:val="zh-CN" w:eastAsia="zh-CN" w:bidi="zh-CN"/>
        </w:rPr>
      </w:pPr>
      <w:r>
        <w:rPr>
          <w:rFonts w:hint="eastAsia" w:ascii="仿宋" w:hAnsi="仿宋" w:eastAsia="仿宋" w:cs="仿宋"/>
          <w:color w:val="auto"/>
          <w:spacing w:val="-6"/>
          <w:kern w:val="0"/>
          <w:sz w:val="24"/>
          <w:szCs w:val="24"/>
          <w:lang w:val="en-US" w:eastAsia="zh-CN" w:bidi="zh-CN"/>
        </w:rPr>
        <w:t>3、</w:t>
      </w:r>
      <w:r>
        <w:rPr>
          <w:rFonts w:hint="eastAsia" w:ascii="仿宋" w:hAnsi="仿宋" w:eastAsia="仿宋" w:cs="仿宋"/>
          <w:color w:val="auto"/>
          <w:spacing w:val="-6"/>
          <w:kern w:val="0"/>
          <w:sz w:val="24"/>
          <w:szCs w:val="24"/>
          <w:lang w:val="zh-CN" w:eastAsia="zh-CN" w:bidi="zh-CN"/>
        </w:rPr>
        <w:t>乙方须向甲方出具合法有效完整的完税发票及凭证资料后进行支付结算，付款方式均采用公对公的银行转账，乙方接受转账的开户信息以本协议载明的为准。</w:t>
      </w:r>
    </w:p>
    <w:p w14:paraId="6D325E79">
      <w:pPr>
        <w:pStyle w:val="49"/>
        <w:keepNext w:val="0"/>
        <w:keepLines w:val="0"/>
        <w:pageBreakBefore w:val="0"/>
        <w:kinsoku/>
        <w:wordWrap/>
        <w:overflowPunct/>
        <w:topLinePunct w:val="0"/>
        <w:autoSpaceDE/>
        <w:autoSpaceDN/>
        <w:bidi w:val="0"/>
        <w:spacing w:line="360" w:lineRule="auto"/>
        <w:ind w:firstLine="480"/>
        <w:textAlignment w:val="auto"/>
        <w:rPr>
          <w:rFonts w:hint="eastAsia" w:ascii="仿宋" w:hAnsi="仿宋" w:eastAsia="仿宋" w:cs="仿宋"/>
          <w:color w:val="auto"/>
          <w:kern w:val="0"/>
          <w:sz w:val="24"/>
          <w:szCs w:val="24"/>
        </w:rPr>
      </w:pPr>
    </w:p>
    <w:p w14:paraId="39896C32">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lang w:eastAsia="zh-CN"/>
        </w:rPr>
        <w:t>八</w:t>
      </w:r>
      <w:r>
        <w:rPr>
          <w:rFonts w:hint="eastAsia" w:ascii="仿宋" w:hAnsi="仿宋" w:eastAsia="仿宋" w:cs="仿宋"/>
          <w:b/>
          <w:color w:val="auto"/>
          <w:kern w:val="0"/>
          <w:sz w:val="24"/>
          <w:szCs w:val="24"/>
        </w:rPr>
        <w:t>、违约责任</w:t>
      </w:r>
    </w:p>
    <w:p w14:paraId="3523822B">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甲乙双方均应遵守本合同，如有违约，将赔偿因违约给对方造成的经济损失，因不可抗拒力所导致的交货及付款延迟等按照《中华人民共和国</w:t>
      </w:r>
      <w:r>
        <w:rPr>
          <w:rFonts w:hint="eastAsia" w:ascii="仿宋" w:hAnsi="仿宋" w:eastAsia="仿宋" w:cs="仿宋"/>
          <w:color w:val="auto"/>
          <w:kern w:val="0"/>
          <w:sz w:val="24"/>
          <w:szCs w:val="24"/>
          <w:lang w:eastAsia="zh-CN"/>
        </w:rPr>
        <w:t>民法典</w:t>
      </w:r>
      <w:r>
        <w:rPr>
          <w:rFonts w:hint="eastAsia" w:ascii="仿宋" w:hAnsi="仿宋" w:eastAsia="仿宋" w:cs="仿宋"/>
          <w:color w:val="auto"/>
          <w:kern w:val="0"/>
          <w:sz w:val="24"/>
          <w:szCs w:val="24"/>
        </w:rPr>
        <w:t>》有关条文及本合同第</w:t>
      </w:r>
      <w:r>
        <w:rPr>
          <w:rFonts w:hint="eastAsia" w:ascii="仿宋" w:hAnsi="仿宋" w:eastAsia="仿宋" w:cs="仿宋"/>
          <w:color w:val="auto"/>
          <w:kern w:val="0"/>
          <w:sz w:val="24"/>
          <w:szCs w:val="24"/>
          <w:lang w:eastAsia="zh-CN"/>
        </w:rPr>
        <w:t>九</w:t>
      </w:r>
      <w:r>
        <w:rPr>
          <w:rFonts w:hint="eastAsia" w:ascii="仿宋" w:hAnsi="仿宋" w:eastAsia="仿宋" w:cs="仿宋"/>
          <w:color w:val="auto"/>
          <w:kern w:val="0"/>
          <w:sz w:val="24"/>
          <w:szCs w:val="24"/>
        </w:rPr>
        <w:t>条处理。</w:t>
      </w:r>
    </w:p>
    <w:p w14:paraId="5CB6E806">
      <w:pPr>
        <w:pStyle w:val="31"/>
        <w:rPr>
          <w:rFonts w:hint="eastAsia" w:ascii="仿宋" w:hAnsi="仿宋" w:eastAsia="仿宋" w:cs="仿宋"/>
          <w:color w:val="auto"/>
          <w:sz w:val="24"/>
          <w:szCs w:val="24"/>
        </w:rPr>
      </w:pPr>
    </w:p>
    <w:p w14:paraId="24B94FE5">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lang w:eastAsia="zh-CN"/>
        </w:rPr>
        <w:t>九</w:t>
      </w:r>
      <w:r>
        <w:rPr>
          <w:rFonts w:hint="eastAsia" w:ascii="仿宋" w:hAnsi="仿宋" w:eastAsia="仿宋" w:cs="仿宋"/>
          <w:b/>
          <w:color w:val="auto"/>
          <w:kern w:val="0"/>
          <w:sz w:val="24"/>
          <w:szCs w:val="24"/>
        </w:rPr>
        <w:t xml:space="preserve">、不可抗力 </w:t>
      </w:r>
    </w:p>
    <w:p w14:paraId="41EA1C43">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 xml:space="preserve">1. </w:t>
      </w:r>
      <w:r>
        <w:rPr>
          <w:rFonts w:hint="eastAsia" w:ascii="仿宋" w:hAnsi="仿宋" w:eastAsia="仿宋" w:cs="仿宋"/>
          <w:color w:val="auto"/>
          <w:kern w:val="0"/>
          <w:sz w:val="24"/>
          <w:szCs w:val="24"/>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14:paraId="4A199A6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 xml:space="preserve">2. </w:t>
      </w:r>
      <w:r>
        <w:rPr>
          <w:rFonts w:hint="eastAsia" w:ascii="仿宋" w:hAnsi="仿宋" w:eastAsia="仿宋" w:cs="仿宋"/>
          <w:color w:val="auto"/>
          <w:kern w:val="0"/>
          <w:sz w:val="24"/>
          <w:szCs w:val="24"/>
          <w:lang w:eastAsia="zh-CN"/>
        </w:rPr>
        <w:t>如因政策原因无法继续履行合同，双方无条件终止此合同。</w:t>
      </w:r>
    </w:p>
    <w:p w14:paraId="724EF763">
      <w:pPr>
        <w:keepNext w:val="0"/>
        <w:keepLines w:val="0"/>
        <w:pageBreakBefore w:val="0"/>
        <w:widowControl/>
        <w:kinsoku/>
        <w:wordWrap/>
        <w:overflowPunct/>
        <w:topLinePunct w:val="0"/>
        <w:autoSpaceDE/>
        <w:autoSpaceDN/>
        <w:bidi w:val="0"/>
        <w:spacing w:before="240" w:after="240" w:line="360" w:lineRule="auto"/>
        <w:jc w:val="left"/>
        <w:textAlignment w:val="auto"/>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lang w:eastAsia="zh-CN"/>
        </w:rPr>
        <w:t>十</w:t>
      </w:r>
      <w:r>
        <w:rPr>
          <w:rFonts w:hint="eastAsia" w:ascii="仿宋" w:hAnsi="仿宋" w:eastAsia="仿宋" w:cs="仿宋"/>
          <w:b/>
          <w:bCs/>
          <w:color w:val="auto"/>
          <w:kern w:val="0"/>
          <w:sz w:val="24"/>
          <w:szCs w:val="24"/>
        </w:rPr>
        <w:t>、</w:t>
      </w:r>
      <w:r>
        <w:rPr>
          <w:rFonts w:hint="eastAsia" w:ascii="仿宋" w:hAnsi="仿宋" w:eastAsia="仿宋" w:cs="仿宋"/>
          <w:color w:val="auto"/>
          <w:kern w:val="0"/>
          <w:sz w:val="24"/>
          <w:szCs w:val="24"/>
        </w:rPr>
        <w:t>乙方因不可抗力、耗材不能满足甲方需要或者自身原因不能履行采购合同的，甲方可以与排位在中选人之后第一位的中选候选人签订采购合同，或重新组织采购；如果耗材的采购价格高于挂网价，终止合同，甲方重新组织采购。</w:t>
      </w:r>
    </w:p>
    <w:p w14:paraId="68208F8B">
      <w:pPr>
        <w:keepNext w:val="0"/>
        <w:keepLines w:val="0"/>
        <w:pageBreakBefore w:val="0"/>
        <w:widowControl/>
        <w:kinsoku/>
        <w:wordWrap/>
        <w:overflowPunct/>
        <w:topLinePunct w:val="0"/>
        <w:autoSpaceDE/>
        <w:autoSpaceDN/>
        <w:bidi w:val="0"/>
        <w:spacing w:before="240" w:after="240" w:line="360" w:lineRule="auto"/>
        <w:jc w:val="left"/>
        <w:textAlignment w:val="auto"/>
        <w:rPr>
          <w:rFonts w:hint="eastAsia" w:ascii="仿宋" w:hAnsi="仿宋" w:eastAsia="仿宋" w:cs="仿宋"/>
          <w:color w:val="auto"/>
          <w:kern w:val="0"/>
          <w:sz w:val="24"/>
          <w:szCs w:val="24"/>
        </w:rPr>
      </w:pPr>
      <w:r>
        <w:rPr>
          <w:rFonts w:hint="eastAsia" w:ascii="仿宋" w:hAnsi="仿宋" w:eastAsia="仿宋" w:cs="仿宋"/>
          <w:b/>
          <w:color w:val="auto"/>
          <w:kern w:val="0"/>
          <w:sz w:val="24"/>
          <w:szCs w:val="24"/>
        </w:rPr>
        <w:t>十</w:t>
      </w:r>
      <w:r>
        <w:rPr>
          <w:rFonts w:hint="eastAsia" w:ascii="仿宋" w:hAnsi="仿宋" w:eastAsia="仿宋" w:cs="仿宋"/>
          <w:b/>
          <w:color w:val="auto"/>
          <w:kern w:val="0"/>
          <w:sz w:val="24"/>
          <w:szCs w:val="24"/>
          <w:lang w:eastAsia="zh-CN"/>
        </w:rPr>
        <w:t>一</w:t>
      </w:r>
      <w:r>
        <w:rPr>
          <w:rFonts w:hint="eastAsia" w:ascii="仿宋" w:hAnsi="仿宋" w:eastAsia="仿宋" w:cs="仿宋"/>
          <w:b/>
          <w:color w:val="auto"/>
          <w:kern w:val="0"/>
          <w:sz w:val="24"/>
          <w:szCs w:val="24"/>
        </w:rPr>
        <w:t>、争议</w:t>
      </w:r>
    </w:p>
    <w:p w14:paraId="6D65CD7E">
      <w:pPr>
        <w:keepNext w:val="0"/>
        <w:keepLines w:val="0"/>
        <w:pageBreakBefore w:val="0"/>
        <w:widowControl/>
        <w:kinsoku/>
        <w:wordWrap/>
        <w:overflowPunct/>
        <w:topLinePunct w:val="0"/>
        <w:autoSpaceDE/>
        <w:autoSpaceDN/>
        <w:bidi w:val="0"/>
        <w:spacing w:before="240" w:after="240"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双方本着友好合作的态度，对合同履行过程中发生的违约行为进行及时的协商解决，如不能协商解决可向合同</w:t>
      </w:r>
      <w:r>
        <w:rPr>
          <w:rFonts w:hint="eastAsia" w:ascii="仿宋" w:hAnsi="仿宋" w:eastAsia="仿宋" w:cs="仿宋"/>
          <w:color w:val="auto"/>
          <w:kern w:val="0"/>
          <w:sz w:val="24"/>
          <w:szCs w:val="24"/>
          <w:lang w:eastAsia="zh-CN"/>
        </w:rPr>
        <w:t>甲方住所</w:t>
      </w:r>
      <w:r>
        <w:rPr>
          <w:rFonts w:hint="eastAsia" w:ascii="仿宋" w:hAnsi="仿宋" w:eastAsia="仿宋" w:cs="仿宋"/>
          <w:color w:val="auto"/>
          <w:kern w:val="0"/>
          <w:sz w:val="24"/>
          <w:szCs w:val="24"/>
        </w:rPr>
        <w:t>地法院通过法律诉讼解决。</w:t>
      </w:r>
    </w:p>
    <w:p w14:paraId="3EC23FC5">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十</w:t>
      </w:r>
      <w:r>
        <w:rPr>
          <w:rFonts w:hint="eastAsia" w:ascii="仿宋" w:hAnsi="仿宋" w:eastAsia="仿宋" w:cs="仿宋"/>
          <w:b/>
          <w:color w:val="auto"/>
          <w:kern w:val="0"/>
          <w:sz w:val="24"/>
          <w:szCs w:val="24"/>
          <w:lang w:eastAsia="zh-CN"/>
        </w:rPr>
        <w:t>二</w:t>
      </w:r>
      <w:r>
        <w:rPr>
          <w:rFonts w:hint="eastAsia" w:ascii="仿宋" w:hAnsi="仿宋" w:eastAsia="仿宋" w:cs="仿宋"/>
          <w:b/>
          <w:color w:val="auto"/>
          <w:kern w:val="0"/>
          <w:sz w:val="24"/>
          <w:szCs w:val="24"/>
        </w:rPr>
        <w:t>、其它</w:t>
      </w:r>
    </w:p>
    <w:p w14:paraId="3A2CD755">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本合同一式</w:t>
      </w:r>
      <w:r>
        <w:rPr>
          <w:rFonts w:hint="eastAsia" w:ascii="仿宋" w:hAnsi="仿宋" w:eastAsia="仿宋" w:cs="仿宋"/>
          <w:color w:val="auto"/>
          <w:kern w:val="0"/>
          <w:sz w:val="24"/>
          <w:szCs w:val="24"/>
          <w:lang w:eastAsia="zh-CN"/>
        </w:rPr>
        <w:t>陆</w:t>
      </w:r>
      <w:r>
        <w:rPr>
          <w:rFonts w:hint="eastAsia" w:ascii="仿宋" w:hAnsi="仿宋" w:eastAsia="仿宋" w:cs="仿宋"/>
          <w:color w:val="auto"/>
          <w:kern w:val="0"/>
          <w:sz w:val="24"/>
          <w:szCs w:val="24"/>
        </w:rPr>
        <w:t>份，甲方</w:t>
      </w:r>
      <w:r>
        <w:rPr>
          <w:rFonts w:hint="eastAsia" w:ascii="仿宋" w:hAnsi="仿宋" w:eastAsia="仿宋" w:cs="仿宋"/>
          <w:color w:val="auto"/>
          <w:kern w:val="0"/>
          <w:sz w:val="24"/>
          <w:szCs w:val="24"/>
          <w:lang w:eastAsia="zh-CN"/>
        </w:rPr>
        <w:t>四份</w:t>
      </w:r>
      <w:r>
        <w:rPr>
          <w:rFonts w:hint="eastAsia" w:ascii="仿宋" w:hAnsi="仿宋" w:eastAsia="仿宋" w:cs="仿宋"/>
          <w:color w:val="auto"/>
          <w:kern w:val="0"/>
          <w:sz w:val="24"/>
          <w:szCs w:val="24"/>
        </w:rPr>
        <w:t>、乙方一份</w:t>
      </w:r>
      <w:r>
        <w:rPr>
          <w:rFonts w:hint="eastAsia" w:ascii="仿宋" w:hAnsi="仿宋" w:eastAsia="仿宋" w:cs="仿宋"/>
          <w:color w:val="auto"/>
          <w:kern w:val="0"/>
          <w:sz w:val="24"/>
          <w:szCs w:val="24"/>
          <w:lang w:eastAsia="zh-CN"/>
        </w:rPr>
        <w:t>、代理一份</w:t>
      </w:r>
      <w:r>
        <w:rPr>
          <w:rFonts w:hint="eastAsia" w:ascii="仿宋" w:hAnsi="仿宋" w:eastAsia="仿宋" w:cs="仿宋"/>
          <w:color w:val="auto"/>
          <w:kern w:val="0"/>
          <w:sz w:val="24"/>
          <w:szCs w:val="24"/>
        </w:rPr>
        <w:t>。</w:t>
      </w:r>
    </w:p>
    <w:p w14:paraId="434B57E7">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本合同自签订之日起生效。</w:t>
      </w:r>
    </w:p>
    <w:p w14:paraId="71FB63B1">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本项目的</w:t>
      </w:r>
      <w:r>
        <w:rPr>
          <w:rFonts w:hint="eastAsia" w:ascii="仿宋" w:hAnsi="仿宋" w:eastAsia="仿宋" w:cs="仿宋"/>
          <w:color w:val="auto"/>
          <w:kern w:val="0"/>
          <w:sz w:val="24"/>
          <w:szCs w:val="24"/>
          <w:lang w:eastAsia="zh-CN"/>
        </w:rPr>
        <w:t>采购</w:t>
      </w:r>
      <w:r>
        <w:rPr>
          <w:rFonts w:hint="eastAsia" w:ascii="仿宋" w:hAnsi="仿宋" w:eastAsia="仿宋" w:cs="仿宋"/>
          <w:color w:val="auto"/>
          <w:kern w:val="0"/>
          <w:sz w:val="24"/>
          <w:szCs w:val="24"/>
        </w:rPr>
        <w:t>文件等是本合同的附件，与合同具有同等的法律效力。</w:t>
      </w:r>
    </w:p>
    <w:p w14:paraId="16B6DC56">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其它未尽事宜，由双方友好协商解决，并参照《中华人民共和国</w:t>
      </w:r>
      <w:r>
        <w:rPr>
          <w:rFonts w:hint="eastAsia" w:ascii="仿宋" w:hAnsi="仿宋" w:eastAsia="仿宋" w:cs="仿宋"/>
          <w:color w:val="auto"/>
          <w:kern w:val="0"/>
          <w:sz w:val="24"/>
          <w:szCs w:val="24"/>
          <w:lang w:eastAsia="zh-CN"/>
        </w:rPr>
        <w:t>民法典</w:t>
      </w:r>
      <w:r>
        <w:rPr>
          <w:rFonts w:hint="eastAsia" w:ascii="仿宋" w:hAnsi="仿宋" w:eastAsia="仿宋" w:cs="仿宋"/>
          <w:color w:val="auto"/>
          <w:kern w:val="0"/>
          <w:sz w:val="24"/>
          <w:szCs w:val="24"/>
        </w:rPr>
        <w:t>》有关条款执行。</w:t>
      </w:r>
    </w:p>
    <w:p w14:paraId="6745FAC7">
      <w:pPr>
        <w:widowControl/>
        <w:spacing w:line="440" w:lineRule="exact"/>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（附：乙方报价表）</w:t>
      </w:r>
    </w:p>
    <w:tbl>
      <w:tblPr>
        <w:tblStyle w:val="32"/>
        <w:tblpPr w:leftFromText="180" w:rightFromText="180" w:vertAnchor="text" w:horzAnchor="page" w:tblpX="1497" w:tblpY="482"/>
        <w:tblOverlap w:val="never"/>
        <w:tblW w:w="4802"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737"/>
        <w:gridCol w:w="4727"/>
      </w:tblGrid>
      <w:tr w14:paraId="4E011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1" w:hRule="atLeast"/>
        </w:trPr>
        <w:tc>
          <w:tcPr>
            <w:tcW w:w="2503" w:type="pct"/>
            <w:tcBorders>
              <w:top w:val="single" w:color="auto" w:sz="4" w:space="0"/>
              <w:left w:val="single" w:color="auto" w:sz="4" w:space="0"/>
              <w:bottom w:val="single" w:color="auto" w:sz="4" w:space="0"/>
              <w:right w:val="single" w:color="auto" w:sz="4" w:space="0"/>
            </w:tcBorders>
            <w:noWrap/>
            <w:vAlign w:val="top"/>
          </w:tcPr>
          <w:p w14:paraId="489584C5">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甲方（盖章）：富顺县中医医院 </w:t>
            </w:r>
          </w:p>
          <w:p w14:paraId="69D924D6">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甲方代表（签字）：</w:t>
            </w:r>
          </w:p>
          <w:p w14:paraId="2477CA9E">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地址：富顺县东湖大道1801号 </w:t>
            </w:r>
          </w:p>
          <w:p w14:paraId="24DB4A1A">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电话：0813-5197655</w:t>
            </w:r>
          </w:p>
          <w:p w14:paraId="640D8E13">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开户银行：四川富顺农村商业银行股份有限公司营业部</w:t>
            </w:r>
          </w:p>
          <w:p w14:paraId="0472C16C">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开户帐号：11820120000037316</w:t>
            </w:r>
          </w:p>
          <w:p w14:paraId="47F5B6E7">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tc>
        <w:tc>
          <w:tcPr>
            <w:tcW w:w="2496" w:type="pct"/>
            <w:tcBorders>
              <w:top w:val="single" w:color="auto" w:sz="4" w:space="0"/>
              <w:left w:val="single" w:color="auto" w:sz="4" w:space="0"/>
              <w:bottom w:val="single" w:color="auto" w:sz="4" w:space="0"/>
              <w:right w:val="single" w:color="auto" w:sz="4" w:space="0"/>
            </w:tcBorders>
            <w:noWrap/>
            <w:vAlign w:val="top"/>
          </w:tcPr>
          <w:p w14:paraId="23F75A7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乙方（盖章）： </w:t>
            </w:r>
          </w:p>
          <w:p w14:paraId="0BCD260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乙方代表（签字）：</w:t>
            </w:r>
          </w:p>
          <w:p w14:paraId="26DBD6A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地址： </w:t>
            </w:r>
          </w:p>
          <w:p w14:paraId="6966927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电话： </w:t>
            </w:r>
          </w:p>
          <w:p w14:paraId="7F52A3D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开户银行：</w:t>
            </w:r>
          </w:p>
          <w:p w14:paraId="39ED27F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开户帐号： </w:t>
            </w:r>
          </w:p>
          <w:p w14:paraId="13F1AC8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tc>
      </w:tr>
    </w:tbl>
    <w:p w14:paraId="5CA57229">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仿宋" w:hAnsi="仿宋" w:eastAsia="仿宋" w:cs="仿宋"/>
          <w:color w:val="auto"/>
          <w:sz w:val="24"/>
          <w:szCs w:val="24"/>
          <w:highlight w:val="none"/>
        </w:rPr>
      </w:pPr>
    </w:p>
    <w:p w14:paraId="6343AE16">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仿宋" w:hAnsi="仿宋" w:eastAsia="仿宋" w:cs="仿宋"/>
          <w:color w:val="auto"/>
          <w:sz w:val="24"/>
          <w:szCs w:val="24"/>
          <w:highlight w:val="none"/>
        </w:rPr>
      </w:pPr>
    </w:p>
    <w:p w14:paraId="3F894CF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仿宋" w:hAnsi="仿宋" w:eastAsia="仿宋" w:cs="仿宋"/>
          <w:color w:val="auto"/>
          <w:sz w:val="24"/>
          <w:szCs w:val="24"/>
          <w:highlight w:val="none"/>
        </w:rPr>
      </w:pPr>
    </w:p>
    <w:p w14:paraId="352D7C68">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rPr>
        <w:br w:type="page"/>
      </w:r>
      <w:bookmarkStart w:id="476" w:name="_Toc6133"/>
      <w:bookmarkStart w:id="477" w:name="_Toc9620"/>
      <w:bookmarkStart w:id="478" w:name="_Toc23263"/>
      <w:bookmarkStart w:id="479" w:name="_Toc18694"/>
      <w:bookmarkStart w:id="480" w:name="_Toc9541"/>
      <w:bookmarkStart w:id="481" w:name="_Toc13939"/>
      <w:r>
        <w:rPr>
          <w:rFonts w:hint="eastAsia" w:ascii="仿宋" w:hAnsi="仿宋" w:eastAsia="仿宋" w:cs="仿宋"/>
          <w:b/>
          <w:bCs/>
          <w:color w:val="auto"/>
          <w:sz w:val="36"/>
          <w:szCs w:val="36"/>
          <w:highlight w:val="none"/>
          <w:lang w:val="en-US" w:eastAsia="zh-CN"/>
        </w:rPr>
        <w:t>第九章  附件</w:t>
      </w:r>
      <w:bookmarkEnd w:id="476"/>
      <w:bookmarkEnd w:id="477"/>
      <w:bookmarkEnd w:id="478"/>
      <w:bookmarkEnd w:id="479"/>
      <w:bookmarkEnd w:id="480"/>
      <w:bookmarkEnd w:id="481"/>
    </w:p>
    <w:p w14:paraId="12290EF9">
      <w:pPr>
        <w:pStyle w:val="2"/>
        <w:rPr>
          <w:color w:val="auto"/>
          <w:lang w:val="en-US" w:eastAsia="zh-CN"/>
        </w:rPr>
      </w:pPr>
    </w:p>
    <w:p w14:paraId="1BB9BF0B">
      <w:pPr>
        <w:spacing w:line="360" w:lineRule="auto"/>
        <w:jc w:val="left"/>
        <w:outlineLvl w:val="1"/>
        <w:rPr>
          <w:rFonts w:hint="eastAsia" w:ascii="仿宋" w:hAnsi="仿宋" w:eastAsia="仿宋" w:cs="仿宋"/>
          <w:b/>
          <w:bCs/>
          <w:color w:val="auto"/>
          <w:kern w:val="44"/>
          <w:sz w:val="30"/>
          <w:szCs w:val="30"/>
        </w:rPr>
      </w:pPr>
      <w:bookmarkStart w:id="482" w:name="_Toc21978"/>
      <w:bookmarkStart w:id="483" w:name="_Toc27868"/>
      <w:bookmarkStart w:id="484" w:name="_Toc16627"/>
      <w:r>
        <w:rPr>
          <w:rFonts w:hint="eastAsia" w:ascii="仿宋" w:hAnsi="仿宋" w:eastAsia="仿宋" w:cs="仿宋"/>
          <w:b/>
          <w:bCs/>
          <w:color w:val="auto"/>
          <w:kern w:val="44"/>
          <w:sz w:val="30"/>
          <w:szCs w:val="30"/>
        </w:rPr>
        <w:t>附件</w:t>
      </w:r>
      <w:bookmarkEnd w:id="482"/>
      <w:r>
        <w:rPr>
          <w:rFonts w:hint="eastAsia" w:ascii="仿宋" w:hAnsi="仿宋" w:eastAsia="仿宋" w:cs="仿宋"/>
          <w:b/>
          <w:bCs/>
          <w:color w:val="auto"/>
          <w:kern w:val="44"/>
          <w:sz w:val="30"/>
          <w:szCs w:val="30"/>
          <w:lang w:val="en-US" w:eastAsia="zh-CN"/>
        </w:rPr>
        <w:t xml:space="preserve"> </w:t>
      </w:r>
      <w:r>
        <w:rPr>
          <w:rFonts w:hint="eastAsia" w:ascii="仿宋" w:hAnsi="仿宋" w:eastAsia="仿宋" w:cs="仿宋"/>
          <w:b/>
          <w:bCs/>
          <w:color w:val="auto"/>
          <w:kern w:val="44"/>
          <w:sz w:val="30"/>
          <w:szCs w:val="30"/>
        </w:rPr>
        <w:t xml:space="preserve"> 报名登记表</w:t>
      </w:r>
      <w:bookmarkEnd w:id="483"/>
      <w:bookmarkEnd w:id="484"/>
    </w:p>
    <w:p w14:paraId="33E89B6C">
      <w:pPr>
        <w:spacing w:line="360" w:lineRule="auto"/>
        <w:jc w:val="center"/>
        <w:outlineLvl w:val="9"/>
        <w:rPr>
          <w:rFonts w:hint="eastAsia" w:ascii="仿宋" w:hAnsi="仿宋" w:eastAsia="仿宋" w:cs="仿宋"/>
          <w:b/>
          <w:bCs/>
          <w:color w:val="auto"/>
          <w:kern w:val="44"/>
          <w:sz w:val="30"/>
          <w:szCs w:val="30"/>
        </w:rPr>
      </w:pPr>
      <w:r>
        <w:rPr>
          <w:rFonts w:hint="eastAsia" w:ascii="仿宋" w:hAnsi="仿宋" w:eastAsia="仿宋" w:cs="仿宋"/>
          <w:b/>
          <w:bCs/>
          <w:color w:val="auto"/>
          <w:kern w:val="44"/>
          <w:sz w:val="30"/>
          <w:szCs w:val="30"/>
        </w:rPr>
        <w:t>报名登记表</w:t>
      </w:r>
    </w:p>
    <w:tbl>
      <w:tblPr>
        <w:tblStyle w:val="32"/>
        <w:tblW w:w="0" w:type="auto"/>
        <w:tblInd w:w="0" w:type="dxa"/>
        <w:tblLayout w:type="fixed"/>
        <w:tblCellMar>
          <w:top w:w="15" w:type="dxa"/>
          <w:left w:w="15" w:type="dxa"/>
          <w:bottom w:w="15" w:type="dxa"/>
          <w:right w:w="15" w:type="dxa"/>
        </w:tblCellMar>
      </w:tblPr>
      <w:tblGrid>
        <w:gridCol w:w="2590"/>
        <w:gridCol w:w="7022"/>
      </w:tblGrid>
      <w:tr w14:paraId="1D054721">
        <w:tblPrEx>
          <w:tblCellMar>
            <w:top w:w="15" w:type="dxa"/>
            <w:left w:w="15" w:type="dxa"/>
            <w:bottom w:w="15" w:type="dxa"/>
            <w:right w:w="15" w:type="dxa"/>
          </w:tblCellMar>
        </w:tblPrEx>
        <w:trPr>
          <w:trHeight w:val="605" w:hRule="atLeast"/>
        </w:trPr>
        <w:tc>
          <w:tcPr>
            <w:tcW w:w="2590" w:type="dxa"/>
            <w:tcBorders>
              <w:top w:val="single" w:color="auto" w:sz="4" w:space="0"/>
              <w:left w:val="single" w:color="auto" w:sz="4" w:space="0"/>
              <w:bottom w:val="single" w:color="auto" w:sz="4" w:space="0"/>
              <w:right w:val="single" w:color="auto" w:sz="4" w:space="0"/>
            </w:tcBorders>
            <w:noWrap w:val="0"/>
            <w:vAlign w:val="center"/>
          </w:tcPr>
          <w:p w14:paraId="34A4B99A">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项目编号(必填）</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059105DE">
            <w:pPr>
              <w:widowControl/>
              <w:spacing w:line="360" w:lineRule="auto"/>
              <w:jc w:val="left"/>
              <w:textAlignment w:val="center"/>
              <w:rPr>
                <w:rFonts w:hint="eastAsia" w:ascii="仿宋" w:hAnsi="仿宋" w:eastAsia="仿宋" w:cs="仿宋"/>
                <w:color w:val="auto"/>
                <w:kern w:val="0"/>
                <w:sz w:val="24"/>
                <w:lang w:bidi="ar"/>
              </w:rPr>
            </w:pPr>
          </w:p>
        </w:tc>
      </w:tr>
      <w:tr w14:paraId="4376FCFD">
        <w:tblPrEx>
          <w:tblCellMar>
            <w:top w:w="15" w:type="dxa"/>
            <w:left w:w="15" w:type="dxa"/>
            <w:bottom w:w="15" w:type="dxa"/>
            <w:right w:w="15" w:type="dxa"/>
          </w:tblCellMar>
        </w:tblPrEx>
        <w:trPr>
          <w:trHeight w:val="635" w:hRule="atLeast"/>
        </w:trPr>
        <w:tc>
          <w:tcPr>
            <w:tcW w:w="2590" w:type="dxa"/>
            <w:tcBorders>
              <w:top w:val="single" w:color="auto" w:sz="4" w:space="0"/>
              <w:left w:val="single" w:color="auto" w:sz="4" w:space="0"/>
              <w:bottom w:val="single" w:color="000000" w:sz="4" w:space="0"/>
              <w:right w:val="single" w:color="auto" w:sz="4" w:space="0"/>
            </w:tcBorders>
            <w:noWrap w:val="0"/>
            <w:vAlign w:val="center"/>
          </w:tcPr>
          <w:p w14:paraId="31B91B6E">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项目名称(必填）</w:t>
            </w:r>
          </w:p>
        </w:tc>
        <w:tc>
          <w:tcPr>
            <w:tcW w:w="7022" w:type="dxa"/>
            <w:tcBorders>
              <w:top w:val="single" w:color="auto" w:sz="4" w:space="0"/>
              <w:left w:val="single" w:color="auto" w:sz="4" w:space="0"/>
              <w:bottom w:val="single" w:color="000000" w:sz="4" w:space="0"/>
              <w:right w:val="single" w:color="auto" w:sz="4" w:space="0"/>
            </w:tcBorders>
            <w:noWrap w:val="0"/>
            <w:vAlign w:val="center"/>
          </w:tcPr>
          <w:p w14:paraId="36A581C0">
            <w:pPr>
              <w:widowControl/>
              <w:spacing w:line="360" w:lineRule="auto"/>
              <w:jc w:val="left"/>
              <w:textAlignment w:val="center"/>
              <w:rPr>
                <w:rFonts w:hint="eastAsia" w:ascii="仿宋" w:hAnsi="仿宋" w:eastAsia="仿宋" w:cs="仿宋"/>
                <w:color w:val="auto"/>
                <w:kern w:val="0"/>
                <w:sz w:val="24"/>
                <w:lang w:bidi="ar"/>
              </w:rPr>
            </w:pPr>
          </w:p>
        </w:tc>
      </w:tr>
      <w:tr w14:paraId="6B40ED9C">
        <w:tblPrEx>
          <w:tblCellMar>
            <w:top w:w="15" w:type="dxa"/>
            <w:left w:w="15" w:type="dxa"/>
            <w:bottom w:w="15" w:type="dxa"/>
            <w:right w:w="15" w:type="dxa"/>
          </w:tblCellMar>
        </w:tblPrEx>
        <w:trPr>
          <w:trHeight w:val="635" w:hRule="atLeast"/>
        </w:trPr>
        <w:tc>
          <w:tcPr>
            <w:tcW w:w="2590" w:type="dxa"/>
            <w:tcBorders>
              <w:top w:val="single" w:color="auto" w:sz="4" w:space="0"/>
              <w:left w:val="single" w:color="auto" w:sz="4" w:space="0"/>
              <w:bottom w:val="single" w:color="000000" w:sz="4" w:space="0"/>
              <w:right w:val="single" w:color="auto" w:sz="4" w:space="0"/>
            </w:tcBorders>
            <w:noWrap w:val="0"/>
            <w:vAlign w:val="center"/>
          </w:tcPr>
          <w:p w14:paraId="5A4F7747">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包       号</w:t>
            </w:r>
          </w:p>
        </w:tc>
        <w:tc>
          <w:tcPr>
            <w:tcW w:w="7022" w:type="dxa"/>
            <w:tcBorders>
              <w:top w:val="single" w:color="auto" w:sz="4" w:space="0"/>
              <w:left w:val="single" w:color="auto" w:sz="4" w:space="0"/>
              <w:bottom w:val="single" w:color="000000" w:sz="4" w:space="0"/>
              <w:right w:val="single" w:color="auto" w:sz="4" w:space="0"/>
            </w:tcBorders>
            <w:noWrap w:val="0"/>
            <w:vAlign w:val="center"/>
          </w:tcPr>
          <w:p w14:paraId="1BE01F85">
            <w:pPr>
              <w:widowControl/>
              <w:spacing w:line="360" w:lineRule="auto"/>
              <w:jc w:val="left"/>
              <w:textAlignment w:val="center"/>
              <w:rPr>
                <w:rFonts w:hint="eastAsia" w:ascii="仿宋" w:hAnsi="仿宋" w:eastAsia="仿宋" w:cs="仿宋"/>
                <w:color w:val="auto"/>
                <w:kern w:val="0"/>
                <w:sz w:val="24"/>
                <w:lang w:bidi="ar"/>
              </w:rPr>
            </w:pPr>
          </w:p>
        </w:tc>
      </w:tr>
      <w:tr w14:paraId="57A670ED">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auto" w:sz="4" w:space="0"/>
            </w:tcBorders>
            <w:noWrap w:val="0"/>
            <w:vAlign w:val="center"/>
          </w:tcPr>
          <w:p w14:paraId="64273AF9">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单位名称(必填）</w:t>
            </w:r>
          </w:p>
        </w:tc>
        <w:tc>
          <w:tcPr>
            <w:tcW w:w="7022" w:type="dxa"/>
            <w:tcBorders>
              <w:top w:val="single" w:color="000000" w:sz="4" w:space="0"/>
              <w:left w:val="single" w:color="auto" w:sz="4" w:space="0"/>
              <w:bottom w:val="single" w:color="000000" w:sz="4" w:space="0"/>
              <w:right w:val="single" w:color="000000" w:sz="4" w:space="0"/>
            </w:tcBorders>
            <w:noWrap w:val="0"/>
            <w:vAlign w:val="center"/>
          </w:tcPr>
          <w:p w14:paraId="000C5470">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                                             （加盖公章）</w:t>
            </w:r>
          </w:p>
        </w:tc>
      </w:tr>
      <w:tr w14:paraId="38F46C06">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14:paraId="7077019D">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单位地址(必填）</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14:paraId="1755E45B">
            <w:pPr>
              <w:spacing w:line="360" w:lineRule="auto"/>
              <w:rPr>
                <w:rFonts w:hint="eastAsia" w:ascii="仿宋" w:hAnsi="仿宋" w:eastAsia="仿宋" w:cs="仿宋"/>
                <w:color w:val="auto"/>
                <w:sz w:val="24"/>
              </w:rPr>
            </w:pPr>
          </w:p>
        </w:tc>
      </w:tr>
      <w:tr w14:paraId="31F1EC7D">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14:paraId="5F530C97">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购买文件时间(必填）</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14:paraId="2B110837">
            <w:pPr>
              <w:spacing w:line="360" w:lineRule="auto"/>
              <w:rPr>
                <w:rFonts w:hint="eastAsia" w:ascii="仿宋" w:hAnsi="仿宋" w:eastAsia="仿宋" w:cs="仿宋"/>
                <w:color w:val="auto"/>
                <w:sz w:val="24"/>
              </w:rPr>
            </w:pPr>
          </w:p>
        </w:tc>
      </w:tr>
      <w:tr w14:paraId="58DD2222">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14:paraId="0F81EDFC">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联系人(必填）</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14:paraId="06DB1933">
            <w:pPr>
              <w:spacing w:line="360" w:lineRule="auto"/>
              <w:rPr>
                <w:rFonts w:hint="eastAsia" w:ascii="仿宋" w:hAnsi="仿宋" w:eastAsia="仿宋" w:cs="仿宋"/>
                <w:color w:val="auto"/>
                <w:sz w:val="24"/>
              </w:rPr>
            </w:pPr>
          </w:p>
        </w:tc>
      </w:tr>
      <w:tr w14:paraId="4D731F4A">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14:paraId="1D65E06C">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单位固定电话</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14:paraId="642FA23A">
            <w:pPr>
              <w:spacing w:line="360" w:lineRule="auto"/>
              <w:rPr>
                <w:rFonts w:hint="eastAsia" w:ascii="仿宋" w:hAnsi="仿宋" w:eastAsia="仿宋" w:cs="仿宋"/>
                <w:color w:val="auto"/>
                <w:sz w:val="24"/>
              </w:rPr>
            </w:pPr>
          </w:p>
        </w:tc>
      </w:tr>
      <w:tr w14:paraId="561006FD">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14:paraId="3953C04C">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经办人移动电话(必填）</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14:paraId="2C34B841">
            <w:pPr>
              <w:spacing w:line="360" w:lineRule="auto"/>
              <w:rPr>
                <w:rFonts w:hint="eastAsia" w:ascii="仿宋" w:hAnsi="仿宋" w:eastAsia="仿宋" w:cs="仿宋"/>
                <w:color w:val="auto"/>
                <w:sz w:val="24"/>
              </w:rPr>
            </w:pPr>
          </w:p>
        </w:tc>
      </w:tr>
      <w:tr w14:paraId="29DA82EB">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14:paraId="74BE9A70">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单位传真</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14:paraId="3E88581A">
            <w:pPr>
              <w:spacing w:line="360" w:lineRule="auto"/>
              <w:rPr>
                <w:rFonts w:hint="eastAsia" w:ascii="仿宋" w:hAnsi="仿宋" w:eastAsia="仿宋" w:cs="仿宋"/>
                <w:color w:val="auto"/>
                <w:sz w:val="24"/>
              </w:rPr>
            </w:pPr>
          </w:p>
        </w:tc>
      </w:tr>
      <w:tr w14:paraId="412EADCE">
        <w:tblPrEx>
          <w:tblCellMar>
            <w:top w:w="15" w:type="dxa"/>
            <w:left w:w="15" w:type="dxa"/>
            <w:bottom w:w="15" w:type="dxa"/>
            <w:right w:w="15" w:type="dxa"/>
          </w:tblCellMar>
        </w:tblPrEx>
        <w:trPr>
          <w:trHeight w:val="66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14:paraId="62799A40">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电子邮箱(必填）</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14:paraId="0DE959D8">
            <w:pPr>
              <w:spacing w:line="360" w:lineRule="auto"/>
              <w:rPr>
                <w:rFonts w:hint="eastAsia" w:ascii="仿宋" w:hAnsi="仿宋" w:eastAsia="仿宋" w:cs="仿宋"/>
                <w:color w:val="auto"/>
                <w:sz w:val="24"/>
              </w:rPr>
            </w:pPr>
          </w:p>
        </w:tc>
      </w:tr>
      <w:tr w14:paraId="0838D7FA">
        <w:tblPrEx>
          <w:tblCellMar>
            <w:top w:w="15" w:type="dxa"/>
            <w:left w:w="15" w:type="dxa"/>
            <w:bottom w:w="15" w:type="dxa"/>
            <w:right w:w="15" w:type="dxa"/>
          </w:tblCellMar>
        </w:tblPrEx>
        <w:trPr>
          <w:trHeight w:val="61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14:paraId="2AB7D3D9">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备    注</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14:paraId="2584A72A">
            <w:pPr>
              <w:spacing w:line="360" w:lineRule="auto"/>
              <w:rPr>
                <w:rFonts w:hint="eastAsia" w:ascii="仿宋" w:hAnsi="仿宋" w:eastAsia="仿宋" w:cs="仿宋"/>
                <w:color w:val="auto"/>
                <w:sz w:val="24"/>
              </w:rPr>
            </w:pPr>
          </w:p>
        </w:tc>
      </w:tr>
    </w:tbl>
    <w:p w14:paraId="70BBA342">
      <w:pPr>
        <w:spacing w:line="360" w:lineRule="auto"/>
        <w:jc w:val="center"/>
        <w:outlineLvl w:val="9"/>
        <w:rPr>
          <w:rFonts w:hint="eastAsia" w:ascii="仿宋" w:hAnsi="仿宋" w:eastAsia="仿宋" w:cs="仿宋"/>
          <w:b/>
          <w:bCs/>
          <w:color w:val="auto"/>
          <w:kern w:val="44"/>
          <w:sz w:val="30"/>
          <w:szCs w:val="30"/>
        </w:rPr>
      </w:pPr>
    </w:p>
    <w:p w14:paraId="5A1C858B">
      <w:pPr>
        <w:pStyle w:val="3"/>
        <w:rPr>
          <w:color w:val="auto"/>
          <w:lang w:val="en-US" w:eastAsia="zh-CN"/>
        </w:rPr>
      </w:pPr>
    </w:p>
    <w:sectPr>
      <w:footerReference r:id="rId16" w:type="default"/>
      <w:pgSz w:w="11906" w:h="16838"/>
      <w:pgMar w:top="1417" w:right="1134" w:bottom="1417" w:left="1134"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E8170">
    <w:pPr>
      <w:pStyle w:val="18"/>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C53D4">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1C53D4">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35344">
    <w:pPr>
      <w:pStyle w:val="18"/>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5B1DB">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55B1DB">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FD827">
    <w:pPr>
      <w:pStyle w:val="22"/>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EF4AC">
                          <w:pPr>
                            <w:pStyle w:val="2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B2EF4AC">
                    <w:pPr>
                      <w:pStyle w:val="2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18FC9">
    <w:pPr>
      <w:pStyle w:val="22"/>
      <w:jc w:val="center"/>
      <w:rPr>
        <w:rFonts w:ascii="宋体" w:hAnsi="宋体"/>
        <w:sz w:val="32"/>
        <w:szCs w:val="32"/>
      </w:rPr>
    </w:pPr>
    <w:r>
      <w:rPr>
        <w:sz w:val="3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03744">
                          <w:pPr>
                            <w:pStyle w:val="2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6B03744">
                    <w:pPr>
                      <w:pStyle w:val="22"/>
                    </w:pPr>
                    <w:r>
                      <w:fldChar w:fldCharType="begin"/>
                    </w:r>
                    <w:r>
                      <w:instrText xml:space="preserve"> PAGE  \* MERGEFORMAT </w:instrText>
                    </w:r>
                    <w:r>
                      <w:fldChar w:fldCharType="separate"/>
                    </w:r>
                    <w:r>
                      <w:t>19</w:t>
                    </w:r>
                    <w:r>
                      <w:fldChar w:fldCharType="end"/>
                    </w:r>
                  </w:p>
                </w:txbxContent>
              </v:textbox>
            </v:shape>
          </w:pict>
        </mc:Fallback>
      </mc:AlternateContent>
    </w:r>
  </w:p>
  <w:p w14:paraId="29EDA5B3">
    <w:pPr>
      <w:pStyle w:val="22"/>
      <w:jc w:val="center"/>
      <w:rPr>
        <w:rFonts w:ascii="宋体" w:hAnsi="宋体"/>
        <w:sz w:val="32"/>
        <w:szCs w:val="3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3B996">
    <w:pPr>
      <w:pStyle w:val="22"/>
      <w:jc w:val="center"/>
      <w:rPr>
        <w:rFonts w:ascii="宋体" w:hAnsi="宋体"/>
        <w:sz w:val="32"/>
        <w:szCs w:val="32"/>
      </w:rPr>
    </w:pPr>
    <w:r>
      <w:rPr>
        <w:sz w:val="3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3D380">
                          <w:pPr>
                            <w:pStyle w:val="2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3A3D380">
                    <w:pPr>
                      <w:pStyle w:val="22"/>
                    </w:pPr>
                    <w:r>
                      <w:fldChar w:fldCharType="begin"/>
                    </w:r>
                    <w:r>
                      <w:instrText xml:space="preserve"> PAGE  \* MERGEFORMAT </w:instrText>
                    </w:r>
                    <w:r>
                      <w:fldChar w:fldCharType="separate"/>
                    </w:r>
                    <w:r>
                      <w:t>21</w:t>
                    </w:r>
                    <w:r>
                      <w:fldChar w:fldCharType="end"/>
                    </w:r>
                  </w:p>
                </w:txbxContent>
              </v:textbox>
            </v:shape>
          </w:pict>
        </mc:Fallback>
      </mc:AlternateContent>
    </w:r>
  </w:p>
  <w:p w14:paraId="0A86D0E7">
    <w:pPr>
      <w:pStyle w:val="22"/>
      <w:jc w:val="center"/>
      <w:rPr>
        <w:rFonts w:ascii="宋体" w:hAnsi="宋体"/>
        <w:sz w:val="32"/>
        <w:szCs w:val="3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1BA1C">
    <w:pPr>
      <w:pStyle w:val="22"/>
      <w:jc w:val="center"/>
      <w:rPr>
        <w:rFonts w:ascii="宋体" w:hAnsi="宋体"/>
        <w:sz w:val="32"/>
        <w:szCs w:val="32"/>
      </w:rPr>
    </w:pPr>
    <w:r>
      <w:rPr>
        <w:sz w:val="3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FF335">
                          <w:pPr>
                            <w:pStyle w:val="2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79FF335">
                    <w:pPr>
                      <w:pStyle w:val="2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5587E">
    <w:pPr>
      <w:pStyle w:val="18"/>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9E8B1">
                          <w:pPr>
                            <w:pStyle w:val="2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A59E8B1">
                    <w:pPr>
                      <w:pStyle w:val="2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2A70A">
    <w:pPr>
      <w:pStyle w:val="22"/>
      <w:jc w:val="center"/>
      <w:rPr>
        <w:rFonts w:ascii="宋体" w:hAnsi="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01977">
                          <w:pPr>
                            <w:pStyle w:val="2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3901977">
                    <w:pPr>
                      <w:pStyle w:val="2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F5D16">
    <w:pPr>
      <w:pStyle w:val="19"/>
      <w:tabs>
        <w:tab w:val="left" w:pos="119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189E3">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2DE2C">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EA6A1">
    <w:pPr>
      <w:pStyle w:val="19"/>
    </w:pPr>
    <w:r>
      <w:pict>
        <v:shape id="PowerPlusWaterMarkObject29847924" o:spid="_x0000_s2052" o:spt="136" type="#_x0000_t136" style="position:absolute;left:0pt;height:45pt;width:540.3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融汇项目管理股份有限公司" style="font-family:楷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CF480"/>
    <w:multiLevelType w:val="singleLevel"/>
    <w:tmpl w:val="817CF480"/>
    <w:lvl w:ilvl="0" w:tentative="0">
      <w:start w:val="1"/>
      <w:numFmt w:val="decimal"/>
      <w:suff w:val="nothing"/>
      <w:lvlText w:val="%1、"/>
      <w:lvlJc w:val="left"/>
      <w:pPr>
        <w:ind w:left="0" w:firstLine="420"/>
      </w:pPr>
      <w:rPr>
        <w:rFonts w:hint="default"/>
      </w:rPr>
    </w:lvl>
  </w:abstractNum>
  <w:abstractNum w:abstractNumId="1">
    <w:nsid w:val="F4A60F4E"/>
    <w:multiLevelType w:val="singleLevel"/>
    <w:tmpl w:val="F4A60F4E"/>
    <w:lvl w:ilvl="0" w:tentative="0">
      <w:start w:val="2"/>
      <w:numFmt w:val="chineseCounting"/>
      <w:suff w:val="nothing"/>
      <w:lvlText w:val="%1、"/>
      <w:lvlJc w:val="left"/>
      <w:rPr>
        <w:rFonts w:hint="eastAsia"/>
      </w:rPr>
    </w:lvl>
  </w:abstractNum>
  <w:abstractNum w:abstractNumId="2">
    <w:nsid w:val="0BE56172"/>
    <w:multiLevelType w:val="singleLevel"/>
    <w:tmpl w:val="0BE56172"/>
    <w:lvl w:ilvl="0" w:tentative="0">
      <w:start w:val="2"/>
      <w:numFmt w:val="chineseCounting"/>
      <w:suff w:val="nothing"/>
      <w:lvlText w:val="%1、"/>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42C196D"/>
    <w:multiLevelType w:val="singleLevel"/>
    <w:tmpl w:val="542C196D"/>
    <w:lvl w:ilvl="0" w:tentative="0">
      <w:start w:val="2"/>
      <w:numFmt w:val="decimal"/>
      <w:suff w:val="nothing"/>
      <w:lvlText w:val="（%1）"/>
      <w:lvlJc w:val="left"/>
    </w:lvl>
  </w:abstractNum>
  <w:abstractNum w:abstractNumId="5">
    <w:nsid w:val="6329159B"/>
    <w:multiLevelType w:val="singleLevel"/>
    <w:tmpl w:val="6329159B"/>
    <w:lvl w:ilvl="0" w:tentative="0">
      <w:start w:val="2"/>
      <w:numFmt w:val="decimal"/>
      <w:suff w:val="space"/>
      <w:lvlText w:val="%1."/>
      <w:lvlJc w:val="left"/>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evenAndOddHeaders w:val="1"/>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1NTQyOTM3MzFhNGE2ZmJjOTYyNjJjMzU1MzMxNTYifQ=="/>
  </w:docVars>
  <w:rsids>
    <w:rsidRoot w:val="007A683D"/>
    <w:rsid w:val="00007AD8"/>
    <w:rsid w:val="00012A56"/>
    <w:rsid w:val="00017150"/>
    <w:rsid w:val="00021B1D"/>
    <w:rsid w:val="00021C4C"/>
    <w:rsid w:val="00022E18"/>
    <w:rsid w:val="00024C80"/>
    <w:rsid w:val="00026152"/>
    <w:rsid w:val="00031B04"/>
    <w:rsid w:val="00036751"/>
    <w:rsid w:val="00036EEF"/>
    <w:rsid w:val="00045C4B"/>
    <w:rsid w:val="00062AA7"/>
    <w:rsid w:val="00063307"/>
    <w:rsid w:val="00064C52"/>
    <w:rsid w:val="000705EB"/>
    <w:rsid w:val="0007204F"/>
    <w:rsid w:val="000758D2"/>
    <w:rsid w:val="00075C5E"/>
    <w:rsid w:val="000760E2"/>
    <w:rsid w:val="00081855"/>
    <w:rsid w:val="0008318E"/>
    <w:rsid w:val="00085707"/>
    <w:rsid w:val="000862E6"/>
    <w:rsid w:val="00086EBF"/>
    <w:rsid w:val="00090B42"/>
    <w:rsid w:val="000912B1"/>
    <w:rsid w:val="00091BAB"/>
    <w:rsid w:val="00093327"/>
    <w:rsid w:val="00095107"/>
    <w:rsid w:val="000965E1"/>
    <w:rsid w:val="000A1509"/>
    <w:rsid w:val="000A246A"/>
    <w:rsid w:val="000A2A8E"/>
    <w:rsid w:val="000A3DA2"/>
    <w:rsid w:val="000A70F2"/>
    <w:rsid w:val="000B06F1"/>
    <w:rsid w:val="000B4220"/>
    <w:rsid w:val="000C297C"/>
    <w:rsid w:val="000C6FE5"/>
    <w:rsid w:val="000D22E0"/>
    <w:rsid w:val="000D717B"/>
    <w:rsid w:val="000E0386"/>
    <w:rsid w:val="000E45B0"/>
    <w:rsid w:val="000F2AC0"/>
    <w:rsid w:val="000F5D44"/>
    <w:rsid w:val="000F7505"/>
    <w:rsid w:val="00105C23"/>
    <w:rsid w:val="001068FD"/>
    <w:rsid w:val="00114138"/>
    <w:rsid w:val="001157EF"/>
    <w:rsid w:val="001169EC"/>
    <w:rsid w:val="001300AD"/>
    <w:rsid w:val="00131347"/>
    <w:rsid w:val="001324D0"/>
    <w:rsid w:val="0014031B"/>
    <w:rsid w:val="001406AF"/>
    <w:rsid w:val="001433C3"/>
    <w:rsid w:val="001542E8"/>
    <w:rsid w:val="001635E5"/>
    <w:rsid w:val="0017673A"/>
    <w:rsid w:val="00177C67"/>
    <w:rsid w:val="00181D0E"/>
    <w:rsid w:val="0019056C"/>
    <w:rsid w:val="00190666"/>
    <w:rsid w:val="00190F28"/>
    <w:rsid w:val="0019289D"/>
    <w:rsid w:val="00194D30"/>
    <w:rsid w:val="00194FCB"/>
    <w:rsid w:val="00197444"/>
    <w:rsid w:val="001A34F3"/>
    <w:rsid w:val="001A6131"/>
    <w:rsid w:val="001B171B"/>
    <w:rsid w:val="001B1735"/>
    <w:rsid w:val="001B3EC5"/>
    <w:rsid w:val="001C03A0"/>
    <w:rsid w:val="001C6ECA"/>
    <w:rsid w:val="001D4748"/>
    <w:rsid w:val="001D4C75"/>
    <w:rsid w:val="001E69D8"/>
    <w:rsid w:val="001E7DDD"/>
    <w:rsid w:val="001F7393"/>
    <w:rsid w:val="0020039F"/>
    <w:rsid w:val="002015BB"/>
    <w:rsid w:val="00202A19"/>
    <w:rsid w:val="00203A74"/>
    <w:rsid w:val="00210927"/>
    <w:rsid w:val="00211A8E"/>
    <w:rsid w:val="002120E1"/>
    <w:rsid w:val="002129B6"/>
    <w:rsid w:val="00212B0D"/>
    <w:rsid w:val="0021461E"/>
    <w:rsid w:val="00216109"/>
    <w:rsid w:val="0022001E"/>
    <w:rsid w:val="00227396"/>
    <w:rsid w:val="00233604"/>
    <w:rsid w:val="002345F1"/>
    <w:rsid w:val="0024580E"/>
    <w:rsid w:val="0025049D"/>
    <w:rsid w:val="002521B9"/>
    <w:rsid w:val="0026326B"/>
    <w:rsid w:val="002636ED"/>
    <w:rsid w:val="00266675"/>
    <w:rsid w:val="002703ED"/>
    <w:rsid w:val="00271C8C"/>
    <w:rsid w:val="00272A8F"/>
    <w:rsid w:val="0027797C"/>
    <w:rsid w:val="0028498F"/>
    <w:rsid w:val="00287A32"/>
    <w:rsid w:val="002967CE"/>
    <w:rsid w:val="00297E79"/>
    <w:rsid w:val="002A1713"/>
    <w:rsid w:val="002A3283"/>
    <w:rsid w:val="002B0731"/>
    <w:rsid w:val="002B1E39"/>
    <w:rsid w:val="002B2897"/>
    <w:rsid w:val="002B3F90"/>
    <w:rsid w:val="002B734E"/>
    <w:rsid w:val="002D042C"/>
    <w:rsid w:val="002E328B"/>
    <w:rsid w:val="002E4062"/>
    <w:rsid w:val="002F560B"/>
    <w:rsid w:val="00306B0F"/>
    <w:rsid w:val="003070DB"/>
    <w:rsid w:val="00307829"/>
    <w:rsid w:val="00313703"/>
    <w:rsid w:val="00314A71"/>
    <w:rsid w:val="00315847"/>
    <w:rsid w:val="00316EB4"/>
    <w:rsid w:val="003216FA"/>
    <w:rsid w:val="003226A5"/>
    <w:rsid w:val="003300C6"/>
    <w:rsid w:val="003300EE"/>
    <w:rsid w:val="00330FC4"/>
    <w:rsid w:val="003354C8"/>
    <w:rsid w:val="00336716"/>
    <w:rsid w:val="00336DCD"/>
    <w:rsid w:val="003429E1"/>
    <w:rsid w:val="00346B52"/>
    <w:rsid w:val="00347D55"/>
    <w:rsid w:val="003579AD"/>
    <w:rsid w:val="00363398"/>
    <w:rsid w:val="00364018"/>
    <w:rsid w:val="0036414E"/>
    <w:rsid w:val="003651A1"/>
    <w:rsid w:val="00367B8E"/>
    <w:rsid w:val="00370B3A"/>
    <w:rsid w:val="00371874"/>
    <w:rsid w:val="003738E0"/>
    <w:rsid w:val="0038377D"/>
    <w:rsid w:val="00390C82"/>
    <w:rsid w:val="00394D48"/>
    <w:rsid w:val="00397CB0"/>
    <w:rsid w:val="003A32A6"/>
    <w:rsid w:val="003A6A7E"/>
    <w:rsid w:val="003B6EF5"/>
    <w:rsid w:val="003C6641"/>
    <w:rsid w:val="003D034C"/>
    <w:rsid w:val="003D09DE"/>
    <w:rsid w:val="003D2186"/>
    <w:rsid w:val="003D516F"/>
    <w:rsid w:val="003D580A"/>
    <w:rsid w:val="003E15DF"/>
    <w:rsid w:val="003E1ABC"/>
    <w:rsid w:val="003E2C00"/>
    <w:rsid w:val="003F5915"/>
    <w:rsid w:val="003F5949"/>
    <w:rsid w:val="00414E18"/>
    <w:rsid w:val="00415F60"/>
    <w:rsid w:val="004320FD"/>
    <w:rsid w:val="004332AE"/>
    <w:rsid w:val="0043390D"/>
    <w:rsid w:val="00434342"/>
    <w:rsid w:val="00437902"/>
    <w:rsid w:val="004445E7"/>
    <w:rsid w:val="00445E84"/>
    <w:rsid w:val="004476A3"/>
    <w:rsid w:val="00447BA7"/>
    <w:rsid w:val="00447FF1"/>
    <w:rsid w:val="00450051"/>
    <w:rsid w:val="0045177D"/>
    <w:rsid w:val="00455664"/>
    <w:rsid w:val="004557B0"/>
    <w:rsid w:val="00460537"/>
    <w:rsid w:val="0047278C"/>
    <w:rsid w:val="00477112"/>
    <w:rsid w:val="00482AB7"/>
    <w:rsid w:val="004836E9"/>
    <w:rsid w:val="00490A5C"/>
    <w:rsid w:val="00494396"/>
    <w:rsid w:val="004A30DB"/>
    <w:rsid w:val="004A4405"/>
    <w:rsid w:val="004B0037"/>
    <w:rsid w:val="004B30A1"/>
    <w:rsid w:val="004B4A5A"/>
    <w:rsid w:val="004C286F"/>
    <w:rsid w:val="004C42FC"/>
    <w:rsid w:val="004D1906"/>
    <w:rsid w:val="004D491F"/>
    <w:rsid w:val="004E26F0"/>
    <w:rsid w:val="004E4B68"/>
    <w:rsid w:val="004E4E93"/>
    <w:rsid w:val="004E5DA0"/>
    <w:rsid w:val="004E70D5"/>
    <w:rsid w:val="004E7D88"/>
    <w:rsid w:val="004F136E"/>
    <w:rsid w:val="004F5CFF"/>
    <w:rsid w:val="004F63AD"/>
    <w:rsid w:val="0050268B"/>
    <w:rsid w:val="00503DB5"/>
    <w:rsid w:val="00505466"/>
    <w:rsid w:val="00506C10"/>
    <w:rsid w:val="00507FA7"/>
    <w:rsid w:val="00515D1A"/>
    <w:rsid w:val="00516CD7"/>
    <w:rsid w:val="00517349"/>
    <w:rsid w:val="005212C2"/>
    <w:rsid w:val="00522C34"/>
    <w:rsid w:val="00532CAA"/>
    <w:rsid w:val="00535A0F"/>
    <w:rsid w:val="00541B63"/>
    <w:rsid w:val="00542838"/>
    <w:rsid w:val="00543FF9"/>
    <w:rsid w:val="0054671A"/>
    <w:rsid w:val="00550AED"/>
    <w:rsid w:val="00551D4E"/>
    <w:rsid w:val="00553CAF"/>
    <w:rsid w:val="00556240"/>
    <w:rsid w:val="00561BDA"/>
    <w:rsid w:val="00562C92"/>
    <w:rsid w:val="005717CE"/>
    <w:rsid w:val="00572826"/>
    <w:rsid w:val="00575FAE"/>
    <w:rsid w:val="00576A9F"/>
    <w:rsid w:val="00584A71"/>
    <w:rsid w:val="00586BFF"/>
    <w:rsid w:val="0059308F"/>
    <w:rsid w:val="005962C4"/>
    <w:rsid w:val="005A0D9D"/>
    <w:rsid w:val="005A3B30"/>
    <w:rsid w:val="005A5D20"/>
    <w:rsid w:val="005B2A38"/>
    <w:rsid w:val="005C3468"/>
    <w:rsid w:val="005C5F85"/>
    <w:rsid w:val="005C751B"/>
    <w:rsid w:val="005C7DD5"/>
    <w:rsid w:val="005D12A5"/>
    <w:rsid w:val="005D2D57"/>
    <w:rsid w:val="005D3A0A"/>
    <w:rsid w:val="005D7308"/>
    <w:rsid w:val="005E112B"/>
    <w:rsid w:val="005E3F52"/>
    <w:rsid w:val="005E6359"/>
    <w:rsid w:val="005F1F0E"/>
    <w:rsid w:val="005F36DC"/>
    <w:rsid w:val="006004BC"/>
    <w:rsid w:val="00612AFF"/>
    <w:rsid w:val="00613C32"/>
    <w:rsid w:val="00614A60"/>
    <w:rsid w:val="00614DC0"/>
    <w:rsid w:val="00621550"/>
    <w:rsid w:val="00623D31"/>
    <w:rsid w:val="006243C6"/>
    <w:rsid w:val="00626E40"/>
    <w:rsid w:val="006310EB"/>
    <w:rsid w:val="00632B8B"/>
    <w:rsid w:val="00634438"/>
    <w:rsid w:val="00634B10"/>
    <w:rsid w:val="006363E3"/>
    <w:rsid w:val="00636410"/>
    <w:rsid w:val="00640A83"/>
    <w:rsid w:val="006765FE"/>
    <w:rsid w:val="00680D58"/>
    <w:rsid w:val="0068412C"/>
    <w:rsid w:val="00685341"/>
    <w:rsid w:val="006853DD"/>
    <w:rsid w:val="00690CCA"/>
    <w:rsid w:val="00694597"/>
    <w:rsid w:val="00697C2D"/>
    <w:rsid w:val="006A2B6C"/>
    <w:rsid w:val="006A4F7D"/>
    <w:rsid w:val="006B1BDD"/>
    <w:rsid w:val="006B4813"/>
    <w:rsid w:val="006B6759"/>
    <w:rsid w:val="006B6A5F"/>
    <w:rsid w:val="006C2AA4"/>
    <w:rsid w:val="006C355C"/>
    <w:rsid w:val="006D01C5"/>
    <w:rsid w:val="006E2549"/>
    <w:rsid w:val="006E6822"/>
    <w:rsid w:val="006E6C64"/>
    <w:rsid w:val="006F1ACB"/>
    <w:rsid w:val="006F2FC8"/>
    <w:rsid w:val="006F62B3"/>
    <w:rsid w:val="006F6F3F"/>
    <w:rsid w:val="007014F1"/>
    <w:rsid w:val="00702FC0"/>
    <w:rsid w:val="00706260"/>
    <w:rsid w:val="0070720E"/>
    <w:rsid w:val="00707412"/>
    <w:rsid w:val="007133A9"/>
    <w:rsid w:val="007171DF"/>
    <w:rsid w:val="00721BDE"/>
    <w:rsid w:val="007237A3"/>
    <w:rsid w:val="007253BB"/>
    <w:rsid w:val="00727510"/>
    <w:rsid w:val="00731235"/>
    <w:rsid w:val="00732A54"/>
    <w:rsid w:val="00732B25"/>
    <w:rsid w:val="007343BC"/>
    <w:rsid w:val="00737C32"/>
    <w:rsid w:val="0075240E"/>
    <w:rsid w:val="0075243C"/>
    <w:rsid w:val="007538F8"/>
    <w:rsid w:val="00760C67"/>
    <w:rsid w:val="007616E7"/>
    <w:rsid w:val="007660CE"/>
    <w:rsid w:val="00767490"/>
    <w:rsid w:val="00771E82"/>
    <w:rsid w:val="00775E7A"/>
    <w:rsid w:val="00790551"/>
    <w:rsid w:val="00792FBE"/>
    <w:rsid w:val="007935F3"/>
    <w:rsid w:val="0079593C"/>
    <w:rsid w:val="007A18B5"/>
    <w:rsid w:val="007A683D"/>
    <w:rsid w:val="007A6B50"/>
    <w:rsid w:val="007A6B90"/>
    <w:rsid w:val="007B008A"/>
    <w:rsid w:val="007B6747"/>
    <w:rsid w:val="007C3D3B"/>
    <w:rsid w:val="007D1567"/>
    <w:rsid w:val="007D7C0B"/>
    <w:rsid w:val="007E2E12"/>
    <w:rsid w:val="007E61D1"/>
    <w:rsid w:val="007F2892"/>
    <w:rsid w:val="007F4B05"/>
    <w:rsid w:val="007F5172"/>
    <w:rsid w:val="00805B8F"/>
    <w:rsid w:val="00807ADB"/>
    <w:rsid w:val="008120D6"/>
    <w:rsid w:val="00813637"/>
    <w:rsid w:val="00814FCC"/>
    <w:rsid w:val="0081533B"/>
    <w:rsid w:val="00815A50"/>
    <w:rsid w:val="00817496"/>
    <w:rsid w:val="00817AAE"/>
    <w:rsid w:val="008244D1"/>
    <w:rsid w:val="00824A1E"/>
    <w:rsid w:val="00827C45"/>
    <w:rsid w:val="00827C4C"/>
    <w:rsid w:val="00827FA3"/>
    <w:rsid w:val="00830EB8"/>
    <w:rsid w:val="00831F9B"/>
    <w:rsid w:val="00835A23"/>
    <w:rsid w:val="00835F45"/>
    <w:rsid w:val="00840853"/>
    <w:rsid w:val="0084215B"/>
    <w:rsid w:val="00842B97"/>
    <w:rsid w:val="00852BD7"/>
    <w:rsid w:val="00855FB8"/>
    <w:rsid w:val="00863884"/>
    <w:rsid w:val="00863FD7"/>
    <w:rsid w:val="00876DBD"/>
    <w:rsid w:val="0088235F"/>
    <w:rsid w:val="00884640"/>
    <w:rsid w:val="0088578D"/>
    <w:rsid w:val="00891C3F"/>
    <w:rsid w:val="0089237C"/>
    <w:rsid w:val="00893DAE"/>
    <w:rsid w:val="00895176"/>
    <w:rsid w:val="008971B7"/>
    <w:rsid w:val="008A2AF9"/>
    <w:rsid w:val="008A4381"/>
    <w:rsid w:val="008B1E46"/>
    <w:rsid w:val="008B43E9"/>
    <w:rsid w:val="008B5C9C"/>
    <w:rsid w:val="008B76DA"/>
    <w:rsid w:val="008C38C4"/>
    <w:rsid w:val="008C429D"/>
    <w:rsid w:val="008C53F6"/>
    <w:rsid w:val="008D5960"/>
    <w:rsid w:val="008D73E9"/>
    <w:rsid w:val="008D7AD6"/>
    <w:rsid w:val="008E489D"/>
    <w:rsid w:val="008E5771"/>
    <w:rsid w:val="008F1DDF"/>
    <w:rsid w:val="008F2830"/>
    <w:rsid w:val="008F7F81"/>
    <w:rsid w:val="009035AC"/>
    <w:rsid w:val="00904A04"/>
    <w:rsid w:val="009069BA"/>
    <w:rsid w:val="00906E67"/>
    <w:rsid w:val="00906EFC"/>
    <w:rsid w:val="00907E27"/>
    <w:rsid w:val="009117FF"/>
    <w:rsid w:val="009158A3"/>
    <w:rsid w:val="009164B3"/>
    <w:rsid w:val="009168D9"/>
    <w:rsid w:val="00916F97"/>
    <w:rsid w:val="009251C5"/>
    <w:rsid w:val="009257B9"/>
    <w:rsid w:val="0094114F"/>
    <w:rsid w:val="00941B36"/>
    <w:rsid w:val="00944128"/>
    <w:rsid w:val="00947BCD"/>
    <w:rsid w:val="00953456"/>
    <w:rsid w:val="00961F6E"/>
    <w:rsid w:val="00964C19"/>
    <w:rsid w:val="00965B2F"/>
    <w:rsid w:val="009662BC"/>
    <w:rsid w:val="009667DB"/>
    <w:rsid w:val="009676AA"/>
    <w:rsid w:val="0097044A"/>
    <w:rsid w:val="009730E1"/>
    <w:rsid w:val="00990D83"/>
    <w:rsid w:val="009916DD"/>
    <w:rsid w:val="00992DFA"/>
    <w:rsid w:val="0099546F"/>
    <w:rsid w:val="00996F31"/>
    <w:rsid w:val="009979FD"/>
    <w:rsid w:val="009B3F19"/>
    <w:rsid w:val="009B7BA3"/>
    <w:rsid w:val="009C613A"/>
    <w:rsid w:val="009D5489"/>
    <w:rsid w:val="009D60C2"/>
    <w:rsid w:val="009E66AF"/>
    <w:rsid w:val="009F0956"/>
    <w:rsid w:val="009F4AFF"/>
    <w:rsid w:val="009F72AD"/>
    <w:rsid w:val="00A01E5C"/>
    <w:rsid w:val="00A02ADE"/>
    <w:rsid w:val="00A0428C"/>
    <w:rsid w:val="00A12466"/>
    <w:rsid w:val="00A12EDC"/>
    <w:rsid w:val="00A20D61"/>
    <w:rsid w:val="00A214F2"/>
    <w:rsid w:val="00A23584"/>
    <w:rsid w:val="00A30A91"/>
    <w:rsid w:val="00A31688"/>
    <w:rsid w:val="00A341B4"/>
    <w:rsid w:val="00A41976"/>
    <w:rsid w:val="00A4315C"/>
    <w:rsid w:val="00A43E09"/>
    <w:rsid w:val="00A44B42"/>
    <w:rsid w:val="00A44C13"/>
    <w:rsid w:val="00A52BBA"/>
    <w:rsid w:val="00A55B4C"/>
    <w:rsid w:val="00A57FAB"/>
    <w:rsid w:val="00A61AC1"/>
    <w:rsid w:val="00A62E6B"/>
    <w:rsid w:val="00A63261"/>
    <w:rsid w:val="00A632E6"/>
    <w:rsid w:val="00A66FE3"/>
    <w:rsid w:val="00A709FD"/>
    <w:rsid w:val="00A73275"/>
    <w:rsid w:val="00A73AA3"/>
    <w:rsid w:val="00A73C7A"/>
    <w:rsid w:val="00A75066"/>
    <w:rsid w:val="00A77BAE"/>
    <w:rsid w:val="00A82D03"/>
    <w:rsid w:val="00A95415"/>
    <w:rsid w:val="00AA1C81"/>
    <w:rsid w:val="00AA3393"/>
    <w:rsid w:val="00AB0302"/>
    <w:rsid w:val="00AB40B8"/>
    <w:rsid w:val="00AB4A53"/>
    <w:rsid w:val="00AB7BF3"/>
    <w:rsid w:val="00AC3E85"/>
    <w:rsid w:val="00AC5321"/>
    <w:rsid w:val="00AD0386"/>
    <w:rsid w:val="00AD08EE"/>
    <w:rsid w:val="00AD0A60"/>
    <w:rsid w:val="00AD40EC"/>
    <w:rsid w:val="00AD76EC"/>
    <w:rsid w:val="00AD7EFA"/>
    <w:rsid w:val="00AE3136"/>
    <w:rsid w:val="00AE5163"/>
    <w:rsid w:val="00AE55DC"/>
    <w:rsid w:val="00AF220B"/>
    <w:rsid w:val="00AF2265"/>
    <w:rsid w:val="00AF5EB2"/>
    <w:rsid w:val="00B018FB"/>
    <w:rsid w:val="00B03C92"/>
    <w:rsid w:val="00B05E15"/>
    <w:rsid w:val="00B06111"/>
    <w:rsid w:val="00B122D1"/>
    <w:rsid w:val="00B1481A"/>
    <w:rsid w:val="00B2007F"/>
    <w:rsid w:val="00B2050E"/>
    <w:rsid w:val="00B238C8"/>
    <w:rsid w:val="00B243DE"/>
    <w:rsid w:val="00B253EC"/>
    <w:rsid w:val="00B27E55"/>
    <w:rsid w:val="00B50900"/>
    <w:rsid w:val="00B5278E"/>
    <w:rsid w:val="00B52A1D"/>
    <w:rsid w:val="00B54097"/>
    <w:rsid w:val="00B57B8A"/>
    <w:rsid w:val="00B66EC8"/>
    <w:rsid w:val="00B67AD7"/>
    <w:rsid w:val="00B80536"/>
    <w:rsid w:val="00B8457B"/>
    <w:rsid w:val="00B849AD"/>
    <w:rsid w:val="00B87940"/>
    <w:rsid w:val="00B919BB"/>
    <w:rsid w:val="00B9202C"/>
    <w:rsid w:val="00B95BF7"/>
    <w:rsid w:val="00B95CB7"/>
    <w:rsid w:val="00B97136"/>
    <w:rsid w:val="00BA1013"/>
    <w:rsid w:val="00BA3C31"/>
    <w:rsid w:val="00BA56EA"/>
    <w:rsid w:val="00BA5A1E"/>
    <w:rsid w:val="00BA6484"/>
    <w:rsid w:val="00BA65C9"/>
    <w:rsid w:val="00BA6D4C"/>
    <w:rsid w:val="00BA6F23"/>
    <w:rsid w:val="00BB3849"/>
    <w:rsid w:val="00BB5969"/>
    <w:rsid w:val="00BC1700"/>
    <w:rsid w:val="00BC2785"/>
    <w:rsid w:val="00BC5BF2"/>
    <w:rsid w:val="00BD577F"/>
    <w:rsid w:val="00BE71D3"/>
    <w:rsid w:val="00BF0229"/>
    <w:rsid w:val="00C01ECC"/>
    <w:rsid w:val="00C049EB"/>
    <w:rsid w:val="00C05CA7"/>
    <w:rsid w:val="00C06829"/>
    <w:rsid w:val="00C07469"/>
    <w:rsid w:val="00C100AD"/>
    <w:rsid w:val="00C16C1B"/>
    <w:rsid w:val="00C21D6F"/>
    <w:rsid w:val="00C251CE"/>
    <w:rsid w:val="00C26A7F"/>
    <w:rsid w:val="00C305BC"/>
    <w:rsid w:val="00C31518"/>
    <w:rsid w:val="00C351E4"/>
    <w:rsid w:val="00C35DF4"/>
    <w:rsid w:val="00C421B6"/>
    <w:rsid w:val="00C5022C"/>
    <w:rsid w:val="00C508C1"/>
    <w:rsid w:val="00C54028"/>
    <w:rsid w:val="00C54267"/>
    <w:rsid w:val="00C573F3"/>
    <w:rsid w:val="00C661DF"/>
    <w:rsid w:val="00C706A8"/>
    <w:rsid w:val="00C71858"/>
    <w:rsid w:val="00C72D09"/>
    <w:rsid w:val="00C82BF6"/>
    <w:rsid w:val="00C8585D"/>
    <w:rsid w:val="00C865EB"/>
    <w:rsid w:val="00CB1E84"/>
    <w:rsid w:val="00CB41D2"/>
    <w:rsid w:val="00CB48DC"/>
    <w:rsid w:val="00CB5F3D"/>
    <w:rsid w:val="00CC5F99"/>
    <w:rsid w:val="00CD23C8"/>
    <w:rsid w:val="00CD3645"/>
    <w:rsid w:val="00CD3D66"/>
    <w:rsid w:val="00CD4105"/>
    <w:rsid w:val="00CE4310"/>
    <w:rsid w:val="00CE4D93"/>
    <w:rsid w:val="00CF14CB"/>
    <w:rsid w:val="00CF1560"/>
    <w:rsid w:val="00CF27A1"/>
    <w:rsid w:val="00CF3CD2"/>
    <w:rsid w:val="00CF6340"/>
    <w:rsid w:val="00D000EC"/>
    <w:rsid w:val="00D01A9B"/>
    <w:rsid w:val="00D03641"/>
    <w:rsid w:val="00D05321"/>
    <w:rsid w:val="00D13549"/>
    <w:rsid w:val="00D2353A"/>
    <w:rsid w:val="00D255E0"/>
    <w:rsid w:val="00D316C7"/>
    <w:rsid w:val="00D3319D"/>
    <w:rsid w:val="00D35E79"/>
    <w:rsid w:val="00D42338"/>
    <w:rsid w:val="00D44067"/>
    <w:rsid w:val="00D4510E"/>
    <w:rsid w:val="00D453B3"/>
    <w:rsid w:val="00D457E7"/>
    <w:rsid w:val="00D51E8E"/>
    <w:rsid w:val="00D52173"/>
    <w:rsid w:val="00D53546"/>
    <w:rsid w:val="00D54975"/>
    <w:rsid w:val="00D575D4"/>
    <w:rsid w:val="00D67157"/>
    <w:rsid w:val="00D7091B"/>
    <w:rsid w:val="00D73B4C"/>
    <w:rsid w:val="00D7441E"/>
    <w:rsid w:val="00D75B9A"/>
    <w:rsid w:val="00D773C7"/>
    <w:rsid w:val="00D805D4"/>
    <w:rsid w:val="00D868C4"/>
    <w:rsid w:val="00D86C20"/>
    <w:rsid w:val="00D90F59"/>
    <w:rsid w:val="00D9692A"/>
    <w:rsid w:val="00DA1E5D"/>
    <w:rsid w:val="00DA4A29"/>
    <w:rsid w:val="00DA51BA"/>
    <w:rsid w:val="00DA6C14"/>
    <w:rsid w:val="00DB3650"/>
    <w:rsid w:val="00DB4800"/>
    <w:rsid w:val="00DB4C3D"/>
    <w:rsid w:val="00DC09C7"/>
    <w:rsid w:val="00DC103C"/>
    <w:rsid w:val="00DC1A76"/>
    <w:rsid w:val="00DC5352"/>
    <w:rsid w:val="00DD2747"/>
    <w:rsid w:val="00DD4C4F"/>
    <w:rsid w:val="00DD5BDA"/>
    <w:rsid w:val="00DD75F5"/>
    <w:rsid w:val="00DE25B3"/>
    <w:rsid w:val="00DE3B1C"/>
    <w:rsid w:val="00DE40E4"/>
    <w:rsid w:val="00DE44FF"/>
    <w:rsid w:val="00DE4D28"/>
    <w:rsid w:val="00E00F6A"/>
    <w:rsid w:val="00E01326"/>
    <w:rsid w:val="00E04E6B"/>
    <w:rsid w:val="00E14F06"/>
    <w:rsid w:val="00E15816"/>
    <w:rsid w:val="00E17761"/>
    <w:rsid w:val="00E310A1"/>
    <w:rsid w:val="00E36E25"/>
    <w:rsid w:val="00E416EA"/>
    <w:rsid w:val="00E43FD4"/>
    <w:rsid w:val="00E46283"/>
    <w:rsid w:val="00E47B16"/>
    <w:rsid w:val="00E47D3C"/>
    <w:rsid w:val="00E51D6C"/>
    <w:rsid w:val="00E51FCD"/>
    <w:rsid w:val="00E55CA7"/>
    <w:rsid w:val="00E55E19"/>
    <w:rsid w:val="00E62187"/>
    <w:rsid w:val="00E62188"/>
    <w:rsid w:val="00E64F68"/>
    <w:rsid w:val="00E716D6"/>
    <w:rsid w:val="00E71735"/>
    <w:rsid w:val="00E719D7"/>
    <w:rsid w:val="00E75498"/>
    <w:rsid w:val="00E75990"/>
    <w:rsid w:val="00E77958"/>
    <w:rsid w:val="00E81B9F"/>
    <w:rsid w:val="00E837A1"/>
    <w:rsid w:val="00E83889"/>
    <w:rsid w:val="00E83AF9"/>
    <w:rsid w:val="00E8533C"/>
    <w:rsid w:val="00E863AF"/>
    <w:rsid w:val="00E86ED2"/>
    <w:rsid w:val="00E90175"/>
    <w:rsid w:val="00E902A4"/>
    <w:rsid w:val="00E902A6"/>
    <w:rsid w:val="00E90C61"/>
    <w:rsid w:val="00E93711"/>
    <w:rsid w:val="00EA5DCA"/>
    <w:rsid w:val="00EB4382"/>
    <w:rsid w:val="00EB54DE"/>
    <w:rsid w:val="00EB6A49"/>
    <w:rsid w:val="00EC166C"/>
    <w:rsid w:val="00EC440D"/>
    <w:rsid w:val="00EC4AC3"/>
    <w:rsid w:val="00EC54B4"/>
    <w:rsid w:val="00ED1766"/>
    <w:rsid w:val="00ED46D0"/>
    <w:rsid w:val="00ED4D98"/>
    <w:rsid w:val="00ED606E"/>
    <w:rsid w:val="00ED661A"/>
    <w:rsid w:val="00EE504C"/>
    <w:rsid w:val="00F06180"/>
    <w:rsid w:val="00F148EA"/>
    <w:rsid w:val="00F17F08"/>
    <w:rsid w:val="00F241B8"/>
    <w:rsid w:val="00F24508"/>
    <w:rsid w:val="00F269E0"/>
    <w:rsid w:val="00F26FBC"/>
    <w:rsid w:val="00F308BA"/>
    <w:rsid w:val="00F30B09"/>
    <w:rsid w:val="00F32C53"/>
    <w:rsid w:val="00F42037"/>
    <w:rsid w:val="00F422CD"/>
    <w:rsid w:val="00F43258"/>
    <w:rsid w:val="00F4356E"/>
    <w:rsid w:val="00F45310"/>
    <w:rsid w:val="00F45DFE"/>
    <w:rsid w:val="00F53A08"/>
    <w:rsid w:val="00F6226E"/>
    <w:rsid w:val="00F63291"/>
    <w:rsid w:val="00F6393F"/>
    <w:rsid w:val="00F659B9"/>
    <w:rsid w:val="00F678CA"/>
    <w:rsid w:val="00F67E3B"/>
    <w:rsid w:val="00F75689"/>
    <w:rsid w:val="00F76BC7"/>
    <w:rsid w:val="00F81882"/>
    <w:rsid w:val="00F85D93"/>
    <w:rsid w:val="00F93F50"/>
    <w:rsid w:val="00F95AC4"/>
    <w:rsid w:val="00F95F0E"/>
    <w:rsid w:val="00FB0145"/>
    <w:rsid w:val="00FB6FDE"/>
    <w:rsid w:val="00FB7E82"/>
    <w:rsid w:val="00FC1AB5"/>
    <w:rsid w:val="00FC5AC5"/>
    <w:rsid w:val="00FC6E32"/>
    <w:rsid w:val="00FD14A7"/>
    <w:rsid w:val="00FD3833"/>
    <w:rsid w:val="00FE0947"/>
    <w:rsid w:val="00FE31E8"/>
    <w:rsid w:val="00FE5A31"/>
    <w:rsid w:val="00FE6AA7"/>
    <w:rsid w:val="00FF0BA8"/>
    <w:rsid w:val="00FF1086"/>
    <w:rsid w:val="00FF1FF8"/>
    <w:rsid w:val="00FF5DB0"/>
    <w:rsid w:val="00FF658A"/>
    <w:rsid w:val="00FF68C0"/>
    <w:rsid w:val="01263020"/>
    <w:rsid w:val="012E077B"/>
    <w:rsid w:val="016B3CA6"/>
    <w:rsid w:val="01850A42"/>
    <w:rsid w:val="018C596A"/>
    <w:rsid w:val="01B24387"/>
    <w:rsid w:val="01BE7323"/>
    <w:rsid w:val="01CD7511"/>
    <w:rsid w:val="02142DBF"/>
    <w:rsid w:val="022E6D4C"/>
    <w:rsid w:val="02317836"/>
    <w:rsid w:val="023F40ED"/>
    <w:rsid w:val="02430B2B"/>
    <w:rsid w:val="02794264"/>
    <w:rsid w:val="02E836CB"/>
    <w:rsid w:val="03386882"/>
    <w:rsid w:val="0353376F"/>
    <w:rsid w:val="0358731A"/>
    <w:rsid w:val="038653A5"/>
    <w:rsid w:val="038A7599"/>
    <w:rsid w:val="039B1C23"/>
    <w:rsid w:val="03C93DE4"/>
    <w:rsid w:val="03CF276F"/>
    <w:rsid w:val="03E85601"/>
    <w:rsid w:val="03FE7515"/>
    <w:rsid w:val="040C0819"/>
    <w:rsid w:val="04104985"/>
    <w:rsid w:val="0463262C"/>
    <w:rsid w:val="04676ABE"/>
    <w:rsid w:val="04676D10"/>
    <w:rsid w:val="047D5273"/>
    <w:rsid w:val="04CD1926"/>
    <w:rsid w:val="04EF6EC1"/>
    <w:rsid w:val="04F76E8A"/>
    <w:rsid w:val="05052E25"/>
    <w:rsid w:val="05145F94"/>
    <w:rsid w:val="05362202"/>
    <w:rsid w:val="05AA4C8F"/>
    <w:rsid w:val="05DB50B2"/>
    <w:rsid w:val="05F10057"/>
    <w:rsid w:val="060D2F10"/>
    <w:rsid w:val="062126EF"/>
    <w:rsid w:val="064108EF"/>
    <w:rsid w:val="06481787"/>
    <w:rsid w:val="0662250D"/>
    <w:rsid w:val="06650A9D"/>
    <w:rsid w:val="069756C9"/>
    <w:rsid w:val="06AB67B5"/>
    <w:rsid w:val="06EA41D2"/>
    <w:rsid w:val="06F82B78"/>
    <w:rsid w:val="07227F3E"/>
    <w:rsid w:val="072A303E"/>
    <w:rsid w:val="072E42E3"/>
    <w:rsid w:val="07AC5ABA"/>
    <w:rsid w:val="07D729CE"/>
    <w:rsid w:val="07EC5839"/>
    <w:rsid w:val="081140DF"/>
    <w:rsid w:val="08404482"/>
    <w:rsid w:val="089354C7"/>
    <w:rsid w:val="089542F2"/>
    <w:rsid w:val="08A02BFD"/>
    <w:rsid w:val="08DD30A1"/>
    <w:rsid w:val="08EC0D97"/>
    <w:rsid w:val="09011940"/>
    <w:rsid w:val="0968446C"/>
    <w:rsid w:val="09880AD8"/>
    <w:rsid w:val="0A4E3826"/>
    <w:rsid w:val="0A72602D"/>
    <w:rsid w:val="0A960E3D"/>
    <w:rsid w:val="0AA5328F"/>
    <w:rsid w:val="0AC46E75"/>
    <w:rsid w:val="0AED626E"/>
    <w:rsid w:val="0B134589"/>
    <w:rsid w:val="0B3C0F4A"/>
    <w:rsid w:val="0B5E1A0A"/>
    <w:rsid w:val="0B7844AE"/>
    <w:rsid w:val="0B7E48FD"/>
    <w:rsid w:val="0B9C4A0E"/>
    <w:rsid w:val="0BB7550F"/>
    <w:rsid w:val="0BBC60FC"/>
    <w:rsid w:val="0BFB0153"/>
    <w:rsid w:val="0C080F7F"/>
    <w:rsid w:val="0C6702B6"/>
    <w:rsid w:val="0C7C0555"/>
    <w:rsid w:val="0C9614CB"/>
    <w:rsid w:val="0CA00E3D"/>
    <w:rsid w:val="0CA32A62"/>
    <w:rsid w:val="0CFC2EE8"/>
    <w:rsid w:val="0D417D41"/>
    <w:rsid w:val="0D632855"/>
    <w:rsid w:val="0D9117E4"/>
    <w:rsid w:val="0DB94700"/>
    <w:rsid w:val="0E2F068D"/>
    <w:rsid w:val="0E545AFA"/>
    <w:rsid w:val="0E7A5AA4"/>
    <w:rsid w:val="0E8760A0"/>
    <w:rsid w:val="0EA302D5"/>
    <w:rsid w:val="0EC065B4"/>
    <w:rsid w:val="0EDB2ECE"/>
    <w:rsid w:val="0EF958C7"/>
    <w:rsid w:val="0F2A3E50"/>
    <w:rsid w:val="0F2E139E"/>
    <w:rsid w:val="0F370EB1"/>
    <w:rsid w:val="0F3B3D89"/>
    <w:rsid w:val="0F3B76E2"/>
    <w:rsid w:val="0F4628FA"/>
    <w:rsid w:val="0F4E35C6"/>
    <w:rsid w:val="0F594D76"/>
    <w:rsid w:val="0F985657"/>
    <w:rsid w:val="0F9B2B5E"/>
    <w:rsid w:val="0FB13746"/>
    <w:rsid w:val="0FB34829"/>
    <w:rsid w:val="0FB93E7C"/>
    <w:rsid w:val="0FCC6EDC"/>
    <w:rsid w:val="0FD13773"/>
    <w:rsid w:val="0FF24AF1"/>
    <w:rsid w:val="101C7AD4"/>
    <w:rsid w:val="105B51DC"/>
    <w:rsid w:val="1078578F"/>
    <w:rsid w:val="108A674B"/>
    <w:rsid w:val="1096390F"/>
    <w:rsid w:val="10A24F0F"/>
    <w:rsid w:val="10AB525C"/>
    <w:rsid w:val="10B02E63"/>
    <w:rsid w:val="10C14D02"/>
    <w:rsid w:val="11AE5779"/>
    <w:rsid w:val="11C22947"/>
    <w:rsid w:val="11C96F3F"/>
    <w:rsid w:val="11E95878"/>
    <w:rsid w:val="11EF0A6B"/>
    <w:rsid w:val="12771CBC"/>
    <w:rsid w:val="1289446A"/>
    <w:rsid w:val="129D5111"/>
    <w:rsid w:val="12D366C1"/>
    <w:rsid w:val="12EE19F8"/>
    <w:rsid w:val="1308440F"/>
    <w:rsid w:val="131538CD"/>
    <w:rsid w:val="13404493"/>
    <w:rsid w:val="13472AF4"/>
    <w:rsid w:val="134C6766"/>
    <w:rsid w:val="135607B7"/>
    <w:rsid w:val="13B6593C"/>
    <w:rsid w:val="13BB5EEE"/>
    <w:rsid w:val="13E5432C"/>
    <w:rsid w:val="13EF65C4"/>
    <w:rsid w:val="13F352BB"/>
    <w:rsid w:val="13F406AD"/>
    <w:rsid w:val="14141C71"/>
    <w:rsid w:val="14537884"/>
    <w:rsid w:val="14542474"/>
    <w:rsid w:val="14593BBF"/>
    <w:rsid w:val="14871663"/>
    <w:rsid w:val="14B538EB"/>
    <w:rsid w:val="14CE64C7"/>
    <w:rsid w:val="14D56C28"/>
    <w:rsid w:val="151C338A"/>
    <w:rsid w:val="15233891"/>
    <w:rsid w:val="154959CD"/>
    <w:rsid w:val="155517FB"/>
    <w:rsid w:val="155B4EDF"/>
    <w:rsid w:val="1565002B"/>
    <w:rsid w:val="15E45DCF"/>
    <w:rsid w:val="1645552E"/>
    <w:rsid w:val="164973BC"/>
    <w:rsid w:val="16552D85"/>
    <w:rsid w:val="168555E8"/>
    <w:rsid w:val="16D229E9"/>
    <w:rsid w:val="16D871B2"/>
    <w:rsid w:val="173D66F2"/>
    <w:rsid w:val="17430389"/>
    <w:rsid w:val="175C0959"/>
    <w:rsid w:val="177941D0"/>
    <w:rsid w:val="17CF111B"/>
    <w:rsid w:val="17D82D28"/>
    <w:rsid w:val="17DC532F"/>
    <w:rsid w:val="17EF566D"/>
    <w:rsid w:val="18016C8A"/>
    <w:rsid w:val="18025DAB"/>
    <w:rsid w:val="181A7C76"/>
    <w:rsid w:val="1826042F"/>
    <w:rsid w:val="18800267"/>
    <w:rsid w:val="188F0C66"/>
    <w:rsid w:val="18C03D89"/>
    <w:rsid w:val="19201D08"/>
    <w:rsid w:val="192604A4"/>
    <w:rsid w:val="19331813"/>
    <w:rsid w:val="19731B79"/>
    <w:rsid w:val="198122A9"/>
    <w:rsid w:val="199B1698"/>
    <w:rsid w:val="19DF3610"/>
    <w:rsid w:val="19F66DED"/>
    <w:rsid w:val="1A024AC4"/>
    <w:rsid w:val="1A1806D9"/>
    <w:rsid w:val="1A393593"/>
    <w:rsid w:val="1A3F5789"/>
    <w:rsid w:val="1A855FE9"/>
    <w:rsid w:val="1AA57B5F"/>
    <w:rsid w:val="1B260840"/>
    <w:rsid w:val="1B8E24F5"/>
    <w:rsid w:val="1B9A6011"/>
    <w:rsid w:val="1BB27F29"/>
    <w:rsid w:val="1BE4291A"/>
    <w:rsid w:val="1BE761D2"/>
    <w:rsid w:val="1C1A1EB2"/>
    <w:rsid w:val="1C2407D2"/>
    <w:rsid w:val="1C315D7E"/>
    <w:rsid w:val="1C392717"/>
    <w:rsid w:val="1C582330"/>
    <w:rsid w:val="1C65741B"/>
    <w:rsid w:val="1C732412"/>
    <w:rsid w:val="1C9618AB"/>
    <w:rsid w:val="1CBA1062"/>
    <w:rsid w:val="1CDA2B0E"/>
    <w:rsid w:val="1CE71D2A"/>
    <w:rsid w:val="1CFA3BA2"/>
    <w:rsid w:val="1CFD61B2"/>
    <w:rsid w:val="1D0063CA"/>
    <w:rsid w:val="1D0432EC"/>
    <w:rsid w:val="1D314742"/>
    <w:rsid w:val="1D52339F"/>
    <w:rsid w:val="1D580149"/>
    <w:rsid w:val="1D6C38B7"/>
    <w:rsid w:val="1D6E4F13"/>
    <w:rsid w:val="1DB73C31"/>
    <w:rsid w:val="1DD50819"/>
    <w:rsid w:val="1DFB2F26"/>
    <w:rsid w:val="1E164AA2"/>
    <w:rsid w:val="1E274B9A"/>
    <w:rsid w:val="1E5006DD"/>
    <w:rsid w:val="1E626810"/>
    <w:rsid w:val="1E7C1444"/>
    <w:rsid w:val="1EAE7E4A"/>
    <w:rsid w:val="1EB80937"/>
    <w:rsid w:val="1ED01768"/>
    <w:rsid w:val="1EE148E5"/>
    <w:rsid w:val="1EE44777"/>
    <w:rsid w:val="1EF003F6"/>
    <w:rsid w:val="1F3A1F0D"/>
    <w:rsid w:val="1F515A41"/>
    <w:rsid w:val="1F90318B"/>
    <w:rsid w:val="1FED12BE"/>
    <w:rsid w:val="1FF82DDD"/>
    <w:rsid w:val="202E4D26"/>
    <w:rsid w:val="2030185B"/>
    <w:rsid w:val="206B2D6A"/>
    <w:rsid w:val="20745833"/>
    <w:rsid w:val="208158F8"/>
    <w:rsid w:val="208E2D86"/>
    <w:rsid w:val="20A41BDD"/>
    <w:rsid w:val="20C63BD7"/>
    <w:rsid w:val="20E64394"/>
    <w:rsid w:val="20F17B57"/>
    <w:rsid w:val="21354379"/>
    <w:rsid w:val="21432F64"/>
    <w:rsid w:val="217572DE"/>
    <w:rsid w:val="2193571E"/>
    <w:rsid w:val="219A0564"/>
    <w:rsid w:val="21D218F6"/>
    <w:rsid w:val="21EE38EF"/>
    <w:rsid w:val="224A72AF"/>
    <w:rsid w:val="22547760"/>
    <w:rsid w:val="22723839"/>
    <w:rsid w:val="229B790F"/>
    <w:rsid w:val="22C305C6"/>
    <w:rsid w:val="22CF1084"/>
    <w:rsid w:val="22E87969"/>
    <w:rsid w:val="230021E3"/>
    <w:rsid w:val="230B6C59"/>
    <w:rsid w:val="23C823BC"/>
    <w:rsid w:val="23CF5A4B"/>
    <w:rsid w:val="24057464"/>
    <w:rsid w:val="2415065A"/>
    <w:rsid w:val="24902CDD"/>
    <w:rsid w:val="24A42D4D"/>
    <w:rsid w:val="24A47A11"/>
    <w:rsid w:val="24B21B8E"/>
    <w:rsid w:val="24D34D10"/>
    <w:rsid w:val="24F46692"/>
    <w:rsid w:val="24FA0328"/>
    <w:rsid w:val="250003DE"/>
    <w:rsid w:val="25045B09"/>
    <w:rsid w:val="25361970"/>
    <w:rsid w:val="25426699"/>
    <w:rsid w:val="255004F7"/>
    <w:rsid w:val="25596167"/>
    <w:rsid w:val="25600295"/>
    <w:rsid w:val="25D57113"/>
    <w:rsid w:val="25EC1CDD"/>
    <w:rsid w:val="25F91D2B"/>
    <w:rsid w:val="262C4A1B"/>
    <w:rsid w:val="26B21532"/>
    <w:rsid w:val="26D60601"/>
    <w:rsid w:val="26E51EF5"/>
    <w:rsid w:val="26E64EEB"/>
    <w:rsid w:val="26F40645"/>
    <w:rsid w:val="26FE01DA"/>
    <w:rsid w:val="270A7942"/>
    <w:rsid w:val="271C600A"/>
    <w:rsid w:val="2778394C"/>
    <w:rsid w:val="279D1605"/>
    <w:rsid w:val="27FC6210"/>
    <w:rsid w:val="28012834"/>
    <w:rsid w:val="28017784"/>
    <w:rsid w:val="287F157E"/>
    <w:rsid w:val="288875E0"/>
    <w:rsid w:val="28B466BC"/>
    <w:rsid w:val="28D07A09"/>
    <w:rsid w:val="28D41922"/>
    <w:rsid w:val="28DD78F7"/>
    <w:rsid w:val="28EB7A03"/>
    <w:rsid w:val="29257CC2"/>
    <w:rsid w:val="29626662"/>
    <w:rsid w:val="297F7725"/>
    <w:rsid w:val="29C30969"/>
    <w:rsid w:val="29CC726F"/>
    <w:rsid w:val="29D5537D"/>
    <w:rsid w:val="29EE3372"/>
    <w:rsid w:val="2A0B4F8D"/>
    <w:rsid w:val="2A175AB0"/>
    <w:rsid w:val="2A1F3E22"/>
    <w:rsid w:val="2A5403CD"/>
    <w:rsid w:val="2A815FA4"/>
    <w:rsid w:val="2AB178AB"/>
    <w:rsid w:val="2AD02892"/>
    <w:rsid w:val="2AED414D"/>
    <w:rsid w:val="2AF269CC"/>
    <w:rsid w:val="2B13233F"/>
    <w:rsid w:val="2B541FB4"/>
    <w:rsid w:val="2B7A199A"/>
    <w:rsid w:val="2B812B85"/>
    <w:rsid w:val="2BB3210D"/>
    <w:rsid w:val="2BB97180"/>
    <w:rsid w:val="2C5300D5"/>
    <w:rsid w:val="2C706174"/>
    <w:rsid w:val="2CBC0691"/>
    <w:rsid w:val="2CC54BB8"/>
    <w:rsid w:val="2D1736DA"/>
    <w:rsid w:val="2D2864D4"/>
    <w:rsid w:val="2D415768"/>
    <w:rsid w:val="2D4F5382"/>
    <w:rsid w:val="2D631053"/>
    <w:rsid w:val="2D6405B3"/>
    <w:rsid w:val="2D82755A"/>
    <w:rsid w:val="2DA677CC"/>
    <w:rsid w:val="2DAA40C0"/>
    <w:rsid w:val="2DD32383"/>
    <w:rsid w:val="2DE50909"/>
    <w:rsid w:val="2E5B4790"/>
    <w:rsid w:val="2E7C1F33"/>
    <w:rsid w:val="2E8279C0"/>
    <w:rsid w:val="2E917FC7"/>
    <w:rsid w:val="2EB1759E"/>
    <w:rsid w:val="2EE72320"/>
    <w:rsid w:val="2EE8455C"/>
    <w:rsid w:val="2EFF3383"/>
    <w:rsid w:val="2F25260C"/>
    <w:rsid w:val="2F401D91"/>
    <w:rsid w:val="2FB76121"/>
    <w:rsid w:val="2FC414F3"/>
    <w:rsid w:val="2FE60929"/>
    <w:rsid w:val="2FF058D0"/>
    <w:rsid w:val="2FF91343"/>
    <w:rsid w:val="3030541D"/>
    <w:rsid w:val="304E57D9"/>
    <w:rsid w:val="30525AB5"/>
    <w:rsid w:val="307F4548"/>
    <w:rsid w:val="30927BE9"/>
    <w:rsid w:val="30A04589"/>
    <w:rsid w:val="30D70117"/>
    <w:rsid w:val="30E42F09"/>
    <w:rsid w:val="30EE2ED1"/>
    <w:rsid w:val="30F3439C"/>
    <w:rsid w:val="31274B61"/>
    <w:rsid w:val="314B29C9"/>
    <w:rsid w:val="315D297A"/>
    <w:rsid w:val="318352A1"/>
    <w:rsid w:val="31922776"/>
    <w:rsid w:val="31972AA0"/>
    <w:rsid w:val="31A4470C"/>
    <w:rsid w:val="31B441AF"/>
    <w:rsid w:val="32A81084"/>
    <w:rsid w:val="32BF7918"/>
    <w:rsid w:val="32D70991"/>
    <w:rsid w:val="32DA62A2"/>
    <w:rsid w:val="335A5959"/>
    <w:rsid w:val="33A91975"/>
    <w:rsid w:val="33B2679E"/>
    <w:rsid w:val="33BB38F3"/>
    <w:rsid w:val="33CF2A91"/>
    <w:rsid w:val="33DC14FA"/>
    <w:rsid w:val="34632E9A"/>
    <w:rsid w:val="34A3544B"/>
    <w:rsid w:val="34AD54F0"/>
    <w:rsid w:val="34AF549F"/>
    <w:rsid w:val="34C171EE"/>
    <w:rsid w:val="34D13ABF"/>
    <w:rsid w:val="34F34C56"/>
    <w:rsid w:val="35184128"/>
    <w:rsid w:val="357A5788"/>
    <w:rsid w:val="3595636E"/>
    <w:rsid w:val="359A31AC"/>
    <w:rsid w:val="35C02541"/>
    <w:rsid w:val="35E264C2"/>
    <w:rsid w:val="360308BC"/>
    <w:rsid w:val="36147632"/>
    <w:rsid w:val="363E2205"/>
    <w:rsid w:val="36530971"/>
    <w:rsid w:val="36561BAE"/>
    <w:rsid w:val="36610C56"/>
    <w:rsid w:val="366B24CA"/>
    <w:rsid w:val="369A140D"/>
    <w:rsid w:val="36AA0A91"/>
    <w:rsid w:val="36C46DA8"/>
    <w:rsid w:val="36EB22F5"/>
    <w:rsid w:val="37133678"/>
    <w:rsid w:val="376916D4"/>
    <w:rsid w:val="376C54CD"/>
    <w:rsid w:val="376E6E4C"/>
    <w:rsid w:val="377148CF"/>
    <w:rsid w:val="37866B0A"/>
    <w:rsid w:val="37BA3808"/>
    <w:rsid w:val="37E56E79"/>
    <w:rsid w:val="38087ED0"/>
    <w:rsid w:val="38095396"/>
    <w:rsid w:val="385666E5"/>
    <w:rsid w:val="38780497"/>
    <w:rsid w:val="38BE0510"/>
    <w:rsid w:val="38C24E15"/>
    <w:rsid w:val="38DB70E7"/>
    <w:rsid w:val="390908A8"/>
    <w:rsid w:val="39127E87"/>
    <w:rsid w:val="395549F2"/>
    <w:rsid w:val="3990092E"/>
    <w:rsid w:val="39C0177A"/>
    <w:rsid w:val="39C434EB"/>
    <w:rsid w:val="39C9355C"/>
    <w:rsid w:val="3A62357C"/>
    <w:rsid w:val="3A72640A"/>
    <w:rsid w:val="3ACB30DF"/>
    <w:rsid w:val="3AD16F1E"/>
    <w:rsid w:val="3B121086"/>
    <w:rsid w:val="3B192EFF"/>
    <w:rsid w:val="3B491811"/>
    <w:rsid w:val="3B54249C"/>
    <w:rsid w:val="3B6E3ADE"/>
    <w:rsid w:val="3BB524E2"/>
    <w:rsid w:val="3BCE25E6"/>
    <w:rsid w:val="3BFA68C7"/>
    <w:rsid w:val="3C1B106D"/>
    <w:rsid w:val="3C2E47A5"/>
    <w:rsid w:val="3C5C49DA"/>
    <w:rsid w:val="3CEA2ACF"/>
    <w:rsid w:val="3D0C77C5"/>
    <w:rsid w:val="3D294A78"/>
    <w:rsid w:val="3D31789D"/>
    <w:rsid w:val="3D3F1C55"/>
    <w:rsid w:val="3D48523F"/>
    <w:rsid w:val="3D7956D5"/>
    <w:rsid w:val="3D8B06B4"/>
    <w:rsid w:val="3DC15A6F"/>
    <w:rsid w:val="3DC46A40"/>
    <w:rsid w:val="3E1B13E3"/>
    <w:rsid w:val="3EB03948"/>
    <w:rsid w:val="3EE44CCE"/>
    <w:rsid w:val="3EF5619B"/>
    <w:rsid w:val="3F272DF1"/>
    <w:rsid w:val="3F3618F0"/>
    <w:rsid w:val="3F467047"/>
    <w:rsid w:val="3F6110BD"/>
    <w:rsid w:val="3F9E63C9"/>
    <w:rsid w:val="3FA93522"/>
    <w:rsid w:val="3FBF7892"/>
    <w:rsid w:val="3FC14E74"/>
    <w:rsid w:val="40275E65"/>
    <w:rsid w:val="404A6865"/>
    <w:rsid w:val="40731D0B"/>
    <w:rsid w:val="40B25B10"/>
    <w:rsid w:val="40BD25B1"/>
    <w:rsid w:val="40D7194F"/>
    <w:rsid w:val="413B63E5"/>
    <w:rsid w:val="41510708"/>
    <w:rsid w:val="41540A99"/>
    <w:rsid w:val="41BC1F10"/>
    <w:rsid w:val="421E22B6"/>
    <w:rsid w:val="424B3AFB"/>
    <w:rsid w:val="4259503A"/>
    <w:rsid w:val="426C7A83"/>
    <w:rsid w:val="428A5C7C"/>
    <w:rsid w:val="42961ADC"/>
    <w:rsid w:val="42DB458D"/>
    <w:rsid w:val="42E250CC"/>
    <w:rsid w:val="42E6276B"/>
    <w:rsid w:val="42ED1758"/>
    <w:rsid w:val="436D1A68"/>
    <w:rsid w:val="43765341"/>
    <w:rsid w:val="437750F6"/>
    <w:rsid w:val="437A44C1"/>
    <w:rsid w:val="438007D7"/>
    <w:rsid w:val="440F0059"/>
    <w:rsid w:val="444C6E9B"/>
    <w:rsid w:val="44613E6A"/>
    <w:rsid w:val="44CB1921"/>
    <w:rsid w:val="44E24EC1"/>
    <w:rsid w:val="45736EB5"/>
    <w:rsid w:val="45902DFC"/>
    <w:rsid w:val="45DD62B4"/>
    <w:rsid w:val="45E60474"/>
    <w:rsid w:val="46165E6D"/>
    <w:rsid w:val="462F6F73"/>
    <w:rsid w:val="464D0DEE"/>
    <w:rsid w:val="46810B28"/>
    <w:rsid w:val="46886E13"/>
    <w:rsid w:val="46A46554"/>
    <w:rsid w:val="46C1077C"/>
    <w:rsid w:val="46C40023"/>
    <w:rsid w:val="46CE0949"/>
    <w:rsid w:val="46E53C36"/>
    <w:rsid w:val="470B55D9"/>
    <w:rsid w:val="470E51B5"/>
    <w:rsid w:val="4767480A"/>
    <w:rsid w:val="476756F9"/>
    <w:rsid w:val="47756B56"/>
    <w:rsid w:val="47761232"/>
    <w:rsid w:val="478F3EA7"/>
    <w:rsid w:val="47940017"/>
    <w:rsid w:val="47960D17"/>
    <w:rsid w:val="47AD3F78"/>
    <w:rsid w:val="47C435A5"/>
    <w:rsid w:val="47CE2225"/>
    <w:rsid w:val="47D56023"/>
    <w:rsid w:val="47F652F1"/>
    <w:rsid w:val="47F944FE"/>
    <w:rsid w:val="482B5C12"/>
    <w:rsid w:val="484760CB"/>
    <w:rsid w:val="48685796"/>
    <w:rsid w:val="492958D6"/>
    <w:rsid w:val="492C3528"/>
    <w:rsid w:val="49371B85"/>
    <w:rsid w:val="49760646"/>
    <w:rsid w:val="49802899"/>
    <w:rsid w:val="49A72666"/>
    <w:rsid w:val="49A969A7"/>
    <w:rsid w:val="49B4651F"/>
    <w:rsid w:val="49CA1FEA"/>
    <w:rsid w:val="49D03543"/>
    <w:rsid w:val="49D066E0"/>
    <w:rsid w:val="49D639C4"/>
    <w:rsid w:val="49E329B9"/>
    <w:rsid w:val="4A3124EC"/>
    <w:rsid w:val="4A5B0BF2"/>
    <w:rsid w:val="4A7F020D"/>
    <w:rsid w:val="4A82317F"/>
    <w:rsid w:val="4A9C1DE8"/>
    <w:rsid w:val="4AC72922"/>
    <w:rsid w:val="4AED1B3A"/>
    <w:rsid w:val="4B91648E"/>
    <w:rsid w:val="4BDA5AED"/>
    <w:rsid w:val="4BF760BA"/>
    <w:rsid w:val="4C597873"/>
    <w:rsid w:val="4C8C0F47"/>
    <w:rsid w:val="4CC53E2C"/>
    <w:rsid w:val="4CE6400E"/>
    <w:rsid w:val="4CEA49A7"/>
    <w:rsid w:val="4CF115A1"/>
    <w:rsid w:val="4CF906E8"/>
    <w:rsid w:val="4D1615AF"/>
    <w:rsid w:val="4D220525"/>
    <w:rsid w:val="4D5670A7"/>
    <w:rsid w:val="4D5D1F52"/>
    <w:rsid w:val="4D5E25B7"/>
    <w:rsid w:val="4D5F58FD"/>
    <w:rsid w:val="4D616AAD"/>
    <w:rsid w:val="4D753C7F"/>
    <w:rsid w:val="4D842927"/>
    <w:rsid w:val="4D85615B"/>
    <w:rsid w:val="4D862070"/>
    <w:rsid w:val="4D99072E"/>
    <w:rsid w:val="4DA53A4B"/>
    <w:rsid w:val="4DBC63C0"/>
    <w:rsid w:val="4DD01143"/>
    <w:rsid w:val="4DEB5937"/>
    <w:rsid w:val="4DFC1A95"/>
    <w:rsid w:val="4DFC4AC2"/>
    <w:rsid w:val="4E0F41BD"/>
    <w:rsid w:val="4E540763"/>
    <w:rsid w:val="4E6502EE"/>
    <w:rsid w:val="4E72442D"/>
    <w:rsid w:val="4EB0364A"/>
    <w:rsid w:val="4EBE303C"/>
    <w:rsid w:val="4F0C4727"/>
    <w:rsid w:val="4F386133"/>
    <w:rsid w:val="4F4C3FF2"/>
    <w:rsid w:val="4F5D7111"/>
    <w:rsid w:val="4F734A9C"/>
    <w:rsid w:val="4F862153"/>
    <w:rsid w:val="4F8E36B5"/>
    <w:rsid w:val="4FA45F82"/>
    <w:rsid w:val="4FC12950"/>
    <w:rsid w:val="4FC20AA7"/>
    <w:rsid w:val="4FC32466"/>
    <w:rsid w:val="4FE80B78"/>
    <w:rsid w:val="4FF026F6"/>
    <w:rsid w:val="5023575A"/>
    <w:rsid w:val="502B1FD2"/>
    <w:rsid w:val="505F1EFD"/>
    <w:rsid w:val="506D19A0"/>
    <w:rsid w:val="50B70587"/>
    <w:rsid w:val="50F2027E"/>
    <w:rsid w:val="5138149F"/>
    <w:rsid w:val="513D1102"/>
    <w:rsid w:val="518D0F85"/>
    <w:rsid w:val="51900452"/>
    <w:rsid w:val="519A03E7"/>
    <w:rsid w:val="51A052FF"/>
    <w:rsid w:val="51DA6789"/>
    <w:rsid w:val="51DB0220"/>
    <w:rsid w:val="520E4374"/>
    <w:rsid w:val="521024B8"/>
    <w:rsid w:val="52146302"/>
    <w:rsid w:val="52200DA4"/>
    <w:rsid w:val="5225491B"/>
    <w:rsid w:val="523978C1"/>
    <w:rsid w:val="523A3EFE"/>
    <w:rsid w:val="524B55E8"/>
    <w:rsid w:val="52D56001"/>
    <w:rsid w:val="52DD0A68"/>
    <w:rsid w:val="52E02222"/>
    <w:rsid w:val="52E24F75"/>
    <w:rsid w:val="52EC7E76"/>
    <w:rsid w:val="530B51E0"/>
    <w:rsid w:val="53245104"/>
    <w:rsid w:val="533C0708"/>
    <w:rsid w:val="5345588D"/>
    <w:rsid w:val="53994236"/>
    <w:rsid w:val="53A92D20"/>
    <w:rsid w:val="53B034DF"/>
    <w:rsid w:val="53BD07FE"/>
    <w:rsid w:val="543B766E"/>
    <w:rsid w:val="54B21C12"/>
    <w:rsid w:val="54BD5631"/>
    <w:rsid w:val="54D05403"/>
    <w:rsid w:val="54DE0F4F"/>
    <w:rsid w:val="54E53259"/>
    <w:rsid w:val="54E97D97"/>
    <w:rsid w:val="55060C35"/>
    <w:rsid w:val="550F19EF"/>
    <w:rsid w:val="55281EC9"/>
    <w:rsid w:val="55970A48"/>
    <w:rsid w:val="55AD2828"/>
    <w:rsid w:val="55B769EE"/>
    <w:rsid w:val="560B1770"/>
    <w:rsid w:val="563D07A6"/>
    <w:rsid w:val="5655719F"/>
    <w:rsid w:val="566D22D6"/>
    <w:rsid w:val="567D746F"/>
    <w:rsid w:val="568527A9"/>
    <w:rsid w:val="56DA2ACA"/>
    <w:rsid w:val="56EC7DEB"/>
    <w:rsid w:val="57283289"/>
    <w:rsid w:val="57787D9B"/>
    <w:rsid w:val="577C1E80"/>
    <w:rsid w:val="578F49AA"/>
    <w:rsid w:val="57981425"/>
    <w:rsid w:val="579E6879"/>
    <w:rsid w:val="583B33B5"/>
    <w:rsid w:val="58720724"/>
    <w:rsid w:val="588C0AAD"/>
    <w:rsid w:val="58AA3B72"/>
    <w:rsid w:val="58C67695"/>
    <w:rsid w:val="58F05AD9"/>
    <w:rsid w:val="59036554"/>
    <w:rsid w:val="591E658A"/>
    <w:rsid w:val="59200143"/>
    <w:rsid w:val="59742A54"/>
    <w:rsid w:val="59AA694D"/>
    <w:rsid w:val="59AC0469"/>
    <w:rsid w:val="59C51F91"/>
    <w:rsid w:val="59D6612D"/>
    <w:rsid w:val="5A7079F8"/>
    <w:rsid w:val="5A7A73D5"/>
    <w:rsid w:val="5A812E59"/>
    <w:rsid w:val="5A8C7655"/>
    <w:rsid w:val="5A995DAB"/>
    <w:rsid w:val="5ABA7460"/>
    <w:rsid w:val="5AF779F8"/>
    <w:rsid w:val="5AFE705E"/>
    <w:rsid w:val="5B747096"/>
    <w:rsid w:val="5B9C24F1"/>
    <w:rsid w:val="5B9E50D3"/>
    <w:rsid w:val="5BB34CCB"/>
    <w:rsid w:val="5BB46CAC"/>
    <w:rsid w:val="5BC16969"/>
    <w:rsid w:val="5BE22785"/>
    <w:rsid w:val="5C105F94"/>
    <w:rsid w:val="5C251D7A"/>
    <w:rsid w:val="5C5551B2"/>
    <w:rsid w:val="5C9A3F41"/>
    <w:rsid w:val="5CBF064C"/>
    <w:rsid w:val="5CE30F97"/>
    <w:rsid w:val="5CFA1CEF"/>
    <w:rsid w:val="5CFE5CC5"/>
    <w:rsid w:val="5D20206B"/>
    <w:rsid w:val="5D2C49EA"/>
    <w:rsid w:val="5DB73653"/>
    <w:rsid w:val="5DD111FA"/>
    <w:rsid w:val="5DE44F8E"/>
    <w:rsid w:val="5DF121E3"/>
    <w:rsid w:val="5DFB01A7"/>
    <w:rsid w:val="5DFF4FB2"/>
    <w:rsid w:val="5E0B2584"/>
    <w:rsid w:val="5E144BDE"/>
    <w:rsid w:val="5E1F7A37"/>
    <w:rsid w:val="5E2E2111"/>
    <w:rsid w:val="5E2F576D"/>
    <w:rsid w:val="5E4274C8"/>
    <w:rsid w:val="5E992C9A"/>
    <w:rsid w:val="5EA04E46"/>
    <w:rsid w:val="5EA22A81"/>
    <w:rsid w:val="5EC82C37"/>
    <w:rsid w:val="5EF210D2"/>
    <w:rsid w:val="5F042BD4"/>
    <w:rsid w:val="5F230F76"/>
    <w:rsid w:val="5F2447E2"/>
    <w:rsid w:val="5F46090C"/>
    <w:rsid w:val="5F4B0F3F"/>
    <w:rsid w:val="5F7525DE"/>
    <w:rsid w:val="5FAC797D"/>
    <w:rsid w:val="5FC638C8"/>
    <w:rsid w:val="5FCA523F"/>
    <w:rsid w:val="5FD07119"/>
    <w:rsid w:val="60101A23"/>
    <w:rsid w:val="602A170A"/>
    <w:rsid w:val="6033434E"/>
    <w:rsid w:val="60437933"/>
    <w:rsid w:val="605A28BD"/>
    <w:rsid w:val="605F2BCC"/>
    <w:rsid w:val="606F76AD"/>
    <w:rsid w:val="60E50878"/>
    <w:rsid w:val="60E664A3"/>
    <w:rsid w:val="60F45E43"/>
    <w:rsid w:val="6104775B"/>
    <w:rsid w:val="610B183C"/>
    <w:rsid w:val="612E3B5A"/>
    <w:rsid w:val="61587332"/>
    <w:rsid w:val="61587375"/>
    <w:rsid w:val="61613AC5"/>
    <w:rsid w:val="61D640C8"/>
    <w:rsid w:val="621D5FD0"/>
    <w:rsid w:val="62292F3D"/>
    <w:rsid w:val="625351F3"/>
    <w:rsid w:val="62553A9B"/>
    <w:rsid w:val="6260411A"/>
    <w:rsid w:val="628505C1"/>
    <w:rsid w:val="62A954D2"/>
    <w:rsid w:val="62F108DD"/>
    <w:rsid w:val="63047C19"/>
    <w:rsid w:val="632C6E94"/>
    <w:rsid w:val="63303DCB"/>
    <w:rsid w:val="634C6EB4"/>
    <w:rsid w:val="63635995"/>
    <w:rsid w:val="636D2380"/>
    <w:rsid w:val="637D4B46"/>
    <w:rsid w:val="63A00901"/>
    <w:rsid w:val="63B80C59"/>
    <w:rsid w:val="63CF661A"/>
    <w:rsid w:val="63D66D3A"/>
    <w:rsid w:val="63FF657D"/>
    <w:rsid w:val="642E5201"/>
    <w:rsid w:val="6443370C"/>
    <w:rsid w:val="6445786C"/>
    <w:rsid w:val="64BF04EC"/>
    <w:rsid w:val="651C43F6"/>
    <w:rsid w:val="658451FA"/>
    <w:rsid w:val="658729D1"/>
    <w:rsid w:val="65B82F01"/>
    <w:rsid w:val="65C02314"/>
    <w:rsid w:val="65DF69CF"/>
    <w:rsid w:val="65FA5B9B"/>
    <w:rsid w:val="661D5F6E"/>
    <w:rsid w:val="662709C0"/>
    <w:rsid w:val="664D53FF"/>
    <w:rsid w:val="666230CA"/>
    <w:rsid w:val="66633C44"/>
    <w:rsid w:val="66AB6754"/>
    <w:rsid w:val="66B97285"/>
    <w:rsid w:val="66BB48E1"/>
    <w:rsid w:val="66CD6978"/>
    <w:rsid w:val="66DB1226"/>
    <w:rsid w:val="67557264"/>
    <w:rsid w:val="678C3714"/>
    <w:rsid w:val="67935298"/>
    <w:rsid w:val="67AC14B0"/>
    <w:rsid w:val="68125DC5"/>
    <w:rsid w:val="68517281"/>
    <w:rsid w:val="68567627"/>
    <w:rsid w:val="685A3285"/>
    <w:rsid w:val="68875505"/>
    <w:rsid w:val="69093A56"/>
    <w:rsid w:val="691F7F79"/>
    <w:rsid w:val="69247457"/>
    <w:rsid w:val="698A4060"/>
    <w:rsid w:val="69BD78EA"/>
    <w:rsid w:val="69C14172"/>
    <w:rsid w:val="69C34519"/>
    <w:rsid w:val="69E14866"/>
    <w:rsid w:val="6A067DB5"/>
    <w:rsid w:val="6A32794B"/>
    <w:rsid w:val="6A3B2019"/>
    <w:rsid w:val="6A3B5037"/>
    <w:rsid w:val="6A644FF5"/>
    <w:rsid w:val="6A86245B"/>
    <w:rsid w:val="6A9D6990"/>
    <w:rsid w:val="6B0117E7"/>
    <w:rsid w:val="6B6B0FCC"/>
    <w:rsid w:val="6B7867DE"/>
    <w:rsid w:val="6BA90006"/>
    <w:rsid w:val="6BE47D58"/>
    <w:rsid w:val="6BF65381"/>
    <w:rsid w:val="6C06452B"/>
    <w:rsid w:val="6C161E18"/>
    <w:rsid w:val="6C590729"/>
    <w:rsid w:val="6CBB08C6"/>
    <w:rsid w:val="6CBB2E01"/>
    <w:rsid w:val="6CD146A3"/>
    <w:rsid w:val="6D0C1225"/>
    <w:rsid w:val="6D26601F"/>
    <w:rsid w:val="6D285477"/>
    <w:rsid w:val="6D2A351D"/>
    <w:rsid w:val="6D2C5AA6"/>
    <w:rsid w:val="6D617534"/>
    <w:rsid w:val="6D916401"/>
    <w:rsid w:val="6DC02F24"/>
    <w:rsid w:val="6DD52377"/>
    <w:rsid w:val="6E00085C"/>
    <w:rsid w:val="6E280AA2"/>
    <w:rsid w:val="6E3431D3"/>
    <w:rsid w:val="6E353F08"/>
    <w:rsid w:val="6E3879E1"/>
    <w:rsid w:val="6E815E20"/>
    <w:rsid w:val="6EA00BB6"/>
    <w:rsid w:val="6EC35D97"/>
    <w:rsid w:val="6EDA20CC"/>
    <w:rsid w:val="6F827E1F"/>
    <w:rsid w:val="6FBE33DD"/>
    <w:rsid w:val="6FC261AE"/>
    <w:rsid w:val="6FF32C92"/>
    <w:rsid w:val="700A041B"/>
    <w:rsid w:val="70141305"/>
    <w:rsid w:val="70262FB0"/>
    <w:rsid w:val="70695629"/>
    <w:rsid w:val="707C6611"/>
    <w:rsid w:val="70CB5F34"/>
    <w:rsid w:val="70FD6581"/>
    <w:rsid w:val="71453F5E"/>
    <w:rsid w:val="71754C95"/>
    <w:rsid w:val="717C2DC2"/>
    <w:rsid w:val="718474EC"/>
    <w:rsid w:val="71C9438B"/>
    <w:rsid w:val="71EB232F"/>
    <w:rsid w:val="71EC169C"/>
    <w:rsid w:val="71F22395"/>
    <w:rsid w:val="72944A57"/>
    <w:rsid w:val="72E03AF4"/>
    <w:rsid w:val="73071434"/>
    <w:rsid w:val="732F3A9D"/>
    <w:rsid w:val="73310943"/>
    <w:rsid w:val="736B45B4"/>
    <w:rsid w:val="736E713E"/>
    <w:rsid w:val="73821076"/>
    <w:rsid w:val="73986A49"/>
    <w:rsid w:val="73A53F05"/>
    <w:rsid w:val="73AA2969"/>
    <w:rsid w:val="73B22405"/>
    <w:rsid w:val="73CF1F2D"/>
    <w:rsid w:val="73FC1BEE"/>
    <w:rsid w:val="74174A0B"/>
    <w:rsid w:val="745514F1"/>
    <w:rsid w:val="74822716"/>
    <w:rsid w:val="74A77D79"/>
    <w:rsid w:val="74AC2616"/>
    <w:rsid w:val="74BB2C8C"/>
    <w:rsid w:val="74C5083D"/>
    <w:rsid w:val="74EE2280"/>
    <w:rsid w:val="750D3D28"/>
    <w:rsid w:val="756176A1"/>
    <w:rsid w:val="757F2125"/>
    <w:rsid w:val="75C5459B"/>
    <w:rsid w:val="75C94243"/>
    <w:rsid w:val="75CB48CE"/>
    <w:rsid w:val="765866EF"/>
    <w:rsid w:val="766429FA"/>
    <w:rsid w:val="76D45B66"/>
    <w:rsid w:val="76D75202"/>
    <w:rsid w:val="76F11CEC"/>
    <w:rsid w:val="76FE2417"/>
    <w:rsid w:val="76FF573C"/>
    <w:rsid w:val="77133453"/>
    <w:rsid w:val="771E653D"/>
    <w:rsid w:val="77222009"/>
    <w:rsid w:val="7763578D"/>
    <w:rsid w:val="776F4878"/>
    <w:rsid w:val="77856B7B"/>
    <w:rsid w:val="77960793"/>
    <w:rsid w:val="77C3520C"/>
    <w:rsid w:val="77F14D74"/>
    <w:rsid w:val="77F37F86"/>
    <w:rsid w:val="786950C5"/>
    <w:rsid w:val="78770A44"/>
    <w:rsid w:val="788E700F"/>
    <w:rsid w:val="789D19B9"/>
    <w:rsid w:val="78B23DE8"/>
    <w:rsid w:val="78E345B9"/>
    <w:rsid w:val="78F6760F"/>
    <w:rsid w:val="790533D2"/>
    <w:rsid w:val="79385B7B"/>
    <w:rsid w:val="794006DB"/>
    <w:rsid w:val="798F3428"/>
    <w:rsid w:val="79D85CE8"/>
    <w:rsid w:val="79E83644"/>
    <w:rsid w:val="7A0D3270"/>
    <w:rsid w:val="7A1E0BB7"/>
    <w:rsid w:val="7A322C02"/>
    <w:rsid w:val="7A5C36CC"/>
    <w:rsid w:val="7ABD644E"/>
    <w:rsid w:val="7ACB1F28"/>
    <w:rsid w:val="7AF65F04"/>
    <w:rsid w:val="7B020EA0"/>
    <w:rsid w:val="7B052BD7"/>
    <w:rsid w:val="7B072853"/>
    <w:rsid w:val="7B462195"/>
    <w:rsid w:val="7B573BD4"/>
    <w:rsid w:val="7B5B2FAF"/>
    <w:rsid w:val="7BA10F88"/>
    <w:rsid w:val="7BE439BC"/>
    <w:rsid w:val="7C4A2457"/>
    <w:rsid w:val="7C5B0F80"/>
    <w:rsid w:val="7C7237B5"/>
    <w:rsid w:val="7CA44252"/>
    <w:rsid w:val="7CBC04AD"/>
    <w:rsid w:val="7D165727"/>
    <w:rsid w:val="7D2D3851"/>
    <w:rsid w:val="7D895F39"/>
    <w:rsid w:val="7DA34630"/>
    <w:rsid w:val="7DA40457"/>
    <w:rsid w:val="7DB479EE"/>
    <w:rsid w:val="7DCD6635"/>
    <w:rsid w:val="7DCE3C95"/>
    <w:rsid w:val="7E241224"/>
    <w:rsid w:val="7E92554B"/>
    <w:rsid w:val="7E9C1324"/>
    <w:rsid w:val="7EB276BD"/>
    <w:rsid w:val="7EB55645"/>
    <w:rsid w:val="7EC66D43"/>
    <w:rsid w:val="7ED90D0D"/>
    <w:rsid w:val="7EE36967"/>
    <w:rsid w:val="7F4108E0"/>
    <w:rsid w:val="7F555B22"/>
    <w:rsid w:val="7F8B43C5"/>
    <w:rsid w:val="7F943ACA"/>
    <w:rsid w:val="7F9663C3"/>
    <w:rsid w:val="7FA345E5"/>
    <w:rsid w:val="7FB8072B"/>
    <w:rsid w:val="7FBE0FFC"/>
    <w:rsid w:val="7FE74B3D"/>
    <w:rsid w:val="7FF32CE5"/>
    <w:rsid w:val="ADFF7668"/>
    <w:rsid w:val="FFC832C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99"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iPriority="99" w:semiHidden="0" w:name="Salutation"/>
    <w:lsdException w:unhideWhenUsed="0" w:uiPriority="0" w:semiHidden="0" w:name="Date"/>
    <w:lsdException w:qFormat="1" w:uiPriority="99"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4">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spacing w:before="260" w:after="260" w:line="415" w:lineRule="auto"/>
      <w:outlineLvl w:val="1"/>
    </w:pPr>
    <w:rPr>
      <w:rFonts w:ascii="Arial" w:hAnsi="Arial" w:eastAsia="黑体"/>
      <w:sz w:val="32"/>
      <w:szCs w:val="32"/>
    </w:rPr>
  </w:style>
  <w:style w:type="paragraph" w:styleId="6">
    <w:name w:val="heading 3"/>
    <w:basedOn w:val="1"/>
    <w:next w:val="1"/>
    <w:qFormat/>
    <w:uiPriority w:val="0"/>
    <w:pPr>
      <w:keepNext/>
      <w:keepLines/>
      <w:spacing w:before="260" w:after="260" w:line="415" w:lineRule="auto"/>
      <w:outlineLvl w:val="2"/>
    </w:pPr>
    <w:rPr>
      <w:b/>
      <w:bCs/>
      <w:sz w:val="32"/>
      <w:szCs w:val="32"/>
    </w:rPr>
  </w:style>
  <w:style w:type="paragraph" w:styleId="7">
    <w:name w:val="heading 4"/>
    <w:basedOn w:val="1"/>
    <w:next w:val="1"/>
    <w:unhideWhenUsed/>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63"/>
    <w:qFormat/>
    <w:uiPriority w:val="0"/>
    <w:pPr>
      <w:spacing w:after="120"/>
    </w:pPr>
  </w:style>
  <w:style w:type="paragraph" w:styleId="3">
    <w:name w:val="Body Text First Indent"/>
    <w:basedOn w:val="2"/>
    <w:unhideWhenUsed/>
    <w:qFormat/>
    <w:uiPriority w:val="99"/>
    <w:pPr>
      <w:ind w:firstLine="420" w:firstLineChars="100"/>
    </w:pPr>
  </w:style>
  <w:style w:type="paragraph" w:styleId="8">
    <w:name w:val="toc 7"/>
    <w:basedOn w:val="1"/>
    <w:next w:val="1"/>
    <w:qFormat/>
    <w:uiPriority w:val="39"/>
    <w:pPr>
      <w:ind w:left="2520" w:leftChars="1200"/>
    </w:pPr>
  </w:style>
  <w:style w:type="paragraph" w:styleId="9">
    <w:name w:val="Normal Indent"/>
    <w:basedOn w:val="1"/>
    <w:qFormat/>
    <w:uiPriority w:val="0"/>
    <w:pPr>
      <w:ind w:firstLine="200" w:firstLineChars="200"/>
    </w:pPr>
  </w:style>
  <w:style w:type="paragraph" w:styleId="10">
    <w:name w:val="Document Map"/>
    <w:basedOn w:val="1"/>
    <w:link w:val="40"/>
    <w:qFormat/>
    <w:uiPriority w:val="0"/>
    <w:rPr>
      <w:rFonts w:ascii="宋体"/>
      <w:sz w:val="18"/>
      <w:szCs w:val="18"/>
    </w:rPr>
  </w:style>
  <w:style w:type="paragraph" w:styleId="11">
    <w:name w:val="toa heading"/>
    <w:basedOn w:val="1"/>
    <w:next w:val="1"/>
    <w:qFormat/>
    <w:uiPriority w:val="99"/>
    <w:pPr>
      <w:spacing w:before="120" w:after="120"/>
    </w:pPr>
    <w:rPr>
      <w:rFonts w:ascii="Arial" w:hAnsi="Arial"/>
      <w:sz w:val="24"/>
      <w:szCs w:val="20"/>
    </w:rPr>
  </w:style>
  <w:style w:type="paragraph" w:styleId="12">
    <w:name w:val="annotation text"/>
    <w:basedOn w:val="1"/>
    <w:link w:val="41"/>
    <w:qFormat/>
    <w:uiPriority w:val="0"/>
    <w:pPr>
      <w:jc w:val="left"/>
    </w:pPr>
  </w:style>
  <w:style w:type="paragraph" w:styleId="13">
    <w:name w:val="Salutation"/>
    <w:basedOn w:val="1"/>
    <w:next w:val="1"/>
    <w:unhideWhenUsed/>
    <w:qFormat/>
    <w:uiPriority w:val="99"/>
  </w:style>
  <w:style w:type="paragraph" w:styleId="14">
    <w:name w:val="Body Text Indent"/>
    <w:basedOn w:val="1"/>
    <w:qFormat/>
    <w:uiPriority w:val="0"/>
    <w:pPr>
      <w:ind w:firstLine="630"/>
    </w:pPr>
    <w:rPr>
      <w:sz w:val="32"/>
      <w:szCs w:val="20"/>
    </w:rPr>
  </w:style>
  <w:style w:type="paragraph" w:styleId="15">
    <w:name w:val="List 2"/>
    <w:basedOn w:val="1"/>
    <w:qFormat/>
    <w:uiPriority w:val="0"/>
    <w:pPr>
      <w:ind w:left="100" w:leftChars="200" w:hanging="200" w:hangingChars="200"/>
    </w:pPr>
  </w:style>
  <w:style w:type="paragraph" w:styleId="16">
    <w:name w:val="toc 5"/>
    <w:basedOn w:val="1"/>
    <w:next w:val="1"/>
    <w:qFormat/>
    <w:uiPriority w:val="39"/>
    <w:pPr>
      <w:ind w:left="1680" w:leftChars="800"/>
    </w:pPr>
  </w:style>
  <w:style w:type="paragraph" w:styleId="17">
    <w:name w:val="toc 3"/>
    <w:basedOn w:val="1"/>
    <w:next w:val="1"/>
    <w:qFormat/>
    <w:uiPriority w:val="39"/>
    <w:pPr>
      <w:ind w:left="840" w:leftChars="400"/>
    </w:pPr>
  </w:style>
  <w:style w:type="paragraph" w:styleId="18">
    <w:name w:val="Plain Text"/>
    <w:basedOn w:val="1"/>
    <w:qFormat/>
    <w:uiPriority w:val="99"/>
    <w:pPr>
      <w:autoSpaceDE w:val="0"/>
      <w:autoSpaceDN w:val="0"/>
      <w:adjustRightInd w:val="0"/>
    </w:pPr>
    <w:rPr>
      <w:rFonts w:ascii="宋体" w:hAnsi="Tms Rmn" w:cstheme="minorBidi"/>
      <w:szCs w:val="22"/>
    </w:rPr>
  </w:style>
  <w:style w:type="paragraph" w:styleId="19">
    <w:name w:val="toc 8"/>
    <w:basedOn w:val="1"/>
    <w:next w:val="1"/>
    <w:qFormat/>
    <w:uiPriority w:val="39"/>
    <w:pPr>
      <w:ind w:left="2940" w:leftChars="1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2"/>
    <w:qFormat/>
    <w:uiPriority w:val="0"/>
    <w:rPr>
      <w:sz w:val="18"/>
      <w:szCs w:val="18"/>
    </w:rPr>
  </w:style>
  <w:style w:type="paragraph" w:styleId="22">
    <w:name w:val="footer"/>
    <w:basedOn w:val="1"/>
    <w:qFormat/>
    <w:uiPriority w:val="0"/>
    <w:pPr>
      <w:tabs>
        <w:tab w:val="center" w:pos="4153"/>
        <w:tab w:val="right" w:pos="8306"/>
      </w:tabs>
      <w:snapToGrid w:val="0"/>
      <w:jc w:val="left"/>
    </w:pPr>
    <w:rPr>
      <w:sz w:val="18"/>
      <w:szCs w:val="20"/>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24">
    <w:name w:val="toc 1"/>
    <w:basedOn w:val="1"/>
    <w:next w:val="1"/>
    <w:qFormat/>
    <w:uiPriority w:val="39"/>
  </w:style>
  <w:style w:type="paragraph" w:styleId="25">
    <w:name w:val="toc 4"/>
    <w:basedOn w:val="1"/>
    <w:next w:val="1"/>
    <w:qFormat/>
    <w:uiPriority w:val="39"/>
    <w:pPr>
      <w:ind w:left="1260" w:leftChars="600"/>
    </w:pPr>
  </w:style>
  <w:style w:type="paragraph" w:styleId="26">
    <w:name w:val="toc 6"/>
    <w:basedOn w:val="1"/>
    <w:next w:val="1"/>
    <w:qFormat/>
    <w:uiPriority w:val="39"/>
    <w:pPr>
      <w:ind w:left="2100" w:leftChars="1000"/>
    </w:pPr>
  </w:style>
  <w:style w:type="paragraph" w:styleId="27">
    <w:name w:val="toc 2"/>
    <w:basedOn w:val="1"/>
    <w:next w:val="1"/>
    <w:qFormat/>
    <w:uiPriority w:val="39"/>
    <w:pPr>
      <w:ind w:left="420" w:leftChars="200"/>
    </w:pPr>
  </w:style>
  <w:style w:type="paragraph" w:styleId="28">
    <w:name w:val="toc 9"/>
    <w:basedOn w:val="1"/>
    <w:next w:val="1"/>
    <w:qFormat/>
    <w:uiPriority w:val="39"/>
    <w:pPr>
      <w:ind w:left="3360" w:leftChars="1600"/>
    </w:pPr>
  </w:style>
  <w:style w:type="paragraph" w:styleId="29">
    <w:name w:val="Normal (Web)"/>
    <w:basedOn w:val="1"/>
    <w:qFormat/>
    <w:uiPriority w:val="0"/>
    <w:pPr>
      <w:widowControl/>
      <w:spacing w:before="100" w:beforeAutospacing="1" w:after="100" w:afterAutospacing="1"/>
      <w:jc w:val="left"/>
    </w:pPr>
    <w:rPr>
      <w:rFonts w:ascii="宋体"/>
      <w:kern w:val="0"/>
      <w:sz w:val="18"/>
      <w:szCs w:val="18"/>
    </w:rPr>
  </w:style>
  <w:style w:type="paragraph" w:styleId="30">
    <w:name w:val="annotation subject"/>
    <w:basedOn w:val="12"/>
    <w:next w:val="12"/>
    <w:link w:val="43"/>
    <w:qFormat/>
    <w:uiPriority w:val="0"/>
    <w:rPr>
      <w:b/>
      <w:bCs/>
    </w:rPr>
  </w:style>
  <w:style w:type="paragraph" w:styleId="31">
    <w:name w:val="Body Text First Indent 2"/>
    <w:basedOn w:val="14"/>
    <w:unhideWhenUsed/>
    <w:qFormat/>
    <w:uiPriority w:val="99"/>
    <w:pPr>
      <w:spacing w:before="100" w:beforeAutospacing="1" w:line="480" w:lineRule="exact"/>
      <w:ind w:left="0" w:leftChars="0" w:firstLine="420"/>
    </w:pPr>
    <w:rPr>
      <w:sz w:val="28"/>
      <w:szCs w:val="28"/>
    </w:rPr>
  </w:style>
  <w:style w:type="table" w:styleId="33">
    <w:name w:val="Table Grid"/>
    <w:basedOn w:val="32"/>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age number"/>
    <w:qFormat/>
    <w:uiPriority w:val="0"/>
  </w:style>
  <w:style w:type="character" w:styleId="36">
    <w:name w:val="FollowedHyperlink"/>
    <w:basedOn w:val="34"/>
    <w:unhideWhenUsed/>
    <w:qFormat/>
    <w:uiPriority w:val="0"/>
    <w:rPr>
      <w:color w:val="954F72" w:themeColor="followedHyperlink"/>
      <w:u w:val="single"/>
      <w14:textFill>
        <w14:solidFill>
          <w14:schemeClr w14:val="folHlink"/>
        </w14:solidFill>
      </w14:textFill>
    </w:rPr>
  </w:style>
  <w:style w:type="character" w:styleId="37">
    <w:name w:val="Hyperlink"/>
    <w:basedOn w:val="34"/>
    <w:unhideWhenUsed/>
    <w:qFormat/>
    <w:uiPriority w:val="99"/>
    <w:rPr>
      <w:color w:val="0563C1" w:themeColor="hyperlink"/>
      <w:u w:val="single"/>
      <w14:textFill>
        <w14:solidFill>
          <w14:schemeClr w14:val="hlink"/>
        </w14:solidFill>
      </w14:textFill>
    </w:rPr>
  </w:style>
  <w:style w:type="character" w:styleId="38">
    <w:name w:val="annotation reference"/>
    <w:qFormat/>
    <w:uiPriority w:val="99"/>
    <w:rPr>
      <w:sz w:val="21"/>
      <w:szCs w:val="21"/>
    </w:rPr>
  </w:style>
  <w:style w:type="character" w:customStyle="1" w:styleId="39">
    <w:name w:val="标题 1 Char"/>
    <w:link w:val="4"/>
    <w:qFormat/>
    <w:uiPriority w:val="0"/>
    <w:rPr>
      <w:b/>
      <w:bCs/>
      <w:kern w:val="44"/>
      <w:sz w:val="44"/>
      <w:szCs w:val="44"/>
    </w:rPr>
  </w:style>
  <w:style w:type="character" w:customStyle="1" w:styleId="40">
    <w:name w:val="文档结构图 Char"/>
    <w:link w:val="10"/>
    <w:qFormat/>
    <w:uiPriority w:val="0"/>
    <w:rPr>
      <w:rFonts w:ascii="宋体"/>
      <w:kern w:val="2"/>
      <w:sz w:val="18"/>
      <w:szCs w:val="18"/>
    </w:rPr>
  </w:style>
  <w:style w:type="character" w:customStyle="1" w:styleId="41">
    <w:name w:val="批注文字 Char"/>
    <w:link w:val="12"/>
    <w:qFormat/>
    <w:uiPriority w:val="0"/>
    <w:rPr>
      <w:kern w:val="2"/>
      <w:sz w:val="21"/>
      <w:szCs w:val="24"/>
    </w:rPr>
  </w:style>
  <w:style w:type="character" w:customStyle="1" w:styleId="42">
    <w:name w:val="批注框文本 Char"/>
    <w:link w:val="21"/>
    <w:qFormat/>
    <w:uiPriority w:val="0"/>
    <w:rPr>
      <w:kern w:val="2"/>
      <w:sz w:val="18"/>
      <w:szCs w:val="18"/>
    </w:rPr>
  </w:style>
  <w:style w:type="character" w:customStyle="1" w:styleId="43">
    <w:name w:val="批注主题 Char"/>
    <w:link w:val="30"/>
    <w:qFormat/>
    <w:uiPriority w:val="0"/>
    <w:rPr>
      <w:b/>
      <w:bCs/>
      <w:kern w:val="2"/>
      <w:sz w:val="21"/>
      <w:szCs w:val="24"/>
    </w:rPr>
  </w:style>
  <w:style w:type="character" w:customStyle="1" w:styleId="44">
    <w:name w:val="font91"/>
    <w:qFormat/>
    <w:uiPriority w:val="0"/>
    <w:rPr>
      <w:rFonts w:hint="eastAsia" w:ascii="宋体" w:hAnsi="宋体" w:eastAsia="宋体" w:cs="宋体"/>
      <w:color w:val="FF0000"/>
      <w:sz w:val="21"/>
      <w:szCs w:val="21"/>
      <w:u w:val="single"/>
    </w:rPr>
  </w:style>
  <w:style w:type="character" w:customStyle="1" w:styleId="45">
    <w:name w:val="font101"/>
    <w:qFormat/>
    <w:uiPriority w:val="0"/>
    <w:rPr>
      <w:rFonts w:hint="eastAsia" w:ascii="宋体" w:hAnsi="宋体" w:eastAsia="宋体" w:cs="宋体"/>
      <w:color w:val="000000"/>
      <w:sz w:val="21"/>
      <w:szCs w:val="21"/>
      <w:u w:val="single"/>
    </w:rPr>
  </w:style>
  <w:style w:type="character" w:customStyle="1" w:styleId="46">
    <w:name w:val="font111"/>
    <w:qFormat/>
    <w:uiPriority w:val="0"/>
    <w:rPr>
      <w:rFonts w:hint="default" w:ascii="Eʩ" w:hAnsi="Eʩ" w:eastAsia="Eʩ" w:cs="Eʩ"/>
      <w:color w:val="000000"/>
      <w:sz w:val="21"/>
      <w:szCs w:val="21"/>
      <w:u w:val="single"/>
    </w:rPr>
  </w:style>
  <w:style w:type="character" w:customStyle="1" w:styleId="47">
    <w:name w:val="font31"/>
    <w:qFormat/>
    <w:uiPriority w:val="0"/>
    <w:rPr>
      <w:rFonts w:hint="eastAsia" w:ascii="宋体" w:hAnsi="宋体" w:eastAsia="宋体" w:cs="宋体"/>
      <w:color w:val="000000"/>
      <w:sz w:val="21"/>
      <w:szCs w:val="21"/>
      <w:u w:val="none"/>
    </w:rPr>
  </w:style>
  <w:style w:type="paragraph" w:customStyle="1" w:styleId="48">
    <w:name w:val="正文1"/>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paragraph" w:customStyle="1" w:styleId="49">
    <w:name w:val="样式 首行缩进:  2 字符"/>
    <w:basedOn w:val="1"/>
    <w:qFormat/>
    <w:uiPriority w:val="0"/>
    <w:pPr>
      <w:spacing w:line="400" w:lineRule="exact"/>
      <w:ind w:firstLine="200" w:firstLineChars="200"/>
    </w:pPr>
    <w:rPr>
      <w:rFonts w:cs="宋体"/>
      <w:sz w:val="24"/>
    </w:rPr>
  </w:style>
  <w:style w:type="paragraph" w:customStyle="1" w:styleId="50">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51">
    <w:name w:val="正文首行缩进两字符"/>
    <w:basedOn w:val="1"/>
    <w:qFormat/>
    <w:uiPriority w:val="0"/>
    <w:pPr>
      <w:spacing w:line="360" w:lineRule="auto"/>
      <w:ind w:firstLine="200" w:firstLineChars="200"/>
      <w:jc w:val="left"/>
    </w:pPr>
    <w:rPr>
      <w:rFonts w:eastAsia="仿宋"/>
      <w:sz w:val="24"/>
    </w:rPr>
  </w:style>
  <w:style w:type="character" w:customStyle="1" w:styleId="52">
    <w:name w:val="批注文字 Char1"/>
    <w:basedOn w:val="34"/>
    <w:qFormat/>
    <w:uiPriority w:val="0"/>
    <w:rPr>
      <w:rFonts w:ascii="Times New Roman" w:hAnsi="Times New Roman" w:eastAsia="宋体" w:cs="Times New Roman"/>
      <w:szCs w:val="24"/>
    </w:rPr>
  </w:style>
  <w:style w:type="paragraph" w:customStyle="1" w:styleId="53">
    <w:name w:val="List Paragraph"/>
    <w:basedOn w:val="1"/>
    <w:link w:val="54"/>
    <w:unhideWhenUsed/>
    <w:qFormat/>
    <w:uiPriority w:val="99"/>
    <w:pPr>
      <w:ind w:firstLine="420" w:firstLineChars="200"/>
    </w:pPr>
  </w:style>
  <w:style w:type="character" w:customStyle="1" w:styleId="54">
    <w:name w:val="列出段落 Char"/>
    <w:link w:val="53"/>
    <w:qFormat/>
    <w:locked/>
    <w:uiPriority w:val="34"/>
    <w:rPr>
      <w:rFonts w:ascii="Calibri" w:hAnsi="Calibri"/>
      <w:kern w:val="2"/>
      <w:sz w:val="21"/>
      <w:szCs w:val="24"/>
    </w:rPr>
  </w:style>
  <w:style w:type="paragraph" w:customStyle="1" w:styleId="55">
    <w:name w:val="标题 5（有编号）（绿盟科技）"/>
    <w:basedOn w:val="1"/>
    <w:next w:val="56"/>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5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57">
    <w:name w:val="修订1"/>
    <w:hidden/>
    <w:semiHidden/>
    <w:qFormat/>
    <w:uiPriority w:val="99"/>
    <w:rPr>
      <w:rFonts w:ascii="Calibri" w:hAnsi="Calibri" w:eastAsia="宋体" w:cs="Times New Roman"/>
      <w:kern w:val="2"/>
      <w:sz w:val="21"/>
      <w:szCs w:val="24"/>
      <w:lang w:val="en-US" w:eastAsia="zh-CN" w:bidi="ar-SA"/>
    </w:rPr>
  </w:style>
  <w:style w:type="paragraph" w:customStyle="1" w:styleId="58">
    <w:name w:val="修订2"/>
    <w:hidden/>
    <w:semiHidden/>
    <w:qFormat/>
    <w:uiPriority w:val="99"/>
    <w:rPr>
      <w:rFonts w:ascii="Calibri" w:hAnsi="Calibri" w:eastAsia="宋体" w:cs="Times New Roman"/>
      <w:kern w:val="2"/>
      <w:sz w:val="21"/>
      <w:szCs w:val="24"/>
      <w:lang w:val="en-US" w:eastAsia="zh-CN" w:bidi="ar-SA"/>
    </w:rPr>
  </w:style>
  <w:style w:type="paragraph" w:customStyle="1" w:styleId="59">
    <w:name w:val="修订3"/>
    <w:hidden/>
    <w:semiHidden/>
    <w:qFormat/>
    <w:uiPriority w:val="99"/>
    <w:rPr>
      <w:rFonts w:ascii="Calibri" w:hAnsi="Calibri" w:eastAsia="宋体" w:cs="Times New Roman"/>
      <w:kern w:val="2"/>
      <w:sz w:val="21"/>
      <w:szCs w:val="24"/>
      <w:lang w:val="en-US" w:eastAsia="zh-CN" w:bidi="ar-SA"/>
    </w:rPr>
  </w:style>
  <w:style w:type="paragraph" w:customStyle="1" w:styleId="60">
    <w:name w:val="列出段落1"/>
    <w:basedOn w:val="1"/>
    <w:qFormat/>
    <w:uiPriority w:val="0"/>
    <w:pPr>
      <w:widowControl/>
      <w:spacing w:after="0" w:line="240" w:lineRule="auto"/>
      <w:ind w:firstLine="420" w:firstLineChars="200"/>
      <w:jc w:val="left"/>
    </w:pPr>
    <w:rPr>
      <w:rFonts w:hAnsi="宋体" w:cs="宋体" w:asciiTheme="minorHAnsi" w:eastAsiaTheme="minorEastAsia"/>
      <w:sz w:val="24"/>
      <w:szCs w:val="22"/>
    </w:rPr>
  </w:style>
  <w:style w:type="paragraph" w:customStyle="1" w:styleId="61">
    <w:name w:val="_正文段落"/>
    <w:basedOn w:val="1"/>
    <w:qFormat/>
    <w:uiPriority w:val="0"/>
    <w:pPr>
      <w:spacing w:after="0" w:line="360" w:lineRule="auto"/>
    </w:pPr>
    <w:rPr>
      <w:rFonts w:ascii="Times New Roman" w:hAnsi="Times New Roman" w:eastAsia="仿宋_GB2312"/>
      <w:sz w:val="28"/>
    </w:rPr>
  </w:style>
  <w:style w:type="paragraph" w:customStyle="1" w:styleId="62">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63">
    <w:name w:val="正文文本 Char"/>
    <w:basedOn w:val="34"/>
    <w:link w:val="2"/>
    <w:qFormat/>
    <w:uiPriority w:val="0"/>
    <w:rPr>
      <w:rFonts w:ascii="Calibri" w:hAnsi="Calibri"/>
      <w:kern w:val="2"/>
      <w:sz w:val="21"/>
      <w:szCs w:val="24"/>
    </w:rPr>
  </w:style>
  <w:style w:type="table" w:customStyle="1" w:styleId="64">
    <w:name w:val="网格型1"/>
    <w:basedOn w:val="32"/>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5">
    <w:name w:val="Normal"/>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66">
    <w:name w:val="表格"/>
    <w:basedOn w:val="1"/>
    <w:qFormat/>
    <w:uiPriority w:val="0"/>
    <w:pPr>
      <w:spacing w:line="400" w:lineRule="exact"/>
    </w:pPr>
    <w:rPr>
      <w:sz w:val="24"/>
    </w:rPr>
  </w:style>
  <w:style w:type="paragraph" w:customStyle="1" w:styleId="67">
    <w:name w:val="列出段落"/>
    <w:basedOn w:val="1"/>
    <w:qFormat/>
    <w:uiPriority w:val="0"/>
    <w:pPr>
      <w:ind w:firstLine="420" w:firstLineChars="200"/>
    </w:pPr>
  </w:style>
  <w:style w:type="paragraph" w:customStyle="1" w:styleId="68">
    <w:name w:val="WPSOffice手动目录 1"/>
    <w:qFormat/>
    <w:uiPriority w:val="0"/>
    <w:pPr>
      <w:ind w:leftChars="0"/>
    </w:pPr>
    <w:rPr>
      <w:rFonts w:ascii="Times New Roman" w:hAnsi="Times New Roman" w:eastAsia="宋体" w:cs="Times New Roman"/>
      <w:sz w:val="20"/>
      <w:szCs w:val="20"/>
    </w:rPr>
  </w:style>
  <w:style w:type="paragraph" w:customStyle="1" w:styleId="69">
    <w:name w:val="WPSOffice手动目录 2"/>
    <w:qFormat/>
    <w:uiPriority w:val="0"/>
    <w:pPr>
      <w:ind w:leftChars="200"/>
    </w:pPr>
    <w:rPr>
      <w:rFonts w:ascii="Times New Roman" w:hAnsi="Times New Roman" w:eastAsia="宋体" w:cs="Times New Roman"/>
      <w:sz w:val="20"/>
      <w:szCs w:val="20"/>
    </w:rPr>
  </w:style>
  <w:style w:type="paragraph" w:customStyle="1" w:styleId="70">
    <w:name w:val="_Style 3"/>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header" Target="header2.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68</Pages>
  <Words>13208</Words>
  <Characters>14032</Characters>
  <Lines>299</Lines>
  <Paragraphs>84</Paragraphs>
  <TotalTime>1</TotalTime>
  <ScaleCrop>false</ScaleCrop>
  <LinksUpToDate>false</LinksUpToDate>
  <CharactersWithSpaces>14782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2017-12-15T17:14:00Z</dcterms:created>
  <dc:creator>s</dc:creator>
  <cp:lastModifiedBy>&amp;</cp:lastModifiedBy>
  <dcterms:modified xsi:type="dcterms:W3CDTF">2025-04-22T08:32:50Z</dcterms:modified>
  <dc:title>招标编号：xxxx [xxxx] xx号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F210C224E29C4B3F9025B9C36D46F075</vt:lpwstr>
  </property>
  <property fmtid="{D5CDD505-2E9C-101B-9397-08002B2CF9AE}" pid="4" name="KSOTemplateDocerSaveRecord">
    <vt:lpwstr>eyJoZGlkIjoiYzI1NTQyOTM3MzFhNGE2ZmJjOTYyNjJjMzU1MzMxNTYiLCJ1c2VySWQiOiI3NjE2NjE2NTUifQ==</vt:lpwstr>
  </property>
</Properties>
</file>