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color w:val="auto"/>
          <w:highlight w:val="none"/>
        </w:rPr>
      </w:pPr>
      <w:r>
        <w:rPr>
          <w:rFonts w:hint="eastAsia" w:ascii="方正小标宋简体" w:hAnsi="方正小标宋简体" w:eastAsia="方正小标宋简体" w:cs="方正小标宋简体"/>
          <w:b w:val="0"/>
          <w:bCs/>
          <w:color w:val="auto"/>
          <w:highlight w:val="none"/>
        </w:rPr>
        <w:t>富顺县中医医院</w:t>
      </w:r>
    </w:p>
    <w:p>
      <w:pPr>
        <w:pStyle w:val="3"/>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方正小标宋简体" w:hAnsi="方正小标宋简体" w:eastAsia="方正小标宋简体" w:cs="方正小标宋简体"/>
          <w:b w:val="0"/>
          <w:bCs/>
          <w:color w:val="auto"/>
          <w:highlight w:val="none"/>
          <w:shd w:val="clear" w:color="auto" w:fill="auto"/>
          <w:lang w:val="en-US"/>
        </w:rPr>
      </w:pPr>
      <w:r>
        <w:rPr>
          <w:rFonts w:hint="eastAsia" w:ascii="方正小标宋简体" w:hAnsi="方正小标宋简体" w:eastAsia="方正小标宋简体" w:cs="方正小标宋简体"/>
          <w:b w:val="0"/>
          <w:bCs/>
          <w:color w:val="auto"/>
          <w:highlight w:val="none"/>
          <w:lang w:val="en-US" w:eastAsia="zh-CN"/>
        </w:rPr>
        <w:t>2026-2027年</w:t>
      </w:r>
      <w:r>
        <w:rPr>
          <w:rFonts w:hint="eastAsia" w:ascii="方正小标宋简体" w:hAnsi="方正小标宋简体" w:eastAsia="方正小标宋简体" w:cs="方正小标宋简体"/>
          <w:b w:val="0"/>
          <w:bCs/>
          <w:color w:val="auto"/>
          <w:highlight w:val="none"/>
        </w:rPr>
        <w:t>直购电服务</w:t>
      </w:r>
      <w:r>
        <w:rPr>
          <w:rFonts w:hint="eastAsia" w:ascii="方正小标宋简体" w:hAnsi="方正小标宋简体" w:eastAsia="方正小标宋简体" w:cs="方正小标宋简体"/>
          <w:b w:val="0"/>
          <w:bCs/>
          <w:color w:val="auto"/>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shd w:val="clear" w:color="auto" w:fill="auto"/>
          <w:lang w:val="en-US" w:eastAsia="zh-CN"/>
        </w:rPr>
      </w:pPr>
    </w:p>
    <w:p>
      <w:pPr>
        <w:pStyle w:val="10"/>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一</w:t>
      </w:r>
      <w:r>
        <w:rPr>
          <w:rFonts w:hint="eastAsia" w:ascii="黑体" w:hAnsi="黑体" w:eastAsia="黑体" w:cs="黑体"/>
          <w:b w:val="0"/>
          <w:bCs/>
          <w:sz w:val="30"/>
          <w:szCs w:val="30"/>
          <w:lang w:eastAsia="zh-CN"/>
        </w:rPr>
        <w:t>、</w:t>
      </w:r>
      <w:r>
        <w:rPr>
          <w:rFonts w:hint="eastAsia" w:ascii="黑体" w:hAnsi="黑体" w:eastAsia="黑体" w:cs="黑体"/>
          <w:b w:val="0"/>
          <w:bCs/>
          <w:sz w:val="30"/>
          <w:szCs w:val="30"/>
          <w:lang w:val="en-US" w:eastAsia="zh-CN"/>
        </w:rPr>
        <w:t>采购需求</w:t>
      </w:r>
    </w:p>
    <w:p>
      <w:pPr>
        <w:pStyle w:val="10"/>
        <w:keepNext w:val="0"/>
        <w:keepLines w:val="0"/>
        <w:pageBreakBefore w:val="0"/>
        <w:kinsoku/>
        <w:wordWrap/>
        <w:overflowPunct/>
        <w:topLinePunct w:val="0"/>
        <w:autoSpaceDE/>
        <w:autoSpaceDN/>
        <w:bidi w:val="0"/>
        <w:adjustRightInd/>
        <w:snapToGrid/>
        <w:spacing w:line="400" w:lineRule="exact"/>
        <w:ind w:firstLine="602" w:firstLineChars="200"/>
        <w:textAlignment w:val="auto"/>
        <w:rPr>
          <w:rFonts w:hint="default" w:ascii="仿宋" w:hAnsi="仿宋" w:eastAsia="仿宋" w:cs="仿宋"/>
          <w:b/>
          <w:sz w:val="30"/>
          <w:szCs w:val="30"/>
          <w:lang w:val="en-US"/>
        </w:rPr>
      </w:pPr>
      <w:r>
        <w:rPr>
          <w:rFonts w:hint="eastAsia" w:ascii="仿宋" w:hAnsi="仿宋" w:eastAsia="仿宋" w:cs="仿宋"/>
          <w:b/>
          <w:sz w:val="30"/>
          <w:szCs w:val="30"/>
          <w:lang w:eastAsia="zh-CN"/>
        </w:rPr>
        <w:t>（一）</w:t>
      </w:r>
      <w:r>
        <w:rPr>
          <w:rFonts w:hint="eastAsia" w:ascii="仿宋" w:hAnsi="仿宋" w:eastAsia="仿宋" w:cs="仿宋"/>
          <w:b/>
          <w:sz w:val="30"/>
          <w:szCs w:val="30"/>
          <w:lang w:val="en-US" w:eastAsia="zh-CN"/>
        </w:rPr>
        <w:t>采购内容</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1.富顺县中医医院直购电服务；</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2.富顺县中医医院电力运维免费服务（包含预试预检1次/年、季度巡检4次/年）。</w:t>
      </w:r>
    </w:p>
    <w:p>
      <w:pPr>
        <w:pStyle w:val="10"/>
        <w:keepNext w:val="0"/>
        <w:keepLines w:val="0"/>
        <w:pageBreakBefore w:val="0"/>
        <w:kinsoku/>
        <w:wordWrap/>
        <w:overflowPunct/>
        <w:topLinePunct w:val="0"/>
        <w:autoSpaceDE/>
        <w:autoSpaceDN/>
        <w:bidi w:val="0"/>
        <w:adjustRightInd/>
        <w:snapToGrid/>
        <w:spacing w:line="400" w:lineRule="exact"/>
        <w:ind w:firstLine="602" w:firstLineChars="200"/>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（二）采购年限</w:t>
      </w:r>
    </w:p>
    <w:p>
      <w:pPr>
        <w:pStyle w:val="10"/>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kern w:val="2"/>
          <w:sz w:val="30"/>
          <w:szCs w:val="30"/>
          <w:highlight w:val="none"/>
          <w:shd w:val="clear" w:color="auto" w:fill="auto"/>
          <w:lang w:val="en-US" w:eastAsia="zh-CN" w:bidi="ar-SA"/>
        </w:rPr>
        <w:t>2026年1月1日-2027年12月31日，共计2年。</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default"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color w:val="auto"/>
          <w:sz w:val="30"/>
          <w:szCs w:val="30"/>
          <w:highlight w:val="none"/>
          <w:shd w:val="clear" w:color="auto" w:fill="auto"/>
          <w:lang w:val="en-US" w:eastAsia="zh-CN"/>
        </w:rPr>
        <w:t>（三）采购预算</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采购限额：两年9000000.00元。4500000.00元/年（服务履约期限结束后，未使用完的金额不纳入采购人下一年度使用）。</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color w:val="auto"/>
          <w:sz w:val="30"/>
          <w:szCs w:val="30"/>
          <w:highlight w:val="none"/>
          <w:shd w:val="clear" w:color="auto" w:fill="auto"/>
          <w:lang w:val="en-US" w:eastAsia="zh-CN"/>
        </w:rPr>
        <w:t>（四）项目清单</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1.预估电量：富顺县中医医院年度预估电量（交易电量）如下，合计约6272兆瓦时（预估电量仅作为参考，以实际用电量为准，按照采购电价进行结算）：</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2116"/>
        <w:gridCol w:w="2116"/>
        <w:gridCol w:w="2120"/>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月份</w:t>
            </w:r>
          </w:p>
        </w:tc>
        <w:tc>
          <w:tcPr>
            <w:tcW w:w="38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户号：预估电量（兆瓦时）</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合计（兆瓦时）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5100288999652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5101046201387</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5101204377862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372</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378</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5250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6272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2.预防性试验项目清单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276"/>
        <w:gridCol w:w="4131"/>
        <w:gridCol w:w="781"/>
        <w:gridCol w:w="766"/>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检测保养描述</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变压器</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1、测量绕组直流电阻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2、变压器相位检测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3、绕组、铁芯绝缘测试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4、交流耐压试验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5、校核变压器接线组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6、变压器散热风机检查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7、温控仪高温报警检查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8、温控仪高温跳闸功能检查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9、变压器防护外罩壳、检修门检查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10、支撑绝缘瓷瓶、接地系统检查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11、比差测试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12、工频耐压试验</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含三个配电室的绝缘器具（绝缘鞋，绝缘手套，试电笔，接地装置，安全帽等）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高压柜</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2、交流耐压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3、导电回路电阻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4、继保调试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5、断路器调试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6、避雷器调试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7、互感器调试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8、断路器分合闸测试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9、继电保护整组传动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10、继保精度测试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11、二次回路绝缘测试</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环网柜</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2、交流耐压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3、导电回路电阻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4、避雷器调试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5、互感器调试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6、二次回路绝缘测试</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电力电缆</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1、绝缘电阻测试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2、直流耐压试验</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接地系统</w:t>
            </w:r>
          </w:p>
        </w:tc>
        <w:tc>
          <w:tcPr>
            <w:tcW w:w="22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1、接地电阻测试</w:t>
            </w:r>
          </w:p>
        </w:tc>
        <w:tc>
          <w:tcPr>
            <w:tcW w:w="4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aps w:val="0"/>
                <w:color w:val="auto"/>
                <w:spacing w:val="0"/>
                <w:sz w:val="24"/>
                <w:szCs w:val="24"/>
                <w:shd w:val="clear" w:fill="FFFFFF"/>
              </w:rPr>
              <w:t>服务要求：严格按照Q/GDW519-2010国家电网公司企业标准《配电网运行规程》和国家对电力运行维保的相关规定和规范标准对医院10KV变配电设施设备进行维护、保养，完成变配电年检预试1次并根据国家规范要求出具检测报告，每季度定期巡检，提供24小时应急服务及技术支持，期限</w:t>
            </w: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年。</w:t>
            </w:r>
          </w:p>
        </w:tc>
      </w:tr>
    </w:tbl>
    <w:p>
      <w:pPr>
        <w:pStyle w:val="10"/>
        <w:rPr>
          <w:rFonts w:hint="eastAsia" w:ascii="仿宋" w:hAnsi="仿宋" w:eastAsia="仿宋" w:cs="仿宋"/>
          <w:b/>
          <w:sz w:val="30"/>
          <w:szCs w:val="30"/>
          <w:lang w:eastAsia="zh-CN"/>
        </w:rPr>
      </w:pPr>
    </w:p>
    <w:p>
      <w:pPr>
        <w:pStyle w:val="10"/>
        <w:keepNext w:val="0"/>
        <w:keepLines w:val="0"/>
        <w:pageBreakBefore w:val="0"/>
        <w:kinsoku/>
        <w:wordWrap/>
        <w:overflowPunct/>
        <w:topLinePunct w:val="0"/>
        <w:autoSpaceDE/>
        <w:autoSpaceDN/>
        <w:bidi w:val="0"/>
        <w:adjustRightInd/>
        <w:snapToGrid/>
        <w:spacing w:beforeAutospacing="0" w:line="400" w:lineRule="exact"/>
        <w:ind w:firstLine="602" w:firstLineChars="200"/>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★（五）服务要求</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1.投标人须熟知直购电政策，向采购人提供购电代理交易服务，协助采购人申请办理直购电有关手续（协助办理过程中所产生的费用由投标人全部承担）。</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2.向采购人提供季度、年度用电数据分析服务，分析内容应体现直购电服务的经济效用（履约期内同等用电量情况下节省电费支出的具体数据），同时根据采购人历史用电行为特征 、用电需求等特点，从行业特点、客户价值、用电需求等方面进行分析，为采购人提供用电建议。</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3.向采购人提供交易规则、电价政策、电费补贴等政策咨询服务。</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4.投标人须向采购人提供真实准确的有关电力直接交易的相关信息及资料，不得提供虚假的或误导性的信息。</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5.依据四川电力市场有关交易规则及年度指导意见计算的偏差电量考核费由投标人全部承担。</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6.供电保障：</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（1）根据采购人单位作为医疗机构的特殊性质，全面开展高危及重要电安全隐患排查咨询。</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（2）对采购人进行用电培训，做好停电事故应急预案，防止发生供电安全责任事故，提高安全用电管理水平，营造安全、稳定、和谐的供用电环境。</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（3）通过分析电能量采集装置的实时数据，为采购人诊断电网运行的经济性，安全性。</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7.预试预检：</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（1）对采购人的变压器、高压柜、环网柜、电力电缆、接地系统等免费进行预试预检。</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（2）对供电安全管理，加强装表接电、采集终端安装、用电检查等现场作业的安全管控提出合理建议。</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8.后续服务：派遣电力工程师到采购人单位了解分析用电设备及其负荷，协助采购人管理部门做好用电负荷及电量预测。</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textAlignment w:val="auto"/>
        <w:rPr>
          <w:rFonts w:hint="default" w:ascii="黑体" w:hAnsi="黑体" w:eastAsia="黑体" w:cs="黑体"/>
          <w:b w:val="0"/>
          <w:bCs/>
          <w:sz w:val="30"/>
          <w:szCs w:val="30"/>
          <w:highlight w:val="none"/>
          <w:lang w:val="en-US" w:eastAsia="zh-CN"/>
        </w:rPr>
      </w:pPr>
      <w:r>
        <w:rPr>
          <w:rFonts w:hint="eastAsia" w:ascii="黑体" w:hAnsi="黑体" w:eastAsia="黑体" w:cs="黑体"/>
          <w:b w:val="0"/>
          <w:bCs w:val="0"/>
          <w:sz w:val="30"/>
          <w:szCs w:val="30"/>
          <w:highlight w:val="none"/>
          <w:lang w:val="en-US" w:eastAsia="zh-CN"/>
        </w:rPr>
        <w:t>二、</w:t>
      </w:r>
      <w:r>
        <w:rPr>
          <w:rFonts w:hint="eastAsia" w:ascii="黑体" w:hAnsi="黑体" w:eastAsia="黑体" w:cs="黑体"/>
          <w:b w:val="0"/>
          <w:bCs/>
          <w:sz w:val="30"/>
          <w:szCs w:val="30"/>
          <w:highlight w:val="none"/>
          <w:lang w:val="en-US" w:eastAsia="zh-CN"/>
        </w:rPr>
        <w:t>报价要求</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3088"/>
        <w:gridCol w:w="1400"/>
        <w:gridCol w:w="1271"/>
        <w:gridCol w:w="1271"/>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414"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05"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报价内容</w:t>
            </w:r>
          </w:p>
        </w:tc>
        <w:tc>
          <w:tcPr>
            <w:tcW w:w="773"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报价单位</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705" w:type="pct"/>
          </w:tcPr>
          <w:p>
            <w:pPr>
              <w:pStyle w:val="10"/>
              <w:jc w:val="left"/>
              <w:rPr>
                <w:rFonts w:hint="eastAsia" w:ascii="仿宋" w:hAnsi="仿宋" w:eastAsia="仿宋" w:cs="仿宋"/>
                <w:sz w:val="24"/>
                <w:szCs w:val="24"/>
                <w:lang w:eastAsia="zh-CN"/>
              </w:rPr>
            </w:pPr>
            <w:r>
              <w:rPr>
                <w:rFonts w:hint="eastAsia" w:ascii="仿宋" w:hAnsi="仿宋" w:eastAsia="仿宋" w:cs="仿宋"/>
                <w:sz w:val="24"/>
                <w:szCs w:val="24"/>
              </w:rPr>
              <w:t>丰水期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6-10月</w:t>
            </w:r>
            <w:r>
              <w:rPr>
                <w:rFonts w:hint="eastAsia" w:ascii="仿宋" w:hAnsi="仿宋" w:eastAsia="仿宋" w:cs="仿宋"/>
                <w:sz w:val="24"/>
                <w:szCs w:val="24"/>
                <w:lang w:eastAsia="zh-CN"/>
              </w:rPr>
              <w:t>）</w:t>
            </w:r>
          </w:p>
        </w:tc>
        <w:tc>
          <w:tcPr>
            <w:tcW w:w="773"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tcPr>
          <w:p>
            <w:pPr>
              <w:pStyle w:val="1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211</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1705" w:type="pct"/>
          </w:tcPr>
          <w:p>
            <w:pPr>
              <w:pStyle w:val="10"/>
              <w:jc w:val="left"/>
              <w:rPr>
                <w:rFonts w:hint="eastAsia" w:ascii="仿宋" w:hAnsi="仿宋" w:eastAsia="仿宋" w:cs="仿宋"/>
                <w:sz w:val="24"/>
                <w:szCs w:val="24"/>
                <w:lang w:eastAsia="zh-CN"/>
              </w:rPr>
            </w:pPr>
            <w:r>
              <w:rPr>
                <w:rFonts w:hint="eastAsia" w:ascii="仿宋" w:hAnsi="仿宋" w:eastAsia="仿宋" w:cs="仿宋"/>
                <w:sz w:val="24"/>
                <w:szCs w:val="24"/>
              </w:rPr>
              <w:t>平水期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5月、11月</w:t>
            </w:r>
            <w:r>
              <w:rPr>
                <w:rFonts w:hint="eastAsia" w:ascii="仿宋" w:hAnsi="仿宋" w:eastAsia="仿宋" w:cs="仿宋"/>
                <w:sz w:val="24"/>
                <w:szCs w:val="24"/>
                <w:lang w:eastAsia="zh-CN"/>
              </w:rPr>
              <w:t>）</w:t>
            </w:r>
          </w:p>
        </w:tc>
        <w:tc>
          <w:tcPr>
            <w:tcW w:w="773"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tcPr>
          <w:p>
            <w:pPr>
              <w:pStyle w:val="1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333</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4"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3</w:t>
            </w:r>
          </w:p>
        </w:tc>
        <w:tc>
          <w:tcPr>
            <w:tcW w:w="1705" w:type="pct"/>
          </w:tcPr>
          <w:p>
            <w:pPr>
              <w:pStyle w:val="10"/>
              <w:jc w:val="left"/>
              <w:rPr>
                <w:rFonts w:hint="eastAsia" w:ascii="仿宋" w:hAnsi="仿宋" w:eastAsia="仿宋" w:cs="仿宋"/>
                <w:sz w:val="24"/>
                <w:szCs w:val="24"/>
              </w:rPr>
            </w:pPr>
            <w:r>
              <w:rPr>
                <w:rFonts w:hint="eastAsia" w:ascii="仿宋" w:hAnsi="仿宋" w:eastAsia="仿宋" w:cs="仿宋"/>
                <w:sz w:val="24"/>
                <w:szCs w:val="24"/>
              </w:rPr>
              <w:t>枯水期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1-4月、12月</w:t>
            </w:r>
            <w:r>
              <w:rPr>
                <w:rFonts w:hint="eastAsia" w:ascii="仿宋" w:hAnsi="仿宋" w:eastAsia="仿宋" w:cs="仿宋"/>
                <w:sz w:val="24"/>
                <w:szCs w:val="24"/>
                <w:lang w:eastAsia="zh-CN"/>
              </w:rPr>
              <w:t>）</w:t>
            </w:r>
          </w:p>
        </w:tc>
        <w:tc>
          <w:tcPr>
            <w:tcW w:w="773"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tcPr>
          <w:p>
            <w:pPr>
              <w:pStyle w:val="1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415</w:t>
            </w:r>
          </w:p>
        </w:tc>
        <w:tc>
          <w:tcPr>
            <w:tcW w:w="702" w:type="pct"/>
          </w:tcPr>
          <w:p>
            <w:pPr>
              <w:pStyle w:val="10"/>
              <w:jc w:val="center"/>
              <w:rPr>
                <w:rFonts w:hint="eastAsia" w:ascii="仿宋" w:hAnsi="仿宋" w:eastAsia="仿宋" w:cs="仿宋"/>
                <w:sz w:val="24"/>
                <w:szCs w:val="24"/>
              </w:rPr>
            </w:pPr>
            <w:r>
              <w:rPr>
                <w:rFonts w:hint="eastAsia" w:ascii="仿宋" w:hAnsi="仿宋" w:eastAsia="仿宋" w:cs="仿宋"/>
                <w:sz w:val="24"/>
                <w:szCs w:val="24"/>
              </w:rPr>
              <w:t>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6"/>
          </w:tcPr>
          <w:p>
            <w:pPr>
              <w:pStyle w:val="1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备注：零售市场阶梯套餐</w:t>
            </w:r>
          </w:p>
        </w:tc>
      </w:tr>
    </w:tbl>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1.本项目预算金额包含：（交易电价+电费单价中除交易电价外的组成部分）*预估电量，以及中标人工作人员的工勤费用以及合同实施过程中的可预见及不可预见费用。采购人不再向中标人另行支付任何费用。 </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2.报价方式：</w:t>
      </w:r>
      <w:r>
        <w:rPr>
          <w:rFonts w:hint="eastAsia" w:ascii="仿宋" w:hAnsi="仿宋" w:eastAsia="仿宋" w:cs="仿宋"/>
          <w:color w:val="auto"/>
          <w:sz w:val="30"/>
          <w:szCs w:val="30"/>
          <w:highlight w:val="none"/>
          <w:shd w:val="clear" w:color="auto" w:fill="auto"/>
          <w:lang w:val="en-US" w:eastAsia="zh-CN"/>
        </w:rPr>
        <w:t>投标人须</w:t>
      </w:r>
      <w:r>
        <w:rPr>
          <w:rFonts w:hint="eastAsia" w:ascii="仿宋" w:hAnsi="仿宋" w:eastAsia="仿宋" w:cs="仿宋"/>
          <w:color w:val="auto"/>
          <w:sz w:val="30"/>
          <w:szCs w:val="30"/>
          <w:highlight w:val="none"/>
          <w:shd w:val="clear" w:color="auto" w:fill="auto"/>
        </w:rPr>
        <w:t>对</w:t>
      </w:r>
      <w:r>
        <w:rPr>
          <w:rFonts w:hint="eastAsia" w:ascii="仿宋" w:hAnsi="仿宋" w:eastAsia="仿宋" w:cs="仿宋"/>
          <w:color w:val="auto"/>
          <w:sz w:val="30"/>
          <w:szCs w:val="30"/>
          <w:highlight w:val="none"/>
          <w:shd w:val="clear" w:color="auto" w:fill="auto"/>
          <w:lang w:val="en-US" w:eastAsia="zh-CN"/>
        </w:rPr>
        <w:t>交易电价进行分水期</w:t>
      </w:r>
      <w:r>
        <w:rPr>
          <w:rFonts w:hint="eastAsia" w:ascii="仿宋" w:hAnsi="仿宋" w:eastAsia="仿宋" w:cs="仿宋"/>
          <w:color w:val="auto"/>
          <w:sz w:val="30"/>
          <w:szCs w:val="30"/>
          <w:highlight w:val="none"/>
          <w:shd w:val="clear" w:color="auto" w:fill="auto"/>
        </w:rPr>
        <w:t>报价，</w:t>
      </w:r>
      <w:r>
        <w:rPr>
          <w:rFonts w:hint="eastAsia" w:ascii="仿宋" w:hAnsi="仿宋" w:eastAsia="仿宋" w:cs="仿宋"/>
          <w:color w:val="auto"/>
          <w:sz w:val="30"/>
          <w:szCs w:val="30"/>
          <w:highlight w:val="none"/>
          <w:shd w:val="clear" w:color="auto" w:fill="auto"/>
          <w:lang w:val="en-US" w:eastAsia="zh-CN"/>
        </w:rPr>
        <w:t>可保留至小数点后1位数，</w:t>
      </w:r>
      <w:r>
        <w:rPr>
          <w:rFonts w:hint="eastAsia" w:ascii="仿宋" w:hAnsi="仿宋" w:eastAsia="仿宋" w:cs="仿宋"/>
          <w:b w:val="0"/>
          <w:bCs w:val="0"/>
          <w:sz w:val="30"/>
          <w:szCs w:val="30"/>
          <w:highlight w:val="none"/>
          <w:lang w:val="en-US" w:eastAsia="zh-CN"/>
        </w:rPr>
        <w:t>超过最高限价或未按报价要求报价的为无效响</w:t>
      </w:r>
      <w:bookmarkStart w:id="0" w:name="_GoBack"/>
      <w:bookmarkEnd w:id="0"/>
      <w:r>
        <w:rPr>
          <w:rFonts w:hint="eastAsia" w:ascii="仿宋" w:hAnsi="仿宋" w:eastAsia="仿宋" w:cs="仿宋"/>
          <w:b w:val="0"/>
          <w:bCs w:val="0"/>
          <w:sz w:val="30"/>
          <w:szCs w:val="30"/>
          <w:highlight w:val="none"/>
          <w:lang w:val="en-US" w:eastAsia="zh-CN"/>
        </w:rPr>
        <w:t xml:space="preserve">应。电费单价中除交易电价以外的组成部分为不可竞争费用，严格按照政府相关部门政策执行。 </w:t>
      </w:r>
    </w:p>
    <w:p>
      <w:pPr>
        <w:pStyle w:val="10"/>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3.结算方式：每月据实结算。每月结算电价=每月实际到户结算电量（以供电公司计量点关口表计量的电量为准）*（交易电价+除交易电价外的电费组成部分），实际用电量超出基础交易电量部分，浮动交易电价按交易电价单价加0.1元/兆瓦时最终形成浮动交易电价执行。合同履约期内，结算电价由采购人直接向电网企业缴纳上月电费，中标人的电价交易结算由电网企业与相应电力交易机构按相关规定另行完成。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00" w:firstLineChars="200"/>
        <w:jc w:val="left"/>
        <w:textAlignment w:val="auto"/>
        <w:rPr>
          <w:rFonts w:hint="eastAsia" w:ascii="仿宋" w:hAnsi="仿宋" w:eastAsia="仿宋" w:cs="仿宋"/>
          <w:color w:val="auto"/>
          <w:sz w:val="30"/>
          <w:szCs w:val="30"/>
          <w:highlight w:val="none"/>
          <w:shd w:val="clear" w:color="auto" w:fill="auto"/>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76399dbf-f6db-4984-911d-8912cc12c247"/>
  </w:docVars>
  <w:rsids>
    <w:rsidRoot w:val="00000000"/>
    <w:rsid w:val="01254BA3"/>
    <w:rsid w:val="03D426D8"/>
    <w:rsid w:val="046D3805"/>
    <w:rsid w:val="047E7B5C"/>
    <w:rsid w:val="04EA24E3"/>
    <w:rsid w:val="057064CC"/>
    <w:rsid w:val="06A40F90"/>
    <w:rsid w:val="07FF7612"/>
    <w:rsid w:val="0A434869"/>
    <w:rsid w:val="0B905D8E"/>
    <w:rsid w:val="0C004584"/>
    <w:rsid w:val="0FD10BBE"/>
    <w:rsid w:val="103324D1"/>
    <w:rsid w:val="104524C2"/>
    <w:rsid w:val="109602E0"/>
    <w:rsid w:val="11112D3E"/>
    <w:rsid w:val="11FD2FE8"/>
    <w:rsid w:val="12163A49"/>
    <w:rsid w:val="14145403"/>
    <w:rsid w:val="1BBB1BBC"/>
    <w:rsid w:val="1D556936"/>
    <w:rsid w:val="1DF4614E"/>
    <w:rsid w:val="1E71779F"/>
    <w:rsid w:val="1F476625"/>
    <w:rsid w:val="22A44D63"/>
    <w:rsid w:val="22BB25DD"/>
    <w:rsid w:val="26D66D39"/>
    <w:rsid w:val="26E620A4"/>
    <w:rsid w:val="283D06F2"/>
    <w:rsid w:val="28FC47DA"/>
    <w:rsid w:val="29A749BD"/>
    <w:rsid w:val="2B2A78A3"/>
    <w:rsid w:val="2B961881"/>
    <w:rsid w:val="2E8822E7"/>
    <w:rsid w:val="306E25BE"/>
    <w:rsid w:val="31AA329C"/>
    <w:rsid w:val="326A1C8B"/>
    <w:rsid w:val="32E77BD8"/>
    <w:rsid w:val="35491FA1"/>
    <w:rsid w:val="3C5710FF"/>
    <w:rsid w:val="3F640FAD"/>
    <w:rsid w:val="41EF030D"/>
    <w:rsid w:val="447E6459"/>
    <w:rsid w:val="448D4A83"/>
    <w:rsid w:val="48901F28"/>
    <w:rsid w:val="4CAA3ACC"/>
    <w:rsid w:val="4D3C7046"/>
    <w:rsid w:val="500C20E7"/>
    <w:rsid w:val="50977394"/>
    <w:rsid w:val="5199302A"/>
    <w:rsid w:val="54C855A5"/>
    <w:rsid w:val="550C1F1C"/>
    <w:rsid w:val="56993E5F"/>
    <w:rsid w:val="56C80241"/>
    <w:rsid w:val="59D328A5"/>
    <w:rsid w:val="5A130F3C"/>
    <w:rsid w:val="5B1F7E26"/>
    <w:rsid w:val="5CD123BD"/>
    <w:rsid w:val="5F837DD1"/>
    <w:rsid w:val="60C10CF9"/>
    <w:rsid w:val="61627194"/>
    <w:rsid w:val="624878DA"/>
    <w:rsid w:val="63626535"/>
    <w:rsid w:val="637D57DA"/>
    <w:rsid w:val="64DE3ED7"/>
    <w:rsid w:val="65007760"/>
    <w:rsid w:val="66573403"/>
    <w:rsid w:val="68947BC7"/>
    <w:rsid w:val="6AEC0441"/>
    <w:rsid w:val="6B92506E"/>
    <w:rsid w:val="6CB52DA9"/>
    <w:rsid w:val="6FBC0660"/>
    <w:rsid w:val="7445564D"/>
    <w:rsid w:val="753F332B"/>
    <w:rsid w:val="774374CF"/>
    <w:rsid w:val="7E4A1147"/>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qFormat/>
    <w:uiPriority w:val="0"/>
    <w:rPr>
      <w:rFonts w:hint="eastAsia" w:ascii="Calibri" w:hAnsi="Calibri" w:eastAsia="宋体" w:cs="Times New Roman"/>
      <w:lang w:val="en-US" w:eastAsia="zh-Hans"/>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1926</Words>
  <Characters>2177</Characters>
  <Lines>0</Lines>
  <Paragraphs>0</Paragraphs>
  <TotalTime>15</TotalTime>
  <ScaleCrop>false</ScaleCrop>
  <LinksUpToDate>false</LinksUpToDate>
  <CharactersWithSpaces>2181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2024-09-24T00:30:00Z</dcterms:created>
  <dc:creator>富顺中医院</dc:creator>
  <cp:lastModifiedBy>蜀丶阿布</cp:lastModifiedBy>
  <cp:lastPrinted>2025-05-20T07:06:00Z</cp:lastPrinted>
  <dcterms:modified xsi:type="dcterms:W3CDTF">2025-05-20T07:35:06Z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1B8DEE4607B54606B668E6A4FD485ACA_13</vt:lpwstr>
  </property>
  <property fmtid="{D5CDD505-2E9C-101B-9397-08002B2CF9AE}" pid="4" name="KSOTemplateDocerSaveRecord">
    <vt:lpwstr>eyJoZGlkIjoiODIxYmVhMGNlMjFmMTM4N2M0ZDgzNDFhNTNlODllY2IiLCJ1c2VySWQiOiI0MzQxNTU2ODAifQ==</vt:lpwstr>
  </property>
</Properties>
</file>