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8ED87">
      <w:pPr>
        <w:pStyle w:val="5"/>
        <w:pageBreakBefore w:val="0"/>
        <w:kinsoku/>
        <w:wordWrap/>
        <w:overflowPunct/>
        <w:topLinePunct w:val="0"/>
        <w:autoSpaceDE/>
        <w:autoSpaceDN/>
        <w:bidi w:val="0"/>
        <w:adjustRightInd/>
        <w:snapToGrid/>
        <w:spacing w:before="0" w:after="0" w:line="400" w:lineRule="exact"/>
        <w:jc w:val="center"/>
        <w:rPr>
          <w:rFonts w:hint="eastAsia" w:ascii="宋体" w:hAnsi="宋体" w:cs="宋体"/>
          <w:color w:val="000000"/>
          <w:sz w:val="36"/>
          <w:szCs w:val="36"/>
        </w:rPr>
      </w:pPr>
      <w:bookmarkStart w:id="0" w:name="_Toc13691"/>
      <w:bookmarkStart w:id="1" w:name="_Toc24541"/>
      <w:bookmarkStart w:id="2" w:name="_Toc17663"/>
      <w:bookmarkStart w:id="3" w:name="_Toc22364"/>
      <w:bookmarkStart w:id="4" w:name="_Toc217446094"/>
      <w:bookmarkStart w:id="5" w:name="_Toc31903"/>
      <w:bookmarkStart w:id="6" w:name="_Toc11445"/>
      <w:r>
        <w:rPr>
          <w:rFonts w:hint="eastAsia" w:ascii="宋体" w:hAnsi="宋体" w:cs="宋体"/>
          <w:color w:val="000000"/>
          <w:sz w:val="36"/>
          <w:szCs w:val="36"/>
        </w:rPr>
        <w:t>富顺县中医医院</w:t>
      </w:r>
    </w:p>
    <w:p w14:paraId="6A5D26A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eastAsia" w:eastAsia="黑体" w:cs="宋体"/>
          <w:b/>
          <w:bCs/>
          <w:color w:val="000000"/>
          <w:kern w:val="2"/>
          <w:sz w:val="36"/>
          <w:szCs w:val="36"/>
          <w:lang w:val="en-US" w:eastAsia="zh-CN" w:bidi="ar-SA"/>
        </w:rPr>
      </w:pPr>
      <w:bookmarkStart w:id="7" w:name="OLE_LINK2"/>
      <w:r>
        <w:rPr>
          <w:rFonts w:hint="eastAsia" w:eastAsia="黑体" w:cs="宋体"/>
          <w:b/>
          <w:bCs/>
          <w:color w:val="000000"/>
          <w:kern w:val="2"/>
          <w:sz w:val="36"/>
          <w:szCs w:val="36"/>
          <w:lang w:val="en-US" w:eastAsia="zh-CN" w:bidi="ar-SA"/>
        </w:rPr>
        <w:t>绿化维护及各类盆栽植物租赁维护服务项</w:t>
      </w:r>
      <w:bookmarkStart w:id="8" w:name="OLE_LINK1"/>
      <w:r>
        <w:rPr>
          <w:rFonts w:hint="eastAsia" w:eastAsia="黑体" w:cs="宋体"/>
          <w:b/>
          <w:bCs/>
          <w:color w:val="000000"/>
          <w:kern w:val="2"/>
          <w:sz w:val="36"/>
          <w:szCs w:val="36"/>
          <w:lang w:val="en-US" w:eastAsia="zh-CN" w:bidi="ar-SA"/>
        </w:rPr>
        <w:t>目</w:t>
      </w:r>
      <w:bookmarkEnd w:id="7"/>
    </w:p>
    <w:p w14:paraId="0255282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default" w:ascii="宋体" w:hAnsi="宋体" w:eastAsia="黑体" w:cs="宋体"/>
          <w:b/>
          <w:bCs/>
          <w:color w:val="000000"/>
          <w:kern w:val="2"/>
          <w:sz w:val="36"/>
          <w:szCs w:val="36"/>
          <w:lang w:val="en-US" w:eastAsia="zh-CN" w:bidi="ar-SA"/>
        </w:rPr>
      </w:pPr>
      <w:r>
        <w:rPr>
          <w:rFonts w:hint="eastAsia" w:eastAsia="黑体" w:cs="宋体"/>
          <w:b/>
          <w:bCs/>
          <w:color w:val="000000"/>
          <w:kern w:val="2"/>
          <w:sz w:val="36"/>
          <w:szCs w:val="36"/>
          <w:lang w:val="en-US" w:eastAsia="zh-CN" w:bidi="ar-SA"/>
        </w:rPr>
        <w:t>采购需求</w:t>
      </w:r>
    </w:p>
    <w:bookmarkEnd w:id="8"/>
    <w:p w14:paraId="018D336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eastAsia" w:ascii="宋体" w:hAnsi="宋体" w:eastAsia="黑体" w:cs="宋体"/>
          <w:b/>
          <w:bCs/>
          <w:color w:val="000000"/>
          <w:kern w:val="2"/>
          <w:sz w:val="36"/>
          <w:szCs w:val="36"/>
          <w:lang w:val="en-US" w:eastAsia="zh-CN" w:bidi="ar-SA"/>
        </w:rPr>
      </w:pPr>
    </w:p>
    <w:p w14:paraId="35233172">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一、项目概述</w:t>
      </w:r>
      <w:bookmarkEnd w:id="0"/>
      <w:bookmarkEnd w:id="1"/>
      <w:bookmarkEnd w:id="2"/>
      <w:bookmarkEnd w:id="3"/>
      <w:bookmarkEnd w:id="4"/>
      <w:bookmarkEnd w:id="5"/>
      <w:bookmarkEnd w:id="6"/>
    </w:p>
    <w:p w14:paraId="61A0C9DD">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9" w:name="_Toc217446095"/>
      <w:r>
        <w:rPr>
          <w:rFonts w:hint="eastAsia" w:ascii="宋体" w:hAnsi="宋体" w:eastAsia="宋体" w:cs="宋体"/>
          <w:b w:val="0"/>
          <w:bCs w:val="0"/>
          <w:color w:val="auto"/>
          <w:kern w:val="0"/>
          <w:sz w:val="24"/>
          <w:szCs w:val="24"/>
          <w:lang w:val="en-US" w:eastAsia="zh-CN" w:bidi="ar-SA"/>
        </w:rPr>
        <w:t>本项目为富顺县中医医院</w:t>
      </w:r>
      <w:r>
        <w:rPr>
          <w:rFonts w:hint="eastAsia" w:ascii="宋体" w:hAnsi="宋体" w:cs="宋体"/>
          <w:b w:val="0"/>
          <w:bCs w:val="0"/>
          <w:color w:val="auto"/>
          <w:kern w:val="0"/>
          <w:sz w:val="24"/>
          <w:szCs w:val="24"/>
          <w:lang w:val="en-US" w:eastAsia="zh-CN" w:bidi="ar-SA"/>
        </w:rPr>
        <w:t>绿化维护及各类盆栽植物租赁维护服务项</w:t>
      </w:r>
      <w:r>
        <w:rPr>
          <w:rFonts w:hint="eastAsia" w:ascii="宋体" w:hAnsi="宋体" w:eastAsia="宋体" w:cs="宋体"/>
          <w:b w:val="0"/>
          <w:bCs w:val="0"/>
          <w:color w:val="auto"/>
          <w:kern w:val="0"/>
          <w:sz w:val="24"/>
          <w:szCs w:val="24"/>
          <w:lang w:val="en-US" w:eastAsia="zh-CN" w:bidi="ar-SA"/>
        </w:rPr>
        <w:t>， 主要工作内容下：</w:t>
      </w:r>
    </w:p>
    <w:bookmarkEnd w:id="9"/>
    <w:p w14:paraId="0BD735F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服务区域：</w:t>
      </w:r>
      <w:r>
        <w:rPr>
          <w:rFonts w:hint="eastAsia" w:ascii="宋体" w:hAnsi="宋体" w:eastAsia="宋体" w:cs="宋体"/>
          <w:color w:val="auto"/>
          <w:sz w:val="24"/>
          <w:szCs w:val="24"/>
          <w:highlight w:val="none"/>
          <w:shd w:val="clear" w:color="auto" w:fill="auto"/>
          <w:lang w:val="en-US" w:eastAsia="zh-CN"/>
        </w:rPr>
        <w:t>富顺县中医医院同心院区、富达路院区。</w:t>
      </w:r>
    </w:p>
    <w:p w14:paraId="4393F80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约定服务地址以外的区域，不在服务约定责任内。</w:t>
      </w:r>
    </w:p>
    <w:p w14:paraId="7B94D3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3.日常对富顺县中医医院同心院区、富达路院区定期进行绿化维护和盆栽租赁维护</w:t>
      </w:r>
      <w:r>
        <w:rPr>
          <w:rFonts w:hint="eastAsia" w:ascii="宋体" w:hAnsi="宋体" w:eastAsia="宋体" w:cs="宋体"/>
          <w:color w:val="auto"/>
          <w:sz w:val="24"/>
          <w:szCs w:val="24"/>
          <w:highlight w:val="none"/>
          <w:shd w:val="clear" w:color="auto" w:fill="auto"/>
        </w:rPr>
        <w:t>。</w:t>
      </w:r>
    </w:p>
    <w:p w14:paraId="356AE3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二、服务时间及地点</w:t>
      </w:r>
    </w:p>
    <w:p w14:paraId="1B69AC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服务期限：一年。</w:t>
      </w:r>
    </w:p>
    <w:p w14:paraId="78735DEF">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服务响应时间：</w:t>
      </w:r>
      <w:r>
        <w:rPr>
          <w:rFonts w:hint="eastAsia" w:ascii="宋体" w:hAnsi="宋体" w:eastAsia="宋体" w:cs="宋体"/>
          <w:color w:val="auto"/>
          <w:sz w:val="24"/>
          <w:szCs w:val="24"/>
          <w:highlight w:val="none"/>
          <w:shd w:val="clear" w:color="auto" w:fill="auto"/>
          <w:lang w:val="en-US" w:eastAsia="zh-CN"/>
        </w:rPr>
        <w:t>绿化植物修剪包含医院所有大小型绿色植物；（含：同心院区、富达路院区乔木每年修剪整型至少一次（根据树的长势和品种特性合理安排时间），灌木和球形类植物，每年修剪整型至少3次以上（根据品种和树苗长势合理安排时间），草坪每年修剪至少3次以上（根据苗木长势合理安排时间），其他未列明的植物按照采购人需求及时进行修剪。）绿植花草施肥保证至少每年二次以上，在春秋季节。</w:t>
      </w:r>
    </w:p>
    <w:p w14:paraId="722B96C7">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服务响应地点：甲方指定地点。</w:t>
      </w:r>
    </w:p>
    <w:p w14:paraId="230F2F39">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三、服务技术要求</w:t>
      </w:r>
    </w:p>
    <w:p w14:paraId="135AA17D">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富顺县中医医院同心院区、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盆栽租赁</w:t>
      </w:r>
    </w:p>
    <w:p w14:paraId="3986E49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（1）预计摆放约</w:t>
      </w:r>
      <w:r>
        <w:rPr>
          <w:rFonts w:hint="eastAsia" w:ascii="宋体" w:hAnsi="宋体" w:eastAsia="宋体" w:cs="宋体"/>
          <w:color w:val="auto"/>
          <w:sz w:val="24"/>
          <w:szCs w:val="24"/>
          <w:highlight w:val="none"/>
          <w:shd w:val="clear" w:color="auto" w:fill="auto"/>
          <w:lang w:val="en-US" w:eastAsia="zh-CN"/>
        </w:rPr>
        <w:t>90</w:t>
      </w:r>
      <w:r>
        <w:rPr>
          <w:rFonts w:hint="eastAsia" w:ascii="宋体" w:hAnsi="宋体" w:eastAsia="宋体" w:cs="宋体"/>
          <w:color w:val="auto"/>
          <w:sz w:val="24"/>
          <w:szCs w:val="24"/>
          <w:highlight w:val="none"/>
          <w:shd w:val="clear" w:color="auto" w:fill="auto"/>
        </w:rPr>
        <w:t>盆绿植，规格及品种标准以</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医院盆栽租赁明细清单描述内容为准，具体摆放点位、数量、品种由采购人根据实际需要提具体需求（可增可减），双方签字确认后按实结算</w:t>
      </w:r>
      <w:r>
        <w:rPr>
          <w:rFonts w:hint="eastAsia" w:ascii="宋体" w:hAnsi="宋体" w:eastAsia="宋体" w:cs="宋体"/>
          <w:color w:val="auto"/>
          <w:sz w:val="24"/>
          <w:szCs w:val="24"/>
          <w:highlight w:val="none"/>
          <w:shd w:val="clear" w:color="auto" w:fill="auto"/>
          <w:lang w:eastAsia="zh-CN"/>
        </w:rPr>
        <w:t>；</w:t>
      </w:r>
    </w:p>
    <w:p w14:paraId="2469A4BD">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医院盆栽租赁标准有以下两种：</w:t>
      </w:r>
    </w:p>
    <w:p w14:paraId="32E47BA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瓷盆植物高度为1米—1.5</w:t>
      </w:r>
      <w:r>
        <w:rPr>
          <w:rFonts w:hint="eastAsia" w:ascii="宋体" w:hAnsi="宋体" w:eastAsia="宋体" w:cs="宋体"/>
          <w:color w:val="auto"/>
          <w:sz w:val="24"/>
          <w:szCs w:val="24"/>
          <w:highlight w:val="none"/>
          <w:shd w:val="clear" w:color="auto" w:fill="auto"/>
          <w:lang w:val="en-US" w:eastAsia="zh-CN"/>
        </w:rPr>
        <w:t>m</w:t>
      </w:r>
      <w:r>
        <w:rPr>
          <w:rFonts w:hint="eastAsia" w:ascii="宋体" w:hAnsi="宋体" w:eastAsia="宋体" w:cs="宋体"/>
          <w:color w:val="auto"/>
          <w:sz w:val="24"/>
          <w:szCs w:val="24"/>
          <w:highlight w:val="none"/>
          <w:shd w:val="clear" w:color="auto" w:fill="auto"/>
        </w:rPr>
        <w:t>植物，瓷盆直径为35厘米</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w:t>
      </w:r>
    </w:p>
    <w:p w14:paraId="786BB5B5">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瓷盆盆植物高度为</w:t>
      </w:r>
      <w:r>
        <w:rPr>
          <w:rFonts w:hint="eastAsia" w:ascii="宋体" w:hAnsi="宋体" w:eastAsia="宋体" w:cs="宋体"/>
          <w:color w:val="auto"/>
          <w:sz w:val="24"/>
          <w:szCs w:val="24"/>
          <w:highlight w:val="none"/>
          <w:shd w:val="clear" w:color="auto" w:fill="auto"/>
          <w:lang w:val="en-US" w:eastAsia="zh-CN"/>
        </w:rPr>
        <w:t>1.5</w:t>
      </w:r>
      <w:r>
        <w:rPr>
          <w:rFonts w:hint="eastAsia" w:ascii="宋体" w:hAnsi="宋体" w:eastAsia="宋体" w:cs="宋体"/>
          <w:color w:val="auto"/>
          <w:sz w:val="24"/>
          <w:szCs w:val="24"/>
          <w:highlight w:val="none"/>
          <w:shd w:val="clear" w:color="auto" w:fill="auto"/>
        </w:rPr>
        <w:t>米—</w:t>
      </w:r>
      <w:r>
        <w:rPr>
          <w:rFonts w:hint="eastAsia" w:ascii="宋体" w:hAnsi="宋体" w:eastAsia="宋体" w:cs="宋体"/>
          <w:color w:val="auto"/>
          <w:sz w:val="24"/>
          <w:szCs w:val="24"/>
          <w:highlight w:val="none"/>
          <w:shd w:val="clear" w:color="auto" w:fill="auto"/>
          <w:lang w:val="en-US" w:eastAsia="zh-CN"/>
        </w:rPr>
        <w:t>2m</w:t>
      </w:r>
      <w:r>
        <w:rPr>
          <w:rFonts w:hint="eastAsia" w:ascii="宋体" w:hAnsi="宋体" w:eastAsia="宋体" w:cs="宋体"/>
          <w:color w:val="auto"/>
          <w:sz w:val="24"/>
          <w:szCs w:val="24"/>
          <w:highlight w:val="none"/>
          <w:shd w:val="clear" w:color="auto" w:fill="auto"/>
        </w:rPr>
        <w:t>植物</w:t>
      </w:r>
      <w:r>
        <w:rPr>
          <w:rFonts w:hint="eastAsia" w:ascii="宋体" w:hAnsi="宋体" w:eastAsia="宋体" w:cs="宋体"/>
          <w:color w:val="auto"/>
          <w:sz w:val="24"/>
          <w:szCs w:val="24"/>
          <w:highlight w:val="none"/>
          <w:shd w:val="clear" w:color="auto" w:fill="auto"/>
          <w:lang w:eastAsia="zh-CN"/>
        </w:rPr>
        <w:t>以上</w:t>
      </w:r>
      <w:r>
        <w:rPr>
          <w:rFonts w:hint="eastAsia" w:ascii="宋体" w:hAnsi="宋体" w:eastAsia="宋体" w:cs="宋体"/>
          <w:color w:val="auto"/>
          <w:sz w:val="24"/>
          <w:szCs w:val="24"/>
          <w:highlight w:val="none"/>
          <w:shd w:val="clear" w:color="auto" w:fill="auto"/>
        </w:rPr>
        <w:t>，瓷盆盆直径为</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厘米以上。</w:t>
      </w:r>
    </w:p>
    <w:p w14:paraId="1D8EB1AF">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仿宋" w:hAnsi="仿宋" w:eastAsia="仿宋" w:cs="仿宋"/>
          <w:b/>
          <w:color w:val="auto"/>
          <w:kern w:val="2"/>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若医院在各节假日、大型会议或迎检等特殊情况下要求额外摆放盆栽时，应按实际增加数量×盆栽单价进行费用结算，规格及标准按照采购文件约定执行，未列入清单内的绿植品种以市场参考价为依据，由采购人</w:t>
      </w:r>
      <w:r>
        <w:rPr>
          <w:rFonts w:hint="eastAsia" w:ascii="宋体" w:hAnsi="宋体" w:eastAsia="宋体" w:cs="宋体"/>
          <w:color w:val="auto"/>
          <w:sz w:val="24"/>
          <w:szCs w:val="24"/>
          <w:highlight w:val="none"/>
          <w:shd w:val="clear" w:color="auto" w:fill="auto"/>
          <w:lang w:eastAsia="zh-CN"/>
        </w:rPr>
        <w:t>市场询价</w:t>
      </w:r>
      <w:r>
        <w:rPr>
          <w:rFonts w:hint="eastAsia" w:ascii="宋体" w:hAnsi="宋体" w:eastAsia="宋体" w:cs="宋体"/>
          <w:color w:val="auto"/>
          <w:sz w:val="24"/>
          <w:szCs w:val="24"/>
          <w:highlight w:val="none"/>
          <w:shd w:val="clear" w:color="auto" w:fill="auto"/>
        </w:rPr>
        <w:t>后双方签字确认后执行。</w:t>
      </w:r>
    </w:p>
    <w:p w14:paraId="3123F5BC">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lang w:eastAsia="zh-CN"/>
        </w:rPr>
      </w:pPr>
    </w:p>
    <w:p w14:paraId="4C5BDDBD">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lang w:eastAsia="zh-CN"/>
        </w:rPr>
      </w:pPr>
    </w:p>
    <w:p w14:paraId="01505C28">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rPr>
      </w:pPr>
      <w:r>
        <w:rPr>
          <w:rFonts w:hint="eastAsia" w:ascii="方正小标宋简体" w:hAnsi="方正小标宋简体" w:eastAsia="方正小标宋简体" w:cs="方正小标宋简体"/>
          <w:b/>
          <w:color w:val="auto"/>
          <w:kern w:val="2"/>
          <w:sz w:val="28"/>
          <w:szCs w:val="28"/>
          <w:highlight w:val="none"/>
          <w:shd w:val="clear" w:color="auto" w:fill="auto"/>
          <w:lang w:eastAsia="zh-CN"/>
        </w:rPr>
        <w:t>富顺县中医</w:t>
      </w:r>
      <w:r>
        <w:rPr>
          <w:rFonts w:hint="eastAsia" w:ascii="方正小标宋简体" w:hAnsi="方正小标宋简体" w:eastAsia="方正小标宋简体" w:cs="方正小标宋简体"/>
          <w:b/>
          <w:color w:val="auto"/>
          <w:kern w:val="2"/>
          <w:sz w:val="28"/>
          <w:szCs w:val="28"/>
          <w:highlight w:val="none"/>
          <w:shd w:val="clear" w:color="auto" w:fill="auto"/>
        </w:rPr>
        <w:t>医院盆栽租赁明细清单</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48"/>
        <w:gridCol w:w="2579"/>
        <w:gridCol w:w="827"/>
        <w:gridCol w:w="1313"/>
        <w:gridCol w:w="844"/>
        <w:gridCol w:w="1262"/>
      </w:tblGrid>
      <w:tr w14:paraId="5E7F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40CC73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序号</w:t>
            </w:r>
          </w:p>
        </w:tc>
        <w:tc>
          <w:tcPr>
            <w:tcW w:w="615" w:type="pct"/>
            <w:noWrap w:val="0"/>
            <w:vAlign w:val="center"/>
          </w:tcPr>
          <w:p w14:paraId="2C654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w:t>
            </w:r>
          </w:p>
        </w:tc>
        <w:tc>
          <w:tcPr>
            <w:tcW w:w="1513" w:type="pct"/>
            <w:noWrap w:val="0"/>
            <w:vAlign w:val="center"/>
          </w:tcPr>
          <w:p w14:paraId="2B067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绿植品种</w:t>
            </w:r>
          </w:p>
        </w:tc>
        <w:tc>
          <w:tcPr>
            <w:tcW w:w="485" w:type="pct"/>
            <w:noWrap w:val="0"/>
            <w:vAlign w:val="center"/>
          </w:tcPr>
          <w:p w14:paraId="734BE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盆具尺寸</w:t>
            </w:r>
          </w:p>
        </w:tc>
        <w:tc>
          <w:tcPr>
            <w:tcW w:w="770" w:type="pct"/>
            <w:noWrap w:val="0"/>
            <w:vAlign w:val="center"/>
          </w:tcPr>
          <w:p w14:paraId="5A96D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高度</w:t>
            </w:r>
          </w:p>
        </w:tc>
        <w:tc>
          <w:tcPr>
            <w:tcW w:w="495" w:type="pct"/>
            <w:noWrap w:val="0"/>
            <w:vAlign w:val="center"/>
          </w:tcPr>
          <w:p w14:paraId="22B301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预计数量</w:t>
            </w:r>
          </w:p>
        </w:tc>
        <w:tc>
          <w:tcPr>
            <w:tcW w:w="740" w:type="pct"/>
            <w:noWrap w:val="0"/>
            <w:vAlign w:val="center"/>
          </w:tcPr>
          <w:p w14:paraId="298FF0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服务期限（月）</w:t>
            </w:r>
          </w:p>
        </w:tc>
      </w:tr>
      <w:tr w14:paraId="181C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79" w:type="pct"/>
            <w:noWrap w:val="0"/>
            <w:vAlign w:val="center"/>
          </w:tcPr>
          <w:p w14:paraId="324E8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w:t>
            </w:r>
          </w:p>
        </w:tc>
        <w:tc>
          <w:tcPr>
            <w:tcW w:w="615" w:type="pct"/>
            <w:noWrap w:val="0"/>
            <w:vAlign w:val="center"/>
          </w:tcPr>
          <w:p w14:paraId="4397C9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eastAsia="zh-CN"/>
              </w:rPr>
              <w:t>瓷</w:t>
            </w:r>
            <w:r>
              <w:rPr>
                <w:rFonts w:hint="eastAsia" w:ascii="仿宋" w:hAnsi="仿宋" w:eastAsia="仿宋" w:cs="仿宋"/>
                <w:bCs/>
                <w:color w:val="auto"/>
                <w:sz w:val="24"/>
                <w:highlight w:val="none"/>
                <w:shd w:val="clear" w:color="auto" w:fill="auto"/>
              </w:rPr>
              <w:t>盆</w:t>
            </w:r>
          </w:p>
        </w:tc>
        <w:tc>
          <w:tcPr>
            <w:tcW w:w="1513" w:type="pct"/>
            <w:noWrap w:val="0"/>
            <w:vAlign w:val="center"/>
          </w:tcPr>
          <w:p w14:paraId="4A9C207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w:t>
            </w:r>
            <w:r>
              <w:rPr>
                <w:rFonts w:hint="eastAsia" w:ascii="仿宋" w:hAnsi="仿宋" w:eastAsia="仿宋" w:cs="仿宋"/>
                <w:bCs/>
                <w:color w:val="auto"/>
                <w:sz w:val="24"/>
                <w:highlight w:val="none"/>
                <w:shd w:val="clear" w:color="auto" w:fill="auto"/>
                <w:lang w:eastAsia="zh-CN"/>
              </w:rPr>
              <w:t>绿宝树、</w:t>
            </w:r>
            <w:r>
              <w:rPr>
                <w:rFonts w:hint="eastAsia" w:ascii="仿宋" w:hAnsi="仿宋" w:eastAsia="仿宋" w:cs="仿宋"/>
                <w:bCs/>
                <w:color w:val="auto"/>
                <w:sz w:val="24"/>
                <w:highlight w:val="none"/>
                <w:shd w:val="clear" w:color="auto" w:fill="auto"/>
              </w:rPr>
              <w:t>叶梅特</w:t>
            </w:r>
            <w:r>
              <w:rPr>
                <w:rFonts w:hint="eastAsia" w:ascii="仿宋" w:hAnsi="仿宋" w:eastAsia="仿宋" w:cs="仿宋"/>
                <w:bCs/>
                <w:color w:val="auto"/>
                <w:sz w:val="24"/>
                <w:highlight w:val="none"/>
                <w:shd w:val="clear" w:color="auto" w:fill="auto"/>
                <w:lang w:eastAsia="zh-CN"/>
              </w:rPr>
              <w:t>、幸福树、</w:t>
            </w:r>
            <w:r>
              <w:rPr>
                <w:rFonts w:hint="eastAsia" w:ascii="仿宋" w:hAnsi="仿宋" w:eastAsia="仿宋" w:cs="仿宋"/>
                <w:bCs/>
                <w:color w:val="auto"/>
                <w:sz w:val="24"/>
                <w:highlight w:val="none"/>
                <w:shd w:val="clear" w:color="auto" w:fill="auto"/>
              </w:rPr>
              <w:t>龙须树</w:t>
            </w:r>
            <w:r>
              <w:rPr>
                <w:rFonts w:hint="eastAsia" w:ascii="仿宋" w:hAnsi="仿宋" w:eastAsia="仿宋" w:cs="仿宋"/>
                <w:bCs/>
                <w:color w:val="auto"/>
                <w:sz w:val="24"/>
                <w:highlight w:val="none"/>
                <w:shd w:val="clear" w:color="auto" w:fill="auto"/>
                <w:lang w:eastAsia="zh-CN"/>
              </w:rPr>
              <w:t>、孔雀木</w:t>
            </w:r>
            <w:r>
              <w:rPr>
                <w:rFonts w:hint="eastAsia" w:ascii="仿宋" w:hAnsi="仿宋" w:eastAsia="仿宋" w:cs="仿宋"/>
                <w:bCs/>
                <w:color w:val="auto"/>
                <w:sz w:val="24"/>
                <w:highlight w:val="none"/>
                <w:shd w:val="clear" w:color="auto" w:fill="auto"/>
              </w:rPr>
              <w:t>等</w:t>
            </w:r>
          </w:p>
        </w:tc>
        <w:tc>
          <w:tcPr>
            <w:tcW w:w="485" w:type="pct"/>
            <w:noWrap w:val="0"/>
            <w:vAlign w:val="center"/>
          </w:tcPr>
          <w:p w14:paraId="7BD9C7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≥35</w:t>
            </w:r>
          </w:p>
          <w:p w14:paraId="44B6D3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770" w:type="pct"/>
            <w:noWrap w:val="0"/>
            <w:vAlign w:val="center"/>
          </w:tcPr>
          <w:p w14:paraId="7E56A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1.5</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val="en-US" w:eastAsia="zh-CN"/>
              </w:rPr>
              <w:t>-2</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eastAsia="zh-CN"/>
              </w:rPr>
              <w:t>以上</w:t>
            </w:r>
          </w:p>
        </w:tc>
        <w:tc>
          <w:tcPr>
            <w:tcW w:w="495" w:type="pct"/>
            <w:noWrap w:val="0"/>
            <w:vAlign w:val="center"/>
          </w:tcPr>
          <w:p w14:paraId="5A4FC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FF0000"/>
                <w:kern w:val="2"/>
                <w:sz w:val="24"/>
                <w:szCs w:val="24"/>
                <w:highlight w:val="none"/>
                <w:shd w:val="clear" w:color="auto" w:fill="auto"/>
                <w:lang w:val="en-US" w:eastAsia="zh-CN" w:bidi="ar-SA"/>
              </w:rPr>
            </w:pPr>
            <w:r>
              <w:rPr>
                <w:rFonts w:hint="eastAsia" w:ascii="仿宋" w:hAnsi="仿宋" w:eastAsia="仿宋" w:cs="仿宋"/>
                <w:bCs/>
                <w:color w:val="FF0000"/>
                <w:sz w:val="24"/>
                <w:highlight w:val="none"/>
                <w:shd w:val="clear" w:color="auto" w:fill="auto"/>
                <w:lang w:val="en-US" w:eastAsia="zh-CN"/>
              </w:rPr>
              <w:t>20</w:t>
            </w:r>
            <w:r>
              <w:rPr>
                <w:rFonts w:hint="eastAsia" w:ascii="仿宋" w:hAnsi="仿宋" w:eastAsia="仿宋" w:cs="仿宋"/>
                <w:bCs/>
                <w:color w:val="FF0000"/>
                <w:sz w:val="24"/>
                <w:highlight w:val="none"/>
                <w:shd w:val="clear" w:color="auto" w:fill="auto"/>
              </w:rPr>
              <w:t>盆</w:t>
            </w:r>
          </w:p>
        </w:tc>
        <w:tc>
          <w:tcPr>
            <w:tcW w:w="740" w:type="pct"/>
            <w:noWrap w:val="0"/>
            <w:vAlign w:val="center"/>
          </w:tcPr>
          <w:p w14:paraId="7E4ACB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12</w:t>
            </w:r>
          </w:p>
        </w:tc>
      </w:tr>
      <w:tr w14:paraId="346C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79" w:type="pct"/>
            <w:noWrap w:val="0"/>
            <w:vAlign w:val="center"/>
          </w:tcPr>
          <w:p w14:paraId="08CF66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lang w:val="en-US" w:eastAsia="zh-CN"/>
              </w:rPr>
              <w:t>2</w:t>
            </w:r>
          </w:p>
        </w:tc>
        <w:tc>
          <w:tcPr>
            <w:tcW w:w="615" w:type="pct"/>
            <w:noWrap w:val="0"/>
            <w:vAlign w:val="center"/>
          </w:tcPr>
          <w:p w14:paraId="2ACBA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瓷盆</w:t>
            </w:r>
          </w:p>
        </w:tc>
        <w:tc>
          <w:tcPr>
            <w:tcW w:w="1513" w:type="pct"/>
            <w:noWrap w:val="0"/>
            <w:vAlign w:val="center"/>
          </w:tcPr>
          <w:p w14:paraId="730D0E3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包括但不限于：小叶榕、金钱树、龙须树、发财树、萝文特、、幸福树、青苹果、椰子、鸭脚木</w:t>
            </w:r>
            <w:r>
              <w:rPr>
                <w:rFonts w:hint="eastAsia" w:ascii="仿宋" w:hAnsi="仿宋" w:eastAsia="仿宋" w:cs="仿宋"/>
                <w:bCs/>
                <w:color w:val="auto"/>
                <w:sz w:val="24"/>
                <w:highlight w:val="none"/>
                <w:shd w:val="clear" w:color="auto" w:fill="auto"/>
                <w:lang w:eastAsia="zh-CN"/>
              </w:rPr>
              <w:t>、天堂鸟、幸福树、夏威叶</w:t>
            </w:r>
            <w:r>
              <w:rPr>
                <w:rFonts w:hint="eastAsia" w:ascii="仿宋" w:hAnsi="仿宋" w:eastAsia="仿宋" w:cs="仿宋"/>
                <w:bCs/>
                <w:color w:val="auto"/>
                <w:sz w:val="24"/>
                <w:highlight w:val="none"/>
                <w:shd w:val="clear" w:color="auto" w:fill="auto"/>
              </w:rPr>
              <w:t>等</w:t>
            </w:r>
            <w:r>
              <w:rPr>
                <w:rFonts w:hint="eastAsia" w:ascii="仿宋" w:hAnsi="仿宋" w:eastAsia="仿宋" w:cs="仿宋"/>
                <w:bCs/>
                <w:color w:val="auto"/>
                <w:sz w:val="24"/>
                <w:highlight w:val="none"/>
                <w:shd w:val="clear" w:color="auto" w:fill="auto"/>
                <w:lang w:val="en-US" w:eastAsia="zh-CN"/>
              </w:rPr>
              <w:t xml:space="preserve">                                                                                                                                                                                                                                                                                                                                                                           </w:t>
            </w:r>
          </w:p>
        </w:tc>
        <w:tc>
          <w:tcPr>
            <w:tcW w:w="485" w:type="pct"/>
            <w:noWrap w:val="0"/>
            <w:vAlign w:val="center"/>
          </w:tcPr>
          <w:p w14:paraId="38C29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≥35</w:t>
            </w:r>
          </w:p>
          <w:p w14:paraId="4D4DF8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770" w:type="pct"/>
            <w:noWrap w:val="0"/>
            <w:vAlign w:val="center"/>
          </w:tcPr>
          <w:p w14:paraId="58E468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1-1.5m</w:t>
            </w:r>
            <w:r>
              <w:rPr>
                <w:rFonts w:hint="eastAsia" w:ascii="仿宋" w:hAnsi="仿宋" w:eastAsia="仿宋" w:cs="仿宋"/>
                <w:bCs/>
                <w:color w:val="auto"/>
                <w:sz w:val="24"/>
                <w:highlight w:val="none"/>
                <w:shd w:val="clear" w:color="auto" w:fill="auto"/>
                <w:lang w:eastAsia="zh-CN"/>
              </w:rPr>
              <w:t>左右</w:t>
            </w:r>
          </w:p>
        </w:tc>
        <w:tc>
          <w:tcPr>
            <w:tcW w:w="495" w:type="pct"/>
            <w:noWrap w:val="0"/>
            <w:vAlign w:val="center"/>
          </w:tcPr>
          <w:p w14:paraId="179AE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FF0000"/>
                <w:kern w:val="2"/>
                <w:sz w:val="24"/>
                <w:szCs w:val="24"/>
                <w:highlight w:val="none"/>
                <w:shd w:val="clear" w:color="auto" w:fill="auto"/>
                <w:lang w:val="en-US" w:eastAsia="zh-CN" w:bidi="ar-SA"/>
              </w:rPr>
            </w:pPr>
            <w:r>
              <w:rPr>
                <w:rFonts w:hint="eastAsia" w:ascii="仿宋" w:hAnsi="仿宋" w:eastAsia="仿宋" w:cs="仿宋"/>
                <w:bCs/>
                <w:color w:val="FF0000"/>
                <w:sz w:val="24"/>
                <w:highlight w:val="none"/>
                <w:shd w:val="clear" w:color="auto" w:fill="auto"/>
                <w:lang w:val="en-US" w:eastAsia="zh-CN"/>
              </w:rPr>
              <w:t>80</w:t>
            </w:r>
            <w:r>
              <w:rPr>
                <w:rFonts w:hint="eastAsia" w:ascii="仿宋" w:hAnsi="仿宋" w:eastAsia="仿宋" w:cs="仿宋"/>
                <w:bCs/>
                <w:color w:val="FF0000"/>
                <w:sz w:val="24"/>
                <w:highlight w:val="none"/>
                <w:shd w:val="clear" w:color="auto" w:fill="auto"/>
              </w:rPr>
              <w:t>盆</w:t>
            </w:r>
          </w:p>
        </w:tc>
        <w:tc>
          <w:tcPr>
            <w:tcW w:w="740" w:type="pct"/>
            <w:noWrap w:val="0"/>
            <w:vAlign w:val="center"/>
          </w:tcPr>
          <w:p w14:paraId="18F86E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12</w:t>
            </w:r>
          </w:p>
        </w:tc>
      </w:tr>
    </w:tbl>
    <w:p w14:paraId="315006C5">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绿植维护及无根藤清理：</w:t>
      </w:r>
    </w:p>
    <w:p w14:paraId="0141D70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同心</w:t>
      </w:r>
      <w:r>
        <w:rPr>
          <w:rFonts w:hint="eastAsia" w:ascii="宋体" w:hAnsi="宋体" w:eastAsia="宋体" w:cs="宋体"/>
          <w:color w:val="auto"/>
          <w:sz w:val="24"/>
          <w:szCs w:val="24"/>
          <w:highlight w:val="none"/>
          <w:shd w:val="clear" w:color="auto" w:fill="auto"/>
        </w:rPr>
        <w:t>院区绿化面积约</w:t>
      </w:r>
      <w:r>
        <w:rPr>
          <w:rFonts w:hint="eastAsia" w:ascii="宋体" w:hAnsi="宋体" w:eastAsia="宋体" w:cs="宋体"/>
          <w:color w:val="auto"/>
          <w:sz w:val="24"/>
          <w:szCs w:val="24"/>
          <w:highlight w:val="none"/>
          <w:shd w:val="clear" w:color="auto" w:fill="auto"/>
          <w:lang w:val="en-US" w:eastAsia="zh-CN"/>
        </w:rPr>
        <w:t>11000</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富达路院区绿化面积约900</w:t>
      </w:r>
      <w:r>
        <w:rPr>
          <w:rFonts w:hint="eastAsia" w:ascii="宋体" w:hAnsi="宋体" w:eastAsia="宋体" w:cs="宋体"/>
          <w:color w:val="auto"/>
          <w:sz w:val="24"/>
          <w:szCs w:val="24"/>
          <w:highlight w:val="none"/>
          <w:shd w:val="clear" w:color="auto" w:fill="auto"/>
        </w:rPr>
        <w:t>㎡（详细位置包括但不限于绿化点位示意图</w:t>
      </w:r>
      <w:r>
        <w:rPr>
          <w:rFonts w:hint="eastAsia" w:ascii="宋体" w:hAnsi="宋体" w:eastAsia="宋体" w:cs="宋体"/>
          <w:color w:val="auto"/>
          <w:sz w:val="24"/>
          <w:szCs w:val="24"/>
          <w:highlight w:val="none"/>
          <w:shd w:val="clear" w:color="auto" w:fill="auto"/>
          <w:lang w:eastAsia="zh-CN"/>
        </w:rPr>
        <w:t>，见下图</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维护内容包括</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所有的树木、绿植、花卉、草坪、租赁盆栽的浇水、施肥、修枝整形、除虫、除草、补栽补种、松土、防旱防寒、养护、枯枝败叶清理等所有绿化维护工作，维护标准须保障院区内所有花草树木等正常存活，花草正常开放，如出现病植枯植、裸露土地等情况时应按采购人要求及时补栽、补种处理</w:t>
      </w:r>
      <w:r>
        <w:rPr>
          <w:rFonts w:hint="eastAsia" w:ascii="宋体" w:hAnsi="宋体" w:eastAsia="宋体" w:cs="宋体"/>
          <w:color w:val="auto"/>
          <w:sz w:val="24"/>
          <w:szCs w:val="24"/>
          <w:highlight w:val="none"/>
          <w:shd w:val="clear" w:color="auto" w:fill="auto"/>
          <w:lang w:eastAsia="zh-CN"/>
        </w:rPr>
        <w:t>（补栽、补种的植物另行采购）</w:t>
      </w:r>
      <w:r>
        <w:rPr>
          <w:rFonts w:hint="eastAsia" w:ascii="宋体" w:hAnsi="宋体" w:eastAsia="宋体" w:cs="宋体"/>
          <w:color w:val="auto"/>
          <w:sz w:val="24"/>
          <w:szCs w:val="24"/>
          <w:highlight w:val="none"/>
          <w:shd w:val="clear" w:color="auto" w:fill="auto"/>
        </w:rPr>
        <w:t>；</w:t>
      </w:r>
    </w:p>
    <w:p w14:paraId="4442FECA">
      <w:pPr>
        <w:pageBreakBefore w:val="0"/>
        <w:kinsoku/>
        <w:wordWrap/>
        <w:overflowPunct/>
        <w:topLinePunct w:val="0"/>
        <w:autoSpaceDE/>
        <w:autoSpaceDN/>
        <w:bidi w:val="0"/>
        <w:adjustRightInd/>
        <w:snapToGrid/>
        <w:spacing w:line="240" w:lineRule="auto"/>
        <w:jc w:val="center"/>
        <w:rPr>
          <w:rFonts w:ascii="仿宋" w:hAnsi="仿宋" w:eastAsia="仿宋" w:cs="仿宋"/>
          <w:b/>
          <w:bCs/>
          <w:color w:val="auto"/>
          <w:sz w:val="24"/>
          <w:highlight w:val="none"/>
          <w:shd w:val="clear" w:color="auto" w:fill="auto"/>
        </w:rPr>
      </w:pPr>
      <w:r>
        <w:rPr>
          <w:color w:val="auto"/>
          <w:highlight w:val="none"/>
          <w:shd w:val="clear" w:color="auto" w:fill="auto"/>
        </w:rPr>
        <w:drawing>
          <wp:inline distT="0" distB="0" distL="114300" distR="114300">
            <wp:extent cx="5274310" cy="3599815"/>
            <wp:effectExtent l="9525" t="9525" r="12065" b="1016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274310" cy="3599815"/>
                    </a:xfrm>
                    <a:prstGeom prst="rect">
                      <a:avLst/>
                    </a:prstGeom>
                    <a:noFill/>
                    <a:ln>
                      <a:solidFill>
                        <a:schemeClr val="tx1">
                          <a:lumMod val="75000"/>
                          <a:lumOff val="25000"/>
                        </a:schemeClr>
                      </a:solidFill>
                    </a:ln>
                  </pic:spPr>
                </pic:pic>
              </a:graphicData>
            </a:graphic>
          </wp:inline>
        </w:drawing>
      </w:r>
      <w:r>
        <w:rPr>
          <w:rFonts w:hint="eastAsia" w:ascii="仿宋" w:hAnsi="仿宋" w:eastAsia="仿宋" w:cs="仿宋"/>
          <w:b/>
          <w:bCs/>
          <w:color w:val="auto"/>
          <w:sz w:val="24"/>
          <w:highlight w:val="none"/>
          <w:shd w:val="clear" w:color="auto" w:fill="auto"/>
          <w:lang w:val="en-US" w:eastAsia="zh-CN"/>
        </w:rPr>
        <w:t>同心院区</w:t>
      </w:r>
      <w:r>
        <w:rPr>
          <w:rFonts w:hint="eastAsia" w:ascii="仿宋" w:hAnsi="仿宋" w:eastAsia="仿宋" w:cs="仿宋"/>
          <w:b/>
          <w:bCs/>
          <w:color w:val="auto"/>
          <w:sz w:val="24"/>
          <w:highlight w:val="none"/>
          <w:shd w:val="clear" w:color="auto" w:fill="auto"/>
        </w:rPr>
        <w:t>绿化点位图</w:t>
      </w:r>
    </w:p>
    <w:p w14:paraId="143633E2">
      <w:pPr>
        <w:pStyle w:val="2"/>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仿宋" w:hAnsi="仿宋" w:eastAsia="仿宋" w:cs="仿宋"/>
          <w:b/>
          <w:bCs/>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lang w:val="en-US" w:eastAsia="zh-CN"/>
        </w:rPr>
        <w:drawing>
          <wp:inline distT="0" distB="0" distL="114300" distR="114300">
            <wp:extent cx="5272405" cy="3599815"/>
            <wp:effectExtent l="9525" t="9525" r="13970" b="10160"/>
            <wp:docPr id="2" name="图片 2" descr="1747975180901"/>
            <wp:cNvGraphicFramePr/>
            <a:graphic xmlns:a="http://schemas.openxmlformats.org/drawingml/2006/main">
              <a:graphicData uri="http://schemas.openxmlformats.org/drawingml/2006/picture">
                <pic:pic xmlns:pic="http://schemas.openxmlformats.org/drawingml/2006/picture">
                  <pic:nvPicPr>
                    <pic:cNvPr id="2" name="图片 2" descr="1747975180901"/>
                    <pic:cNvPicPr/>
                  </pic:nvPicPr>
                  <pic:blipFill>
                    <a:blip r:embed="rId5"/>
                    <a:stretch>
                      <a:fillRect/>
                    </a:stretch>
                  </pic:blipFill>
                  <pic:spPr>
                    <a:xfrm>
                      <a:off x="0" y="0"/>
                      <a:ext cx="5272405" cy="3599815"/>
                    </a:xfrm>
                    <a:prstGeom prst="rect">
                      <a:avLst/>
                    </a:prstGeom>
                    <a:ln>
                      <a:solidFill>
                        <a:schemeClr val="tx1">
                          <a:lumMod val="75000"/>
                          <a:lumOff val="25000"/>
                        </a:schemeClr>
                      </a:solidFill>
                    </a:ln>
                  </pic:spPr>
                </pic:pic>
              </a:graphicData>
            </a:graphic>
          </wp:inline>
        </w:drawing>
      </w:r>
      <w:r>
        <w:rPr>
          <w:rFonts w:hint="eastAsia" w:ascii="仿宋" w:hAnsi="仿宋" w:eastAsia="仿宋" w:cs="仿宋"/>
          <w:b/>
          <w:bCs/>
          <w:color w:val="auto"/>
          <w:kern w:val="2"/>
          <w:sz w:val="24"/>
          <w:szCs w:val="24"/>
          <w:highlight w:val="none"/>
          <w:shd w:val="clear" w:color="auto" w:fill="auto"/>
          <w:lang w:val="en-US" w:eastAsia="zh-CN" w:bidi="ar-SA"/>
        </w:rPr>
        <w:t>富达路院区绿化点位图</w:t>
      </w:r>
    </w:p>
    <w:p w14:paraId="721412FC">
      <w:pPr>
        <w:pStyle w:val="2"/>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color w:val="auto"/>
          <w:sz w:val="24"/>
          <w:szCs w:val="24"/>
          <w:highlight w:val="none"/>
          <w:shd w:val="clear" w:color="auto" w:fill="auto"/>
        </w:rPr>
      </w:pPr>
    </w:p>
    <w:p w14:paraId="409EF3BC">
      <w:pPr>
        <w:pStyle w:val="2"/>
        <w:keepNext w:val="0"/>
        <w:keepLines w:val="0"/>
        <w:pageBreakBefore w:val="0"/>
        <w:widowControl w:val="0"/>
        <w:kinsoku/>
        <w:wordWrap/>
        <w:overflowPunct/>
        <w:topLinePunct w:val="0"/>
        <w:autoSpaceDE/>
        <w:autoSpaceDN/>
        <w:bidi w:val="0"/>
        <w:adjustRightInd/>
        <w:snapToGrid/>
        <w:spacing w:after="0" w:line="240" w:lineRule="auto"/>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（2）保障所有绿化点位无裸露土地，发现裸土时供应商应于一周内及时补栽；</w:t>
      </w:r>
    </w:p>
    <w:p w14:paraId="758B91B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（3）绿化植物修剪包含医院所有大小型绿色植物</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（含：</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lang w:eastAsia="zh-CN"/>
        </w:rPr>
        <w:t>乔木每年修剪整型</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eastAsia="宋体" w:cs="宋体"/>
          <w:color w:val="auto"/>
          <w:sz w:val="24"/>
          <w:szCs w:val="24"/>
          <w:highlight w:val="none"/>
          <w:shd w:val="clear" w:color="auto" w:fill="auto"/>
          <w:lang w:eastAsia="zh-CN"/>
        </w:rPr>
        <w:t>一次（根据树的长势和品种特性合理安排时间），灌木和球形类植物，每年修剪整型</w:t>
      </w:r>
      <w:r>
        <w:rPr>
          <w:rFonts w:hint="eastAsia" w:ascii="宋体" w:hAnsi="宋体" w:eastAsia="宋体" w:cs="宋体"/>
          <w:color w:val="auto"/>
          <w:sz w:val="24"/>
          <w:szCs w:val="24"/>
          <w:highlight w:val="none"/>
          <w:shd w:val="clear" w:color="auto" w:fill="auto"/>
          <w:lang w:val="en-US" w:eastAsia="zh-CN"/>
        </w:rPr>
        <w:t>至少3次</w:t>
      </w:r>
      <w:r>
        <w:rPr>
          <w:rFonts w:hint="eastAsia" w:ascii="宋体" w:hAnsi="宋体" w:eastAsia="宋体" w:cs="宋体"/>
          <w:color w:val="auto"/>
          <w:sz w:val="24"/>
          <w:szCs w:val="24"/>
          <w:highlight w:val="none"/>
          <w:shd w:val="clear" w:color="auto" w:fill="auto"/>
          <w:lang w:eastAsia="zh-CN"/>
        </w:rPr>
        <w:t>以上（根据品种和树苗长势合理安排时间），草坪每年修剪</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eastAsia="宋体" w:cs="宋体"/>
          <w:color w:val="auto"/>
          <w:sz w:val="24"/>
          <w:szCs w:val="24"/>
          <w:highlight w:val="none"/>
          <w:shd w:val="clear" w:color="auto" w:fill="auto"/>
          <w:lang w:eastAsia="zh-CN"/>
        </w:rPr>
        <w:t>3次以上（根据苗木长势合理安排时间），其他未列明的植物按照采购人需求及时进行修剪。</w:t>
      </w:r>
    </w:p>
    <w:p w14:paraId="5561C0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（4）绿植花草施肥保证至少每年二次以上，在春秋季节。</w:t>
      </w:r>
    </w:p>
    <w:p w14:paraId="4BF6594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供应商可在本项目开标前自行到项目所在地查看了解院区内绿化现状，采购人不再另行组织现场考察，若因供应商未到项目现场自行评估又报价中标，由此产生的一切后果及责任由供应商自行承担，采购人不承担任何责任。</w:t>
      </w:r>
    </w:p>
    <w:p w14:paraId="0CD8E90D">
      <w:pPr>
        <w:pStyle w:val="3"/>
        <w:pageBreakBefore w:val="0"/>
        <w:kinsoku/>
        <w:wordWrap/>
        <w:overflowPunct/>
        <w:topLinePunct w:val="0"/>
        <w:autoSpaceDE/>
        <w:autoSpaceDN/>
        <w:bidi w:val="0"/>
        <w:adjustRightInd/>
        <w:snapToGrid/>
        <w:spacing w:line="400" w:lineRule="exact"/>
        <w:ind w:firstLine="480" w:firstLineChars="200"/>
        <w:rPr>
          <w:rFonts w:hint="default" w:eastAsia="宋体"/>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绿植修剪和施肥所涉及工具和肥料均由中标供应商提供。</w:t>
      </w:r>
    </w:p>
    <w:p w14:paraId="0FFF414A">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四、服务质量</w:t>
      </w:r>
    </w:p>
    <w:p w14:paraId="729D9A8B">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FF0000"/>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（1）供应商应为采购人提供相关工作人员名单及联系电话，确保采购人在有需要时及时联系，供应商须提供365天×24小时及时的咨询、指导和紧急维护服务</w:t>
      </w:r>
      <w:r>
        <w:rPr>
          <w:rFonts w:hint="eastAsia" w:ascii="宋体" w:hAnsi="宋体" w:eastAsia="宋体" w:cs="宋体"/>
          <w:color w:val="auto"/>
          <w:sz w:val="24"/>
          <w:szCs w:val="24"/>
          <w:highlight w:val="none"/>
          <w:shd w:val="clear" w:color="auto" w:fill="auto"/>
          <w:lang w:eastAsia="zh-CN"/>
        </w:rPr>
        <w:t>。</w:t>
      </w:r>
      <w:r>
        <w:rPr>
          <w:rFonts w:hint="eastAsia" w:ascii="宋体" w:hAnsi="宋体" w:cs="宋体"/>
          <w:color w:val="FF0000"/>
          <w:sz w:val="24"/>
          <w:szCs w:val="24"/>
          <w:highlight w:val="none"/>
          <w:shd w:val="clear" w:color="auto" w:fill="auto"/>
          <w:lang w:val="en-US" w:eastAsia="zh-CN"/>
        </w:rPr>
        <w:t>供应商须提供绿化维护的相关资料，包括水印图片、工作量单等季度小结、年度总结等。</w:t>
      </w:r>
    </w:p>
    <w:p w14:paraId="0C6A87C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（2）服务期间采购人将对供应商服务质量、服务效率、服务态度等方面进行考核，根据考核结果进行费用结算，采购人有权对考核内容作出调整。</w:t>
      </w:r>
    </w:p>
    <w:p w14:paraId="108B52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服务期间由供应商提供的所有服务内容相关的知识产权责任、安全责任、合法性及真实性责任等均由供应商全部承担，供应商提供的服务不存在侵犯第三方任何权益的情形，所有服务内容均应按照采购人要求保质保量完成。</w:t>
      </w:r>
    </w:p>
    <w:p w14:paraId="7EDB25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（4）供应商应全力以赴配合医院的各项迎检、节假日等活动安排，确保绿化环境质量符合医院需求。</w:t>
      </w:r>
    </w:p>
    <w:p w14:paraId="5959A45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（5）合同期内如涉及科室盆栽增减等情况须由使用科室提出书面申请，采购人管理部门同意后方可执行，供应商不得擅自增减盆栽数量，否则采购人将按照涉及增减盆栽的双倍费用进行处罚。</w:t>
      </w:r>
    </w:p>
    <w:p w14:paraId="3F359063">
      <w:pPr>
        <w:pStyle w:val="3"/>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eastAsia="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6）供应商需保证所有绿植正常存活、花卉正常开放，无疾病、无虫害</w:t>
      </w:r>
      <w:r>
        <w:rPr>
          <w:rFonts w:hint="eastAsia" w:ascii="宋体" w:hAnsi="宋体" w:cs="宋体"/>
          <w:color w:val="auto"/>
          <w:sz w:val="24"/>
          <w:szCs w:val="24"/>
          <w:highlight w:val="none"/>
          <w:shd w:val="clear" w:color="auto" w:fill="auto"/>
          <w:lang w:eastAsia="zh-CN"/>
        </w:rPr>
        <w:t>。</w:t>
      </w:r>
      <w:bookmarkStart w:id="10" w:name="_GoBack"/>
      <w:bookmarkEnd w:id="10"/>
    </w:p>
    <w:p w14:paraId="49953D48">
      <w:pPr>
        <w:pStyle w:val="6"/>
        <w:pageBreakBefore w:val="0"/>
        <w:kinsoku/>
        <w:wordWrap/>
        <w:overflowPunct/>
        <w:topLinePunct w:val="0"/>
        <w:autoSpaceDE/>
        <w:autoSpaceDN/>
        <w:bidi w:val="0"/>
        <w:adjustRightInd/>
        <w:snapToGrid/>
        <w:spacing w:line="400" w:lineRule="exact"/>
        <w:ind w:firstLine="480"/>
        <w:jc w:val="left"/>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w:t>
      </w:r>
      <w:r>
        <w:rPr>
          <w:rFonts w:hint="eastAsia" w:ascii="宋体" w:hAnsi="宋体" w:cs="宋体"/>
          <w:color w:val="auto"/>
          <w:kern w:val="2"/>
          <w:sz w:val="24"/>
          <w:szCs w:val="24"/>
          <w:highlight w:val="none"/>
          <w:shd w:val="clear" w:color="auto" w:fill="auto"/>
          <w:lang w:val="en-US" w:eastAsia="zh-CN" w:bidi="ar-SA"/>
        </w:rPr>
        <w:t>7</w:t>
      </w:r>
      <w:r>
        <w:rPr>
          <w:rFonts w:hint="eastAsia" w:ascii="宋体" w:hAnsi="宋体" w:eastAsia="宋体" w:cs="宋体"/>
          <w:color w:val="auto"/>
          <w:kern w:val="2"/>
          <w:sz w:val="24"/>
          <w:szCs w:val="24"/>
          <w:highlight w:val="none"/>
          <w:shd w:val="clear" w:color="auto" w:fill="auto"/>
          <w:lang w:val="en-US" w:eastAsia="zh-CN" w:bidi="ar-SA"/>
        </w:rPr>
        <w:t>）报价要求：盆栽租赁费用为固定单价，根据采购人实际需求进行按实结算，绿化维护费用为固定总价（包括所有维护项目，合同期内采购人不再另外支付其他费用），供应商报价已包含人力成本、工具、运输、吊装、税金以及因维护采购人绿化正常生长所需的一切费用，合同期内盆栽单价和绿化维护费用均不做价格调整。本项目为最低评标价法，响应文件应满足采购文件全部实质性要求且供应商响应报价（盆栽租赁和绿化维护1年总费用）最低的供应商为成交候选人。</w:t>
      </w:r>
    </w:p>
    <w:p w14:paraId="4593555D">
      <w:pPr>
        <w:pStyle w:val="3"/>
        <w:pageBreakBefore w:val="0"/>
        <w:numPr>
          <w:ilvl w:val="0"/>
          <w:numId w:val="0"/>
        </w:numPr>
        <w:kinsoku/>
        <w:wordWrap/>
        <w:overflowPunct/>
        <w:topLinePunct w:val="0"/>
        <w:autoSpaceDE/>
        <w:autoSpaceDN/>
        <w:bidi w:val="0"/>
        <w:adjustRightInd/>
        <w:snapToGrid/>
        <w:spacing w:line="400" w:lineRule="exact"/>
        <w:ind w:leftChars="0" w:firstLine="480" w:firstLineChars="200"/>
        <w:rPr>
          <w:rFonts w:hint="eastAsia" w:ascii="宋体" w:hAnsi="宋体" w:eastAsia="宋体" w:cs="宋体"/>
          <w:b w:val="0"/>
          <w:bCs w:val="0"/>
          <w:color w:val="auto"/>
          <w:kern w:val="0"/>
          <w:sz w:val="24"/>
          <w:szCs w:val="24"/>
          <w:lang w:val="en-US" w:eastAsia="zh-CN" w:bidi="ar-SA"/>
        </w:rPr>
      </w:pPr>
    </w:p>
    <w:p w14:paraId="7499E4EB">
      <w:pPr>
        <w:pStyle w:val="3"/>
        <w:pageBreakBefore w:val="0"/>
        <w:numPr>
          <w:ilvl w:val="0"/>
          <w:numId w:val="0"/>
        </w:numPr>
        <w:kinsoku/>
        <w:wordWrap/>
        <w:overflowPunct/>
        <w:topLinePunct w:val="0"/>
        <w:autoSpaceDE/>
        <w:autoSpaceDN/>
        <w:bidi w:val="0"/>
        <w:adjustRightInd/>
        <w:snapToGrid/>
        <w:spacing w:line="400" w:lineRule="exact"/>
        <w:ind w:leftChars="0" w:firstLine="480" w:firstLineChars="200"/>
        <w:rPr>
          <w:rFonts w:hint="eastAsia" w:ascii="宋体" w:hAnsi="宋体" w:eastAsia="宋体" w:cs="宋体"/>
          <w:b w:val="0"/>
          <w:bCs w:val="0"/>
          <w:color w:val="auto"/>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xYWNhOWQzNjNiYWY0NDgyZjIzNTNhMmNiMmFlNDQifQ=="/>
    <w:docVar w:name="KSO_WPS_MARK_KEY" w:val="d2fe8f2d-7a05-404e-8631-3e9e8a95f250"/>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01D66EA8"/>
    <w:rsid w:val="023E7883"/>
    <w:rsid w:val="05720500"/>
    <w:rsid w:val="153B40D2"/>
    <w:rsid w:val="1D1A66F9"/>
    <w:rsid w:val="1D8A0330"/>
    <w:rsid w:val="2018198A"/>
    <w:rsid w:val="2327783C"/>
    <w:rsid w:val="235F045D"/>
    <w:rsid w:val="25C41B6B"/>
    <w:rsid w:val="29A4237F"/>
    <w:rsid w:val="2F6C69B6"/>
    <w:rsid w:val="308507BF"/>
    <w:rsid w:val="34042BA4"/>
    <w:rsid w:val="35CB616D"/>
    <w:rsid w:val="364049F9"/>
    <w:rsid w:val="3B1F0857"/>
    <w:rsid w:val="3B586F42"/>
    <w:rsid w:val="3F9457CD"/>
    <w:rsid w:val="40604770"/>
    <w:rsid w:val="40AF050F"/>
    <w:rsid w:val="41AF7158"/>
    <w:rsid w:val="43790D20"/>
    <w:rsid w:val="47794E4B"/>
    <w:rsid w:val="479A189B"/>
    <w:rsid w:val="4A2770A9"/>
    <w:rsid w:val="4BC8377F"/>
    <w:rsid w:val="4BFC7649"/>
    <w:rsid w:val="60164DBF"/>
    <w:rsid w:val="6051650D"/>
    <w:rsid w:val="62B12960"/>
    <w:rsid w:val="63E71EC3"/>
    <w:rsid w:val="6A521800"/>
    <w:rsid w:val="6BA476DC"/>
    <w:rsid w:val="6D714693"/>
    <w:rsid w:val="6ED077E5"/>
    <w:rsid w:val="6F0C1BC9"/>
    <w:rsid w:val="6F4961CF"/>
    <w:rsid w:val="7BAD1D78"/>
    <w:rsid w:val="7DDB2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rPr>
  </w:style>
  <w:style w:type="paragraph" w:styleId="3">
    <w:name w:val="Body Text First Indent"/>
    <w:basedOn w:val="2"/>
    <w:unhideWhenUsed/>
    <w:qFormat/>
    <w:uiPriority w:val="99"/>
    <w:pPr>
      <w:ind w:firstLine="420" w:firstLineChars="100"/>
    </w:pPr>
  </w:style>
  <w:style w:type="paragraph" w:styleId="6">
    <w:name w:val="Normal Indent"/>
    <w:basedOn w:val="1"/>
    <w:link w:val="16"/>
    <w:semiHidden/>
    <w:unhideWhenUsed/>
    <w:qFormat/>
    <w:uiPriority w:val="0"/>
    <w:pPr>
      <w:ind w:firstLine="420" w:firstLineChars="200"/>
    </w:pPr>
    <w:rPr>
      <w:rFonts w:asciiTheme="minorHAnsi" w:hAnsiTheme="minorHAnsi" w:eastAsiaTheme="minorEastAsia" w:cstheme="minorBidi"/>
    </w:rPr>
  </w:style>
  <w:style w:type="paragraph" w:styleId="7">
    <w:name w:val="Balloon Text"/>
    <w:basedOn w:val="1"/>
    <w:link w:val="26"/>
    <w:semiHidden/>
    <w:unhideWhenUsed/>
    <w:qFormat/>
    <w:uiPriority w:val="99"/>
    <w:rPr>
      <w:sz w:val="18"/>
      <w:szCs w:val="18"/>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5"/>
    <w:qFormat/>
    <w:uiPriority w:val="0"/>
    <w:rPr>
      <w:rFonts w:ascii="Arial" w:hAnsi="Arial" w:eastAsia="黑体" w:cs="Times New Roman"/>
      <w:b/>
      <w:bCs/>
      <w:sz w:val="32"/>
      <w:szCs w:val="32"/>
    </w:rPr>
  </w:style>
  <w:style w:type="character" w:customStyle="1" w:styleId="16">
    <w:name w:val="正文缩进 Char"/>
    <w:link w:val="6"/>
    <w:semiHidden/>
    <w:qFormat/>
    <w:locked/>
    <w:uiPriority w:val="0"/>
    <w:rPr>
      <w:szCs w:val="24"/>
    </w:rPr>
  </w:style>
  <w:style w:type="paragraph" w:customStyle="1" w:styleId="17">
    <w:name w:val="Default"/>
    <w:basedOn w:val="1"/>
    <w:qFormat/>
    <w:uiPriority w:val="0"/>
    <w:pPr>
      <w:autoSpaceDE w:val="0"/>
      <w:autoSpaceDN w:val="0"/>
      <w:adjustRightInd w:val="0"/>
      <w:jc w:val="left"/>
    </w:pPr>
    <w:rPr>
      <w:rFonts w:ascii="Arial" w:hAnsi="Arial"/>
      <w:color w:val="000000"/>
      <w:kern w:val="0"/>
      <w:sz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default" w:ascii="Calibri" w:hAnsi="Calibri" w:cs="Calibri"/>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Calibri" w:hAnsi="Calibri" w:cs="Calibri"/>
      <w:color w:val="000000"/>
      <w:sz w:val="22"/>
      <w:szCs w:val="22"/>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21"/>
    <w:basedOn w:val="12"/>
    <w:qFormat/>
    <w:uiPriority w:val="0"/>
    <w:rPr>
      <w:rFonts w:hint="eastAsia" w:ascii="宋体" w:hAnsi="宋体" w:eastAsia="宋体" w:cs="宋体"/>
      <w:color w:val="000000"/>
      <w:sz w:val="22"/>
      <w:szCs w:val="22"/>
      <w:u w:val="none"/>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批注框文本 Char"/>
    <w:basedOn w:val="12"/>
    <w:link w:val="7"/>
    <w:semiHidden/>
    <w:qFormat/>
    <w:uiPriority w:val="99"/>
    <w:rPr>
      <w:kern w:val="2"/>
      <w:sz w:val="18"/>
      <w:szCs w:val="18"/>
    </w:rPr>
  </w:style>
  <w:style w:type="paragraph" w:customStyle="1" w:styleId="27">
    <w:name w:val="列出段落1"/>
    <w:basedOn w:val="1"/>
    <w:qFormat/>
    <w:uiPriority w:val="34"/>
    <w:pPr>
      <w:widowControl/>
      <w:ind w:firstLine="420" w:firstLineChars="200"/>
      <w:jc w:val="left"/>
    </w:pPr>
    <w:rPr>
      <w:rFonts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2045</Words>
  <Characters>2092</Characters>
  <Lines>3</Lines>
  <Paragraphs>1</Paragraphs>
  <TotalTime>18</TotalTime>
  <ScaleCrop>false</ScaleCrop>
  <LinksUpToDate>false</LinksUpToDate>
  <CharactersWithSpaces>2456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罗春英</cp:lastModifiedBy>
  <cp:lastPrinted>2025-01-07T01:07:00Z</cp:lastPrinted>
  <dcterms:modified xsi:type="dcterms:W3CDTF">2025-05-23T04:54:34Z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7FB35919F0CE4014A20D5679CEF27AD4</vt:lpwstr>
  </property>
  <property fmtid="{D5CDD505-2E9C-101B-9397-08002B2CF9AE}" pid="4" name="KSOTemplateDocerSaveRecord">
    <vt:lpwstr>eyJoZGlkIjoiODIxYmVhMGNlMjFmMTM4N2M0ZDgzNDFhNTNlODllY2IiLCJ1c2VySWQiOiI0MzQxNTU2ODAifQ==</vt:lpwstr>
  </property>
</Properties>
</file>