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AD35">
      <w:pPr>
        <w:numPr>
          <w:ilvl w:val="0"/>
          <w:numId w:val="0"/>
        </w:numPr>
        <w:jc w:val="center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口腔CBCT及电子鼻咽喉镜系统</w:t>
      </w:r>
      <w:r>
        <w:rPr>
          <w:rFonts w:hint="eastAsia" w:ascii="宋体" w:hAnsi="宋体" w:eastAsia="宋体" w:cs="宋体"/>
          <w:i w:val="0"/>
          <w:iCs w:val="0"/>
          <w:caps w:val="0"/>
          <w:color w:val="000034"/>
          <w:spacing w:val="0"/>
          <w:sz w:val="28"/>
          <w:szCs w:val="28"/>
          <w:u w:val="none"/>
          <w:shd w:val="clear" w:fill="FFFFFF"/>
          <w:lang w:val="en-US" w:eastAsia="zh-CN"/>
        </w:rPr>
        <w:t>等一批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医疗设备市场调研项目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 w14:paraId="7D70FB03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0EF67D7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报价公司名称：</w:t>
      </w:r>
    </w:p>
    <w:p w14:paraId="1585F7C2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8"/>
        <w:tblW w:w="15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36"/>
        <w:gridCol w:w="4885"/>
        <w:gridCol w:w="924"/>
        <w:gridCol w:w="1185"/>
        <w:gridCol w:w="2017"/>
        <w:gridCol w:w="1290"/>
        <w:gridCol w:w="1275"/>
        <w:gridCol w:w="1050"/>
        <w:gridCol w:w="841"/>
      </w:tblGrid>
      <w:tr w14:paraId="2DEF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产品具体参数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622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5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电子鼻咽喉镜系统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（1）配置要求：内窥镜处理器1台 （2）LED 冷光源1台 （3）电子鼻咽喉镜(超细)1根（4）电子鼻咽喉镜(治疗)1根，治疗镜体需配备≥2mm的钳道（5）内窥镜用台车1台及24寸医用显示器1台 （6）需要接入我院HIS系统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E5C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ED5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F1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F0F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ED7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CEC4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7512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红光治疗仪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波长在600-700nm，精准设定治疗时间（5-30分钟），照射头可调整角度与距离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，红光光源稳定，照射强度均匀，配有过热保护、避光罩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65F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58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70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E8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6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46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21CF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9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关节镜SyneryUHD4摄像头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（1）有效像素数为1920X1080或3840X2160，搭配LED 光源，输出功率1600流明以上，色温5500-8500K。（2）接口配置:拥有DVI输入接口，可同时处理两路图像信号，实现单平台双镜联合。（3）软件配置:具备工作流块、数</w:t>
            </w:r>
            <w:r>
              <w:rPr>
                <w:rStyle w:val="25"/>
                <w:lang w:val="en-US" w:eastAsia="zh-CN" w:bidi="ar"/>
              </w:rPr>
              <w:t>据管理模块增强模块等软件模块，可通过钛合金 4K摄像头上的按键进行个性化设置。（4）适配</w:t>
            </w:r>
            <w:r>
              <w:rPr>
                <w:rStyle w:val="25"/>
                <w:rFonts w:hint="eastAsia"/>
                <w:lang w:val="en-US" w:eastAsia="zh-CN" w:bidi="ar"/>
              </w:rPr>
              <w:t>Arthrex的关节镜设备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63B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87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CD7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0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2D3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4D2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0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牙科综合治疗椅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（1）下挂式手机操作系统，具有一健消毒功能，对三用枪、手机、漱口水管道消毒（2）配置要求：洁牙机，内窥镜、翻盖式观片灯、三用喷枪2套、吸引器1套、外置式手机净水瓶装置1套、 DCI口腔灯1套、一体化卫生陶瓷痰盂1套带冲水装置、翻盖式观片灯1套、微电脑控制带主、副控1套脚开关1套、电动牙科椅、医生座椅+护士座椅气弹簧不锈钢底座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051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E24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26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71D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C8D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6BD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提供彩页</w:t>
            </w:r>
          </w:p>
        </w:tc>
      </w:tr>
      <w:tr w14:paraId="7C25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口腔科专用纯水系统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智能一键启动，制水、供水、消毒全自动运行。（2）反渗透膜，滤菌率≥99.99%（3）智能恒压供水，多重保护和报警功能，防负压顺管路反流。（4）纯水产量:60L/H(25℃)，可供牙椅:1-6台，纯水水质:符合口腔诊疗用水规范（5）离子去除率:≥99%（6）纯水箱储水量≥30L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9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81E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E92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409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2D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0DD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76F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提供彩页</w:t>
            </w:r>
          </w:p>
        </w:tc>
      </w:tr>
      <w:tr w14:paraId="118C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医用无油空压机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要求：（1）预埋PPR 供气管。（2）流量(L/min)350L/min，噪音(dB)≤62，最高压力(Mpa)0.8，启动压力(Mpa)0.55，储气罐容积(L)≥100，可供5-6台综合治疗牙椅使用。（2）罐内做内防锈处理，保证出气抗菌，抗腐蚀。（3）整机配备分段启动系统，每个马达单独控制（4）有定时排气罐水功能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DB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319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CDC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54A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87C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C7FE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7B84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口腔负压抽吸机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7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（1）延时抽吸停机功能，精准控制抽吸力，（2）全抽全排的抽吸工作（3）可供六台牙椅使用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（4）噪音&lt;70DB （5）抽吸流量&gt;900L/min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B5F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B29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1C3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766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342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A43A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3A4D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口腔颌面椎体束计算机体层摄影设备/口腔CBCT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B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（1）有全景片，CBCT，头颅侧位片，牙片拍摄四种模式，自带单独拍摄口内牙片功能（2）球管电流4-16mA （3）影像探测器数量全景、头颅、CT 共计2个 （4）模式：标准全景模式、全景优化模式、分区全景模式、咬翼片模式、双侧 TMJ开闭口位模式、上颌窦正位 （5）软件要求：2D软件功能、具有TGG-ai绿能技术、3D软件功能、专业正畸软件、≥200个医患沟通动画演示、气道分析功能、容积测量功能  （6）专业的种植软件 </w:t>
            </w:r>
            <w:r>
              <w:rPr>
                <w:rStyle w:val="25"/>
                <w:lang w:val="en-US" w:eastAsia="zh-CN" w:bidi="ar"/>
              </w:rPr>
              <w:t>（7）图文工作站1套， 需要接入我院HIS系统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6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F3A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79B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4B4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B0D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6F9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900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提供彩页</w:t>
            </w:r>
          </w:p>
        </w:tc>
      </w:tr>
      <w:tr w14:paraId="6E60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（1）控制主机:扭矩范围:连续旋转状态下是0.6-4.0Ncm，速度范围:连续旋转状态下是250-1200rpm。（2）反角:齿轮比例:6:1，牙锉柄部的最小适合长度11mm，牙锉最大总长≤6mm，卡盘类型为推动按钮。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（3）进口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F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AD1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874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7B9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D1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4FE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0A74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5E46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根管长度测量仪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2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配置:主机一部、充电器一个、测量电缆一条、唇夹一个、连接钩两个。（2）可充电电池电源。（3）多种不同大小的音量反馈，器械前进的过程中提供双提醒（4）精确度不受是否冲洗或者根管中不同的冲洗液体所影响无需校准，也不需要零点调节:随时可以使用（5）自动关闭，3-5分钟未使用，自动关闭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（6）进口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4C3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67B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4E4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2C5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B06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64AF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0B2C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牙髓电活力测试仪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6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具有开关机键和速度调节键。（2）无线手持（3）不同档位速度调节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6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4BC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1A7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5B5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254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F56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742B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06CC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口腔种植机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7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（1）组成主机:包括控制面板、电源供应和控制系统、手持式手术钻机、脚踏开关（2）钻头转速:调节范围1,000-50,000rpm,备洞阶段推荐 20,000-30,000rpm,攻丝时需降低至 300-1,000rpm 以避免骨灼伤。（3）支持5-80Ncm输出，高骨密度需调至上限，配合脚控或手控实现精准操作（4）喷雾流量10-50ml/min可调，五档水量调节（5）弯手机齿轮转速比:20:1，蠕动泵流量:0-135ml/min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F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AF6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7F0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B56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717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8ED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BFD8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提供彩页</w:t>
            </w:r>
          </w:p>
        </w:tc>
      </w:tr>
      <w:tr w14:paraId="0C4C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超声骨刀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6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（1）手柄能、供水泵管可反复高温高压灭菌（2）工作尖尖端主振幅:20~200um、横向振幅:&lt;5μm、振动频率:24.0kHz36.0kHz（3）蠕动泵流量:30~110mL/min，（4）主声输出面积:&lt;10mm2、次级横振声输出面积:&lt;20mm2 （5）手柄水路管道分离，可使用一次性输水管道（6）双模式输出选择，自由调整切割效果。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407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FF3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FFE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D81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2D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D9CE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提供彩页</w:t>
            </w:r>
          </w:p>
        </w:tc>
      </w:tr>
      <w:tr w14:paraId="535E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无影灯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A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（1）灯珠数量:≥48，中心照度:≥16000，色温:3000-67003，亮度调节:1-1004，中心照度:90Klx、单头。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8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DFE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3DD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98D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657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243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D9B5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714A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移动式电动负压吸引机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（1）可供一台牙椅使用 （2）噪音&lt;70DB（3）抽吸流量＞32L/min （4）贮液瓶容量≥2000ml （5）极限负压值》0.09MPa （6）负压调节范围0.02*0.09MPa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C8B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F8F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F76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1DB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3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E3F5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0953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治疗车1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（1）外形尺寸:&gt;80cm*50cm*45cm，抽屉数5抽，上面三层抽屉内带分类储物格（2）台面:大理石，柜体:不锈钢，导轨:承重型三节隐形阻尼带自吸导轨（3）抽屉:五抽(连杆锁);PVC内抽+托盘2个及以上，带锁具。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947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397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72B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F6C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D05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0B5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提供彩页</w:t>
            </w:r>
          </w:p>
        </w:tc>
      </w:tr>
      <w:tr w14:paraId="044C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治疗车2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A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治疗车为不锈钢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推车，尺寸≥800*480*860mm，两层双抽屉，面板护栏设计，脚轮采用125mm静音带刹脚轮。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D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68C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531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C7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F2B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399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5C37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提供彩页</w:t>
            </w:r>
          </w:p>
        </w:tc>
      </w:tr>
      <w:tr w14:paraId="329D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扇形器械台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扇形器械台为不锈钢推车，尺寸≥100*42*86cm，两层面板带护栏设计，脚轮采用125mm静音带刹脚轮。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E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7CD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E26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384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C09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F78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DEC2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提供彩页</w:t>
            </w:r>
          </w:p>
        </w:tc>
      </w:tr>
    </w:tbl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996185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1F56D91"/>
    <w:rsid w:val="16B441B9"/>
    <w:rsid w:val="16C53CF8"/>
    <w:rsid w:val="17941CF3"/>
    <w:rsid w:val="17EB2C41"/>
    <w:rsid w:val="19DA4E1F"/>
    <w:rsid w:val="1B7B0770"/>
    <w:rsid w:val="1D247FA7"/>
    <w:rsid w:val="1DFE2206"/>
    <w:rsid w:val="1FDC333E"/>
    <w:rsid w:val="221A42B9"/>
    <w:rsid w:val="22900133"/>
    <w:rsid w:val="22DC6047"/>
    <w:rsid w:val="23562ABF"/>
    <w:rsid w:val="2A235597"/>
    <w:rsid w:val="2A433BCA"/>
    <w:rsid w:val="2B16268D"/>
    <w:rsid w:val="2C855E74"/>
    <w:rsid w:val="2D621327"/>
    <w:rsid w:val="2F6F7534"/>
    <w:rsid w:val="311904EA"/>
    <w:rsid w:val="312A215B"/>
    <w:rsid w:val="316D0182"/>
    <w:rsid w:val="316E369B"/>
    <w:rsid w:val="31E513C0"/>
    <w:rsid w:val="33CC6163"/>
    <w:rsid w:val="348C31D3"/>
    <w:rsid w:val="355E6877"/>
    <w:rsid w:val="384E3007"/>
    <w:rsid w:val="3B1943B2"/>
    <w:rsid w:val="3BFC50CB"/>
    <w:rsid w:val="3C222941"/>
    <w:rsid w:val="3DE85F8A"/>
    <w:rsid w:val="3FFD5B89"/>
    <w:rsid w:val="40EC6145"/>
    <w:rsid w:val="4250579A"/>
    <w:rsid w:val="4313798F"/>
    <w:rsid w:val="432B7FC0"/>
    <w:rsid w:val="478638F6"/>
    <w:rsid w:val="48E1539E"/>
    <w:rsid w:val="48FC55AF"/>
    <w:rsid w:val="49B37A47"/>
    <w:rsid w:val="4AB34B18"/>
    <w:rsid w:val="4CD233F7"/>
    <w:rsid w:val="4D9D78D7"/>
    <w:rsid w:val="4F074943"/>
    <w:rsid w:val="4F9842DC"/>
    <w:rsid w:val="4FF05EC6"/>
    <w:rsid w:val="51145BE4"/>
    <w:rsid w:val="5201764D"/>
    <w:rsid w:val="52AF02BB"/>
    <w:rsid w:val="52FC5B62"/>
    <w:rsid w:val="53290EF6"/>
    <w:rsid w:val="56B758CC"/>
    <w:rsid w:val="57B046EE"/>
    <w:rsid w:val="57D170F0"/>
    <w:rsid w:val="5929502C"/>
    <w:rsid w:val="5D16412F"/>
    <w:rsid w:val="5EB02700"/>
    <w:rsid w:val="63C11BFC"/>
    <w:rsid w:val="64300B2F"/>
    <w:rsid w:val="664841D8"/>
    <w:rsid w:val="67353748"/>
    <w:rsid w:val="67743017"/>
    <w:rsid w:val="690070AC"/>
    <w:rsid w:val="696B3E10"/>
    <w:rsid w:val="69DC73E3"/>
    <w:rsid w:val="6A920EDB"/>
    <w:rsid w:val="6A941CB2"/>
    <w:rsid w:val="6BB20377"/>
    <w:rsid w:val="6C155A2E"/>
    <w:rsid w:val="6EFA182A"/>
    <w:rsid w:val="72456638"/>
    <w:rsid w:val="726A233E"/>
    <w:rsid w:val="72D972B1"/>
    <w:rsid w:val="730D37EC"/>
    <w:rsid w:val="73FE6554"/>
    <w:rsid w:val="74E17A49"/>
    <w:rsid w:val="7582315A"/>
    <w:rsid w:val="76695C3C"/>
    <w:rsid w:val="7C7A50AC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qFormat/>
    <w:uiPriority w:val="99"/>
    <w:pPr>
      <w:spacing w:before="100" w:beforeAutospacing="1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3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25">
    <w:name w:val="font3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2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745</Words>
  <Characters>785</Characters>
  <Lines>18</Lines>
  <Paragraphs>5</Paragraphs>
  <TotalTime>1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2025-09-05T00:44:34Z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6AE9232A54FC488EAE30A9EC63A9FA63</vt:lpwstr>
  </property>
  <property fmtid="{D5CDD505-2E9C-101B-9397-08002B2CF9AE}" pid="4" name="KSOTemplateDocerSaveRecord">
    <vt:lpwstr>eyJoZGlkIjoiMjJjODVkMGQ3NTZjOTY3ZDk3ZDQwMzNjODNmNWM5OGQiLCJ1c2VySWQiOiIxMjE3NDIwMDE5In0=</vt:lpwstr>
  </property>
</Properties>
</file>