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1713F">
      <w:pPr>
        <w:pStyle w:val="6"/>
        <w:jc w:val="center"/>
        <w:rPr>
          <w:rFonts w:ascii="方正公文小标宋" w:hAnsi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/>
          <w:b/>
          <w:bCs/>
          <w:sz w:val="44"/>
          <w:szCs w:val="44"/>
        </w:rPr>
        <w:t>采购需求</w:t>
      </w:r>
    </w:p>
    <w:p w14:paraId="659E6157">
      <w:pPr>
        <w:pStyle w:val="6"/>
        <w:numPr>
          <w:ilvl w:val="0"/>
          <w:numId w:val="1"/>
        </w:numPr>
        <w:spacing w:line="276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</w:rPr>
        <w:t>技术要求</w:t>
      </w:r>
    </w:p>
    <w:p w14:paraId="5D4A3469">
      <w:pPr>
        <w:pStyle w:val="6"/>
        <w:spacing w:line="276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（一）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病理</w:t>
      </w:r>
      <w:r>
        <w:rPr>
          <w:rFonts w:hint="eastAsia" w:ascii="宋体" w:hAnsi="宋体"/>
          <w:b/>
          <w:bCs/>
          <w:sz w:val="24"/>
          <w:szCs w:val="24"/>
        </w:rPr>
        <w:t>采购清单</w:t>
      </w:r>
    </w:p>
    <w:p w14:paraId="5BCE66FE">
      <w:pPr>
        <w:pStyle w:val="6"/>
        <w:spacing w:line="276" w:lineRule="auto"/>
        <w:ind w:left="980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项目清单见下表。外送项目包括但不限于表中所列项目，其增减不受服务协议的限制，而是根据采购人业务发展和临床的需求进行增减。具体项目及数量以实际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为准。</w:t>
      </w:r>
    </w:p>
    <w:p w14:paraId="764E1B59">
      <w:pPr>
        <w:pStyle w:val="6"/>
        <w:spacing w:line="276" w:lineRule="auto"/>
        <w:ind w:left="980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表：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项目清单</w:t>
      </w:r>
    </w:p>
    <w:tbl>
      <w:tblPr>
        <w:tblStyle w:val="7"/>
        <w:tblW w:w="8788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542"/>
        <w:gridCol w:w="1278"/>
        <w:gridCol w:w="1702"/>
        <w:gridCol w:w="1559"/>
      </w:tblGrid>
      <w:tr w14:paraId="75566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786C">
            <w:pPr>
              <w:spacing w:line="276" w:lineRule="auto"/>
              <w:jc w:val="center"/>
              <w:rPr>
                <w:rFonts w:ascii="宋体" w:hAnsi="宋体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645F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2DFF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预计数量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B9565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9AEE4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/>
                <w:bCs/>
                <w:sz w:val="24"/>
                <w:szCs w:val="24"/>
              </w:rPr>
              <w:t>总价（元）</w:t>
            </w:r>
          </w:p>
        </w:tc>
      </w:tr>
      <w:tr w14:paraId="1675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29FE">
            <w:pPr>
              <w:spacing w:line="276" w:lineRule="auto"/>
              <w:jc w:val="center"/>
              <w:textAlignment w:val="center"/>
              <w:rPr>
                <w:rFonts w:ascii="宋体" w:hAnsi="宋体" w:cs="微软雅黑"/>
                <w:sz w:val="24"/>
                <w:szCs w:val="24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194F">
            <w:pPr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宫颈细胞DNA定量分析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CCF7">
            <w:pPr>
              <w:spacing w:line="276" w:lineRule="auto"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B850">
            <w:pPr>
              <w:spacing w:line="276" w:lineRule="auto"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991A">
            <w:pPr>
              <w:spacing w:line="276" w:lineRule="auto"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4"/>
                <w:lang w:val="en-US" w:eastAsia="zh-CN" w:bidi="ar"/>
              </w:rPr>
              <w:t>262600</w:t>
            </w:r>
          </w:p>
        </w:tc>
      </w:tr>
      <w:tr w14:paraId="56E5E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DED3">
            <w:pPr>
              <w:spacing w:line="276" w:lineRule="auto"/>
              <w:jc w:val="center"/>
              <w:textAlignment w:val="center"/>
              <w:rPr>
                <w:rFonts w:ascii="宋体" w:hAnsi="宋体" w:cs="微软雅黑"/>
                <w:sz w:val="24"/>
                <w:szCs w:val="24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B26B">
            <w:pPr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肾脏穿刺组织检查（常规检查+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项特殊染色+7项免疫荧光+电镜+图文）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C856">
            <w:pPr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微软雅黑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D68A">
            <w:pPr>
              <w:spacing w:line="276" w:lineRule="auto"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7184">
            <w:pPr>
              <w:spacing w:line="276" w:lineRule="auto"/>
              <w:jc w:val="both"/>
              <w:textAlignment w:val="center"/>
              <w:rPr>
                <w:rFonts w:hint="default" w:ascii="宋体" w:hAnsi="宋体" w:eastAsia="宋体" w:cs="微软雅黑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0561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20F5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6496">
            <w:pPr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CCEA6">
            <w:pPr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172AC5">
            <w:pPr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988EE">
            <w:pPr>
              <w:spacing w:line="276" w:lineRule="auto"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4"/>
                <w:lang w:val="en-US" w:eastAsia="zh-CN" w:bidi="ar"/>
              </w:rPr>
              <w:t>262600.00</w:t>
            </w:r>
          </w:p>
        </w:tc>
      </w:tr>
    </w:tbl>
    <w:p w14:paraId="3E6C4FE3">
      <w:pPr>
        <w:pStyle w:val="6"/>
        <w:spacing w:line="276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（二）项目要求</w:t>
      </w:r>
    </w:p>
    <w:p w14:paraId="275A2F3B">
      <w:pPr>
        <w:pStyle w:val="6"/>
        <w:spacing w:line="276" w:lineRule="auto"/>
        <w:ind w:firstLine="417" w:firstLineChars="17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1、服务时间：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年</w:t>
      </w:r>
    </w:p>
    <w:p w14:paraId="13E4674E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、服务要求</w:t>
      </w:r>
    </w:p>
    <w:p w14:paraId="3468336E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（1）必须配备完善医疗冷链物流系统和信息服务体系，要保证接收、送检标本运输过程的安全，保证标本的质量。</w:t>
      </w:r>
    </w:p>
    <w:p w14:paraId="32977F53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（2）提供每周七天的上门接收标本的服务，时间为8:30至17:30。遇特殊标本可机动收取。</w:t>
      </w:r>
    </w:p>
    <w:p w14:paraId="525CF17C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（3）具有规范标本接收、登记和包装流程，保证标本质量和安全，确保标本顺利和交接，方便核</w:t>
      </w:r>
      <w:r>
        <w:rPr>
          <w:rFonts w:hint="eastAsia" w:ascii="宋体" w:hAnsi="宋体"/>
          <w:sz w:val="24"/>
          <w:szCs w:val="24"/>
          <w:lang w:val="en-US" w:eastAsia="zh-CN"/>
        </w:rPr>
        <w:t>查</w:t>
      </w:r>
      <w:r>
        <w:rPr>
          <w:rFonts w:hint="eastAsia" w:ascii="宋体" w:hAnsi="宋体"/>
          <w:sz w:val="24"/>
          <w:szCs w:val="24"/>
        </w:rPr>
        <w:t>。</w:t>
      </w:r>
    </w:p>
    <w:p w14:paraId="595B775B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（4）标本接收人员要通过严格培训，负责标本质量的初检、标识的核对，标本的接收登记及包装储存。</w:t>
      </w:r>
    </w:p>
    <w:p w14:paraId="3BE5D486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（5）必须确保及时接收、送检标本和及时</w:t>
      </w:r>
      <w:r>
        <w:rPr>
          <w:rFonts w:hint="eastAsia" w:ascii="宋体" w:hAnsi="宋体"/>
          <w:sz w:val="24"/>
          <w:szCs w:val="24"/>
          <w:lang w:val="en-US" w:eastAsia="zh-CN"/>
        </w:rPr>
        <w:t>检验</w:t>
      </w:r>
      <w:r>
        <w:rPr>
          <w:rFonts w:hint="eastAsia" w:ascii="宋体" w:hAnsi="宋体"/>
          <w:sz w:val="24"/>
          <w:szCs w:val="24"/>
        </w:rPr>
        <w:t>。标本不符合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要求时，应及时通知重新取样。</w:t>
      </w:r>
    </w:p>
    <w:p w14:paraId="0D4DADD8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（6）标本在送检过程中出现延迟、遗漏、丢失等情况，应有完善的应急预案予以妥善解决，否则应承担相应责任。</w:t>
      </w:r>
    </w:p>
    <w:p w14:paraId="5D468B48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（7）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报告单必须由具备相应资质的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  <w:lang w:val="en-US" w:eastAsia="zh-CN"/>
        </w:rPr>
        <w:t>医师</w:t>
      </w:r>
      <w:r>
        <w:rPr>
          <w:rFonts w:hint="eastAsia" w:ascii="宋体" w:hAnsi="宋体"/>
          <w:sz w:val="24"/>
          <w:szCs w:val="24"/>
        </w:rPr>
        <w:t>签发，</w:t>
      </w:r>
      <w:r>
        <w:rPr>
          <w:rFonts w:hint="eastAsia" w:ascii="宋体" w:hAnsi="宋体"/>
          <w:sz w:val="24"/>
          <w:szCs w:val="24"/>
          <w:lang w:val="en-US" w:eastAsia="zh-CN"/>
        </w:rPr>
        <w:t>且要有上级病理医师</w:t>
      </w:r>
      <w:r>
        <w:rPr>
          <w:rFonts w:hint="eastAsia" w:ascii="宋体" w:hAnsi="宋体"/>
          <w:sz w:val="24"/>
          <w:szCs w:val="24"/>
        </w:rPr>
        <w:t>复核</w:t>
      </w:r>
      <w:r>
        <w:rPr>
          <w:rFonts w:hint="eastAsia" w:ascii="宋体" w:hAnsi="宋体"/>
          <w:sz w:val="24"/>
          <w:szCs w:val="24"/>
          <w:lang w:val="en-US" w:eastAsia="zh-CN"/>
        </w:rPr>
        <w:t>签名</w:t>
      </w:r>
      <w:r>
        <w:rPr>
          <w:rFonts w:hint="eastAsia" w:ascii="宋体" w:hAnsi="宋体"/>
          <w:sz w:val="24"/>
          <w:szCs w:val="24"/>
        </w:rPr>
        <w:t>。出现因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结果错误导致医疗纠纷等不良后果，责任由该检测单位承担。</w:t>
      </w:r>
    </w:p>
    <w:p w14:paraId="721541C4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（8）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报告单在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结果出具后2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小时内送至</w:t>
      </w:r>
      <w:r>
        <w:rPr>
          <w:rFonts w:hint="eastAsia" w:ascii="宋体" w:hAnsi="宋体"/>
          <w:sz w:val="24"/>
          <w:szCs w:val="24"/>
          <w:lang w:val="en-US" w:eastAsia="zh-CN"/>
        </w:rPr>
        <w:t>医院</w:t>
      </w:r>
      <w:r>
        <w:rPr>
          <w:rFonts w:hint="eastAsia" w:ascii="宋体" w:hAnsi="宋体"/>
          <w:sz w:val="24"/>
          <w:szCs w:val="24"/>
        </w:rPr>
        <w:t>。</w:t>
      </w:r>
    </w:p>
    <w:p w14:paraId="0658D17E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）免费提供</w:t>
      </w:r>
      <w:r>
        <w:rPr>
          <w:rFonts w:hint="eastAsia" w:ascii="宋体" w:hAnsi="宋体"/>
          <w:sz w:val="24"/>
          <w:szCs w:val="24"/>
          <w:lang w:val="en-US" w:eastAsia="zh-CN"/>
        </w:rPr>
        <w:t>DNA倍体</w:t>
      </w:r>
      <w:r>
        <w:rPr>
          <w:rFonts w:hint="eastAsia" w:ascii="宋体" w:hAnsi="宋体"/>
          <w:sz w:val="24"/>
          <w:szCs w:val="24"/>
        </w:rPr>
        <w:t>检查项目需要的</w:t>
      </w:r>
      <w:r>
        <w:rPr>
          <w:rFonts w:hint="eastAsia" w:ascii="宋体" w:hAnsi="宋体"/>
          <w:sz w:val="24"/>
          <w:szCs w:val="24"/>
          <w:lang w:val="en-US" w:eastAsia="zh-CN"/>
        </w:rPr>
        <w:t>耗材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如细胞保存液，申请单、采样刷等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、知情同意书、专用的患者资料登记申请单等。</w:t>
      </w:r>
    </w:p>
    <w:p w14:paraId="5C79B56F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、结果查询</w:t>
      </w:r>
    </w:p>
    <w:p w14:paraId="45751435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（1）为保证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结果实时网络传送，实现实验室数据的汇总、储存、传输功能，可以与医院中心LIS和HIS系统对接,需符合国家信息安全有关的规定和要求。</w:t>
      </w:r>
    </w:p>
    <w:p w14:paraId="428A8212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）提供网上查询服务，以供随时查询进度和结果。</w:t>
      </w:r>
    </w:p>
    <w:p w14:paraId="262C8057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（3）提供电话查询服务，危急值专人电话跟进，确保患者检测信息与临床医生的畅通。</w:t>
      </w:r>
    </w:p>
    <w:p w14:paraId="29F0C77F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（4）医务人员可以随时调阅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结果，须保证病人资料的准确性和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结果的及时性</w:t>
      </w:r>
      <w:r>
        <w:rPr>
          <w:rFonts w:hint="eastAsia" w:ascii="宋体" w:hAnsi="宋体"/>
          <w:sz w:val="24"/>
          <w:szCs w:val="24"/>
          <w:lang w:val="en-US" w:eastAsia="zh-CN"/>
        </w:rPr>
        <w:t>以及患者结果不得外泄的保密性</w:t>
      </w:r>
      <w:r>
        <w:rPr>
          <w:rFonts w:hint="eastAsia" w:ascii="宋体" w:hAnsi="宋体"/>
          <w:sz w:val="24"/>
          <w:szCs w:val="24"/>
        </w:rPr>
        <w:t>，并提供系统使用的必要培训与技术支持。</w:t>
      </w:r>
    </w:p>
    <w:p w14:paraId="775E0C69">
      <w:pPr>
        <w:pStyle w:val="6"/>
        <w:spacing w:line="276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（5）按照检测项目常规报告时间提供检测结果，并能满足急诊项目的优先检测。</w:t>
      </w:r>
    </w:p>
    <w:p w14:paraId="3374493A">
      <w:pPr>
        <w:pStyle w:val="6"/>
        <w:spacing w:line="276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、技术支持</w:t>
      </w:r>
    </w:p>
    <w:p w14:paraId="05EAD4F0">
      <w:pPr>
        <w:pStyle w:val="6"/>
        <w:spacing w:line="276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拥有</w:t>
      </w:r>
      <w:r>
        <w:rPr>
          <w:rFonts w:hint="eastAsia" w:ascii="宋体" w:hAnsi="宋体"/>
          <w:sz w:val="24"/>
          <w:szCs w:val="24"/>
          <w:lang w:val="en-US" w:eastAsia="zh-CN"/>
        </w:rPr>
        <w:t>医学院校背景</w:t>
      </w:r>
      <w:r>
        <w:rPr>
          <w:rFonts w:hint="eastAsia" w:ascii="宋体" w:hAnsi="宋体"/>
          <w:sz w:val="24"/>
          <w:szCs w:val="24"/>
        </w:rPr>
        <w:t>的技术支撑，能依托</w:t>
      </w:r>
      <w:r>
        <w:rPr>
          <w:rFonts w:hint="eastAsia" w:ascii="宋体" w:hAnsi="宋体"/>
          <w:sz w:val="24"/>
          <w:szCs w:val="24"/>
          <w:lang w:val="en-US" w:eastAsia="zh-CN"/>
        </w:rPr>
        <w:t>医学院校背景</w:t>
      </w:r>
      <w:r>
        <w:rPr>
          <w:rFonts w:hint="eastAsia" w:ascii="宋体" w:hAnsi="宋体"/>
          <w:sz w:val="24"/>
          <w:szCs w:val="24"/>
        </w:rPr>
        <w:t>以及同一系统内的三甲医院的资源，协助开展进修培训、协助医院中心开展继续教育、学术交流活动。</w:t>
      </w:r>
    </w:p>
    <w:p w14:paraId="70ECB620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、人员要求</w:t>
      </w:r>
    </w:p>
    <w:p w14:paraId="29AACC90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所选派本项目的支持人员配备必须合理，职责明确，提供完备的服务团队，包括项目负责人等。</w:t>
      </w:r>
    </w:p>
    <w:p w14:paraId="451B10BE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、车辆要求</w:t>
      </w:r>
    </w:p>
    <w:p w14:paraId="5311CC07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配备接收、送检的车辆：车辆必须配备专用车载冰箱或保温箱，冰箱或保温箱必须有相应的温度记录表</w:t>
      </w:r>
      <w:r>
        <w:rPr>
          <w:rFonts w:hint="eastAsia" w:ascii="宋体" w:hAnsi="宋体"/>
          <w:sz w:val="24"/>
          <w:szCs w:val="24"/>
          <w:lang w:val="en-US" w:eastAsia="zh-CN"/>
        </w:rPr>
        <w:t>等</w:t>
      </w:r>
      <w:r>
        <w:rPr>
          <w:rFonts w:hint="eastAsia" w:ascii="宋体" w:hAnsi="宋体"/>
          <w:sz w:val="24"/>
          <w:szCs w:val="24"/>
        </w:rPr>
        <w:t>。</w:t>
      </w:r>
    </w:p>
    <w:p w14:paraId="2EFF2F3B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、提供售后服务</w:t>
      </w:r>
    </w:p>
    <w:p w14:paraId="55B28D1A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设有客服专线电话，处理相关的日常咨询及售后服务工作。具有完善管理制度和服务流程以保障上门服务及时有效性，并定期选派具有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背景的专业技术人员提供售后服务。</w:t>
      </w:r>
    </w:p>
    <w:p w14:paraId="2E863FBB">
      <w:pPr>
        <w:pStyle w:val="6"/>
        <w:numPr>
          <w:ilvl w:val="0"/>
          <w:numId w:val="1"/>
        </w:numPr>
        <w:spacing w:line="276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</w:rPr>
        <w:t>商务要求</w:t>
      </w:r>
    </w:p>
    <w:p w14:paraId="77CF310B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、项目内容：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  <w:lang w:val="en-US" w:eastAsia="zh-CN"/>
        </w:rPr>
        <w:t>检查</w:t>
      </w:r>
      <w:r>
        <w:rPr>
          <w:rFonts w:hint="eastAsia" w:ascii="宋体" w:hAnsi="宋体"/>
          <w:sz w:val="24"/>
          <w:szCs w:val="24"/>
        </w:rPr>
        <w:t>外送服务</w:t>
      </w:r>
    </w:p>
    <w:p w14:paraId="4C93C8E1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2、付款方式:每月结算一次，申请付款时须提供相应额度的国家正式发票。</w:t>
      </w:r>
    </w:p>
    <w:p w14:paraId="34A2C4D2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注︰</w:t>
      </w:r>
    </w:p>
    <w:p w14:paraId="7F900892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（1）《自贡市医疗服务价格（试行）》中的规定的以外的送检项目。如在服务期限内，物价部门调整了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单价时，对应项目单价应按照物价部门调整的</w:t>
      </w:r>
      <w:r>
        <w:rPr>
          <w:rFonts w:hint="eastAsia" w:ascii="宋体" w:hAnsi="宋体"/>
          <w:sz w:val="24"/>
          <w:szCs w:val="24"/>
          <w:lang w:eastAsia="zh-CN"/>
        </w:rPr>
        <w:t>病理</w:t>
      </w:r>
      <w:r>
        <w:rPr>
          <w:rFonts w:hint="eastAsia" w:ascii="宋体" w:hAnsi="宋体"/>
          <w:sz w:val="24"/>
          <w:szCs w:val="24"/>
        </w:rPr>
        <w:t>单价浮动比例调整结算单价。</w:t>
      </w:r>
    </w:p>
    <w:p w14:paraId="24F57514">
      <w:pPr>
        <w:pStyle w:val="6"/>
        <w:spacing w:line="276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/>
          <w:sz w:val="24"/>
          <w:szCs w:val="24"/>
        </w:rPr>
        <w:t>实际服务费用=每月实际检测项目数量×中标单价/（1-下浮率）。</w:t>
      </w:r>
    </w:p>
    <w:p w14:paraId="740AFF4E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3、服务地点:采购方指定及招标范围要求的地点。</w:t>
      </w:r>
    </w:p>
    <w:p w14:paraId="784D4659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4、价格要求︰</w:t>
      </w:r>
    </w:p>
    <w:p w14:paraId="10508C4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（1）本项目采用整体下浮率报价，供应商对采购执行时报整体下浮率。供应商填报下浮率要求：下浮率≥0%，但报价时下浮率超过100%为无效报价；</w:t>
      </w:r>
    </w:p>
    <w:p w14:paraId="07EDE378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（2）必须对本项目的全部内容报价，不可有缺漏﹔</w:t>
      </w:r>
    </w:p>
    <w:p w14:paraId="5A3EAFFB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（3）报价应为人民币含税全包价，包括︰国家规定的所有税费及与项目相关的所有费用。</w:t>
      </w:r>
    </w:p>
    <w:p w14:paraId="0310CDAD">
      <w:pPr>
        <w:pStyle w:val="6"/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5、服务范围:富顺县中医医院。</w:t>
      </w:r>
    </w:p>
    <w:p w14:paraId="49CD1C89">
      <w:pPr>
        <w:pStyle w:val="6"/>
        <w:spacing w:line="276" w:lineRule="auto"/>
        <w:rPr>
          <w:rFonts w:ascii="宋体" w:hAnsi="宋体"/>
          <w:sz w:val="24"/>
          <w:szCs w:val="24"/>
        </w:rPr>
      </w:pPr>
    </w:p>
    <w:p w14:paraId="7C97DD8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C67E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D110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FD110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F44B3"/>
    <w:multiLevelType w:val="multilevel"/>
    <w:tmpl w:val="68AF44B3"/>
    <w:lvl w:ilvl="0" w:tentative="0">
      <w:start w:val="1"/>
      <w:numFmt w:val="japaneseCounting"/>
      <w:lvlText w:val="%1、"/>
      <w:lvlJc w:val="left"/>
      <w:pPr>
        <w:ind w:left="980" w:hanging="5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B163A"/>
    <w:rsid w:val="35A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2025-12-16T07:53:00Z</dcterms:created>
  <dc:creator>熊</dc:creator>
  <cp:lastModifiedBy>熊</cp:lastModifiedBy>
  <dcterms:modified xsi:type="dcterms:W3CDTF">2025-12-16T07:53:38Z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749B6D762E1B4468820093FDE7B66A2F_11</vt:lpwstr>
  </property>
  <property fmtid="{D5CDD505-2E9C-101B-9397-08002B2CF9AE}" pid="4" name="KSOTemplateDocerSaveRecord">
    <vt:lpwstr>eyJoZGlkIjoiZDM5ZTJmNzdiOGIxNTQyNjQ4ODg5ZmU3ZGE1YmI1MzYiLCJ1c2VySWQiOiIxMTMyNTQ0NTQ2In0=</vt:lpwstr>
  </property>
</Properties>
</file>