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682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51AD35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2026年一批医疗设备市场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调研项目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明细表</w:t>
      </w:r>
    </w:p>
    <w:p w14:paraId="0A5A8786">
      <w:pPr>
        <w:numPr>
          <w:ilvl w:val="0"/>
          <w:numId w:val="0"/>
        </w:numPr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报价公司名称：</w:t>
      </w:r>
    </w:p>
    <w:tbl>
      <w:tblPr>
        <w:tblStyle w:val="8"/>
        <w:tblpPr w:leftFromText="180" w:rightFromText="180" w:vertAnchor="text" w:horzAnchor="page" w:tblpX="719" w:tblpY="292"/>
        <w:tblOverlap w:val="never"/>
        <w:tblW w:w="15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1958"/>
        <w:gridCol w:w="3146"/>
        <w:gridCol w:w="1170"/>
        <w:gridCol w:w="1215"/>
        <w:gridCol w:w="1680"/>
        <w:gridCol w:w="1140"/>
        <w:gridCol w:w="1530"/>
        <w:gridCol w:w="965"/>
        <w:gridCol w:w="1140"/>
      </w:tblGrid>
      <w:tr w14:paraId="5CC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基本配置（可按照实际需求进行增补修改）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90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（1）单泵、进口（2）断电可运行30分钟，消毒可热消毒，可在下 KTV 检测血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（1）血压计、工作原理平衡腔+热源泵、平衡腔+计量腔+流量泵显示部件配&gt;10 英寸显示屏，可以180旋转，（2）配置小托盘、气泡监测、漏血检测有备用电池，预冲液联机排液。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D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0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3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DA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0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B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BE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（1）双泵、进口（2）断电可运行30分钟，消毒可热消毒，可在下 KTV 检测血（3）可满足HDF治疗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（1）血压计、工作原理平衡腔+热源泵、平衡腔+计量腔+流量泵显示部件配&gt;10 英寸显示屏，可以180旋转，（2）配置小托盘、气泡监测、漏血检测有备用电池，预冲液联机排液。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1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B7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5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9E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F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A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BB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可视喉镜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（1）显示器旋转角度前后≥120°，左右≥270°，分辨率≥640×480（2）分体式设计，状态异常时有提示，可导出照片和视频（3）具备手柄拍录按键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（1）摄像头像素≥200万，具有独特防雾功能</w:t>
            </w:r>
          </w:p>
          <w:p w14:paraId="5EA2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（2）可选配≥13种重复性窥视片型号，材质为医用级316L不锈钢金属</w:t>
            </w:r>
          </w:p>
          <w:p w14:paraId="2247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（3）支持无线充电，内置电池的待机时间≥300分钟，充电次数≥500次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4E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FC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B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67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6A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2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7E22B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961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961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3A24818"/>
    <w:rsid w:val="16B441B9"/>
    <w:rsid w:val="16C53CF8"/>
    <w:rsid w:val="1727576C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A9D7742"/>
    <w:rsid w:val="2B16268D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4FE582A"/>
    <w:rsid w:val="355E6877"/>
    <w:rsid w:val="3660357D"/>
    <w:rsid w:val="384E3007"/>
    <w:rsid w:val="395A55A8"/>
    <w:rsid w:val="3B1943B2"/>
    <w:rsid w:val="3BFC50CB"/>
    <w:rsid w:val="3C222941"/>
    <w:rsid w:val="3D9024C7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6379A0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1A62640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BB92C18"/>
    <w:rsid w:val="6C155A2E"/>
    <w:rsid w:val="6EFA182A"/>
    <w:rsid w:val="70792EC1"/>
    <w:rsid w:val="72456638"/>
    <w:rsid w:val="726A233E"/>
    <w:rsid w:val="72D972B1"/>
    <w:rsid w:val="730D37EC"/>
    <w:rsid w:val="74E17A49"/>
    <w:rsid w:val="7582315A"/>
    <w:rsid w:val="76695C3C"/>
    <w:rsid w:val="7D0C5CAF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818</Words>
  <Characters>855</Characters>
  <Lines>18</Lines>
  <Paragraphs>5</Paragraphs>
  <TotalTime>5</TotalTime>
  <ScaleCrop>false</ScaleCrop>
  <LinksUpToDate>false</LinksUpToDate>
  <CharactersWithSpaces>865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2026-02-11T01:21:00Z</cp:lastPrinted>
  <dcterms:modified xsi:type="dcterms:W3CDTF">2026-02-11T07:25:21Z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DF1348A2C6714E4FA44F18C8EEBDDB9A_13</vt:lpwstr>
  </property>
  <property fmtid="{D5CDD505-2E9C-101B-9397-08002B2CF9AE}" pid="4" name="KSOTemplateDocerSaveRecord">
    <vt:lpwstr>eyJoZGlkIjoiMmQ0NGFjNzY3OThhNTgxMmIzOWY3ZWEyNDVmMjM1MzIiLCJ1c2VySWQiOiI5MjM5NzQ2MzMifQ==</vt:lpwstr>
  </property>
</Properties>
</file>