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35D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hAnsi="Arial" w:eastAsia="等线" w:cs="Arial"/>
          <w:b/>
          <w:sz w:val="40"/>
          <w:szCs w:val="18"/>
        </w:rPr>
      </w:pPr>
      <w:r>
        <w:rPr>
          <w:rFonts w:ascii="Arial" w:hAnsi="Arial" w:eastAsia="等线" w:cs="Arial"/>
          <w:b/>
          <w:sz w:val="40"/>
          <w:szCs w:val="18"/>
        </w:rPr>
        <w:t>富顺县中医医院</w:t>
      </w:r>
    </w:p>
    <w:p w14:paraId="73EB4C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6"/>
          <w:szCs w:val="18"/>
        </w:rPr>
      </w:pPr>
      <w:r>
        <w:rPr>
          <w:rFonts w:ascii="Arial" w:hAnsi="Arial" w:eastAsia="等线" w:cs="Arial"/>
          <w:b/>
          <w:sz w:val="40"/>
          <w:szCs w:val="18"/>
        </w:rPr>
        <w:t>富达路院区口腔科CT射线防护铅房采购项目</w:t>
      </w:r>
      <w:r>
        <w:rPr>
          <w:rFonts w:hint="eastAsia" w:ascii="Arial" w:hAnsi="Arial" w:eastAsia="等线" w:cs="Arial"/>
          <w:b/>
          <w:sz w:val="40"/>
          <w:szCs w:val="18"/>
          <w:lang w:val="en-US" w:eastAsia="zh-CN"/>
        </w:rPr>
        <w:t>市场调研</w:t>
      </w:r>
      <w:r>
        <w:rPr>
          <w:rFonts w:ascii="Arial" w:hAnsi="Arial" w:eastAsia="等线" w:cs="Arial"/>
          <w:b/>
          <w:sz w:val="40"/>
          <w:szCs w:val="18"/>
        </w:rPr>
        <w:t>采购需求</w:t>
      </w:r>
    </w:p>
    <w:p w14:paraId="34FE8AEA">
      <w:pPr>
        <w:spacing w:before="320" w:after="120" w:line="288" w:lineRule="auto"/>
        <w:ind w:firstLine="280" w:firstLineChars="100"/>
        <w:jc w:val="left"/>
        <w:outlineLvl w:val="1"/>
        <w:rPr>
          <w:sz w:val="20"/>
          <w:szCs w:val="21"/>
        </w:rPr>
      </w:pPr>
      <w:bookmarkStart w:id="0" w:name="heading_0"/>
      <w:r>
        <w:rPr>
          <w:rFonts w:ascii="Arial" w:hAnsi="Arial" w:eastAsia="等线" w:cs="Arial"/>
          <w:b/>
          <w:sz w:val="28"/>
          <w:szCs w:val="21"/>
        </w:rPr>
        <w:t>一、专业资质要求</w:t>
      </w:r>
      <w:bookmarkEnd w:id="0"/>
    </w:p>
    <w:p w14:paraId="3530D36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1.具有独立法人资格及有效营业执照，经营范围含射线防护设备生产/销售/安装相关内容；代理商需提供生产厂家唯一授权委托书及厂家完整资质。</w:t>
      </w:r>
    </w:p>
    <w:p w14:paraId="12DC2DFD">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2.具备有效《辐射安全许可证》（乙级及以上），许可范围含射线防护设施安装、调试。</w:t>
      </w:r>
    </w:p>
    <w:p w14:paraId="2DCD60C4">
      <w:pPr>
        <w:spacing w:before="320" w:after="120" w:line="288" w:lineRule="auto"/>
        <w:ind w:left="0" w:firstLine="560" w:firstLineChars="200"/>
        <w:jc w:val="left"/>
        <w:outlineLvl w:val="1"/>
        <w:rPr>
          <w:sz w:val="20"/>
          <w:szCs w:val="21"/>
        </w:rPr>
      </w:pPr>
      <w:bookmarkStart w:id="1" w:name="heading_1"/>
      <w:r>
        <w:rPr>
          <w:rFonts w:ascii="Arial" w:hAnsi="Arial" w:eastAsia="等线" w:cs="Arial"/>
          <w:b/>
          <w:sz w:val="28"/>
          <w:szCs w:val="21"/>
        </w:rPr>
        <w:t>二、项目概况</w:t>
      </w:r>
      <w:bookmarkEnd w:id="1"/>
    </w:p>
    <w:p w14:paraId="42C2B5A9">
      <w:pPr>
        <w:spacing w:before="120" w:after="120" w:line="288" w:lineRule="auto"/>
        <w:ind w:left="0" w:firstLine="440" w:firstLineChars="200"/>
        <w:jc w:val="left"/>
      </w:pPr>
      <w:r>
        <w:rPr>
          <w:rFonts w:ascii="Arial" w:hAnsi="Arial" w:eastAsia="等线" w:cs="Arial"/>
          <w:sz w:val="22"/>
        </w:rPr>
        <w:t>本项目为富顺县中医医院富达路院区口腔科CT射线防护铅房采购项目，核心用途为配套口腔科CT设备开展诊疗工作，保障机房内外医护人员、患者及周边人员的辐射安全，符合放射性职业病危害预评价、控制效果评价相关要求。供应商需提供“设计-制造-运输-安装-调试-检测-验收-售后”一站式解决方案，涵盖铅房主体、防护门、观察窗、通风系统、电气系统及所有配套附件，确保全部服务符合国家相关标准及院方诊疗工作实际需求，全程配合院方完成预评、控评及相关部门验收工作。</w:t>
      </w:r>
    </w:p>
    <w:p w14:paraId="429A6B57">
      <w:pPr>
        <w:spacing w:before="320" w:after="120" w:line="288" w:lineRule="auto"/>
        <w:ind w:left="0" w:firstLine="560" w:firstLineChars="200"/>
        <w:jc w:val="left"/>
        <w:outlineLvl w:val="1"/>
        <w:rPr>
          <w:sz w:val="20"/>
          <w:szCs w:val="21"/>
        </w:rPr>
      </w:pPr>
      <w:bookmarkStart w:id="2" w:name="heading_2"/>
      <w:r>
        <w:rPr>
          <w:rFonts w:ascii="Arial" w:hAnsi="Arial" w:eastAsia="等线" w:cs="Arial"/>
          <w:b/>
          <w:sz w:val="28"/>
          <w:szCs w:val="21"/>
        </w:rPr>
        <w:t>三、技术规格与要求</w:t>
      </w:r>
      <w:bookmarkEnd w:id="2"/>
    </w:p>
    <w:p w14:paraId="2E6E595E">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1.</w:t>
      </w:r>
      <w:r>
        <w:rPr>
          <w:rFonts w:ascii="Arial" w:hAnsi="Arial" w:eastAsia="等线" w:cs="Arial"/>
          <w:b/>
          <w:sz w:val="22"/>
        </w:rPr>
        <w:t>整体尺寸与结构要求</w:t>
      </w:r>
      <w:r>
        <w:rPr>
          <w:rFonts w:ascii="Arial" w:hAnsi="Arial" w:eastAsia="等线" w:cs="Arial"/>
          <w:sz w:val="22"/>
        </w:rPr>
        <w:t>：铅房内空尺寸标准为长2.5m×宽2.0m×高2.4m（允许误差±5mm）；内部有效使用面积不得小于5㎡，最小单边长度不得小于2.0m，确保CT设备正常安装、诊疗操作空间充足及人员通行安全。主体结构采用优质型钢龙骨+防护板材组合，具备足够机械强度和稳定性，表面平整光洁、无凹凸、划痕、色差等缺陷，涂层均匀，具备良好的防潮、防腐、防火性能（防火等级不低于B1级），符合医疗场所使用标准。</w:t>
      </w:r>
    </w:p>
    <w:p w14:paraId="281E0F8A">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2.</w:t>
      </w:r>
      <w:r>
        <w:rPr>
          <w:rFonts w:ascii="Arial" w:hAnsi="Arial" w:eastAsia="等线" w:cs="Arial"/>
          <w:b/>
          <w:sz w:val="22"/>
        </w:rPr>
        <w:t>辐射防护要求</w:t>
      </w:r>
      <w:r>
        <w:rPr>
          <w:rFonts w:ascii="Arial" w:hAnsi="Arial" w:eastAsia="等线" w:cs="Arial"/>
          <w:sz w:val="22"/>
        </w:rPr>
        <w:t>：四周墙体（含龙骨结构）整体防护铅当量不低于3.0mmPb，顶盖及地面（含铺设层）整体防护铅当量不低于1.5mmPb，防护性能均匀稳定，无漏线、漏射风险。防护材料须采用纯度≥99.99%的电解铅板（或同等防护效果的钡水泥复合防护板，需提供第三方检测报告佐证防护效果）；铅板接缝处采用错位搭接工艺（搭接宽度不小于50mm），并做密封处理，所有搭接、接缝部位需经防漏线检测，确保无辐射泄漏隐患。</w:t>
      </w:r>
    </w:p>
    <w:p w14:paraId="21FC4B18">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3.</w:t>
      </w:r>
      <w:r>
        <w:rPr>
          <w:rFonts w:ascii="Arial" w:hAnsi="Arial" w:eastAsia="等线" w:cs="Arial"/>
          <w:b/>
          <w:sz w:val="22"/>
        </w:rPr>
        <w:t>通风系统要求</w:t>
      </w:r>
      <w:r>
        <w:rPr>
          <w:rFonts w:ascii="Arial" w:hAnsi="Arial" w:eastAsia="等线" w:cs="Arial"/>
          <w:sz w:val="22"/>
        </w:rPr>
        <w:t>：铅房顶部指定位置安装1套电动排气扇，具备机械动力排风功能，排风量不低于120m³/h，满足机房每小时不少于6次换气需求；排风管道采用防腐蚀材质，穿墙处需做与所在墙面同等防护铅当量（3.0mmPb）的防护补偿（如安装铅防护罩或包裹铅皮），管道接口密封严密，防止射线从排风口泄漏，排气扇运行噪音不大于55dB，符合医疗场所噪音控制标准。</w:t>
      </w:r>
    </w:p>
    <w:p w14:paraId="781366DF">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4.</w:t>
      </w:r>
      <w:r>
        <w:rPr>
          <w:rFonts w:ascii="Arial" w:hAnsi="Arial" w:eastAsia="等线" w:cs="Arial"/>
          <w:b/>
          <w:sz w:val="22"/>
        </w:rPr>
        <w:t>防护门要求</w:t>
      </w:r>
      <w:r>
        <w:rPr>
          <w:rFonts w:ascii="Arial" w:hAnsi="Arial" w:eastAsia="等线" w:cs="Arial"/>
          <w:sz w:val="22"/>
        </w:rPr>
        <w:t>：铅门防护铅当量与墙体一致（≥3.0mmPb），采用</w:t>
      </w:r>
      <w:r>
        <w:rPr>
          <w:rFonts w:hint="eastAsia" w:ascii="Arial" w:hAnsi="Arial" w:eastAsia="等线" w:cs="Arial"/>
          <w:sz w:val="22"/>
          <w:lang w:val="en-US" w:eastAsia="zh-CN"/>
        </w:rPr>
        <w:t>平开门形式</w:t>
      </w:r>
      <w:r>
        <w:rPr>
          <w:rFonts w:ascii="Arial" w:hAnsi="Arial" w:eastAsia="等线" w:cs="Arial"/>
          <w:sz w:val="22"/>
        </w:rPr>
        <w:t>（单扇，开启方向符合院方现场布局要求）；门体采用优质不锈钢材质，内衬防护铅板，厚度均匀，无破损、空鼓；配备铅门专用五金件（合页、锁具等），开关灵活、无卡顿，关闭后密封严密，门框与门扇搭接处设置防漏线密封槽及铅制密封条，有效防止射线泄漏；门体配备应急手动开启装置，确保突发情况下可手动开关。</w:t>
      </w:r>
    </w:p>
    <w:p w14:paraId="5A9841E5">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5.</w:t>
      </w:r>
      <w:r>
        <w:rPr>
          <w:rFonts w:ascii="Arial" w:hAnsi="Arial" w:eastAsia="等线" w:cs="Arial"/>
          <w:b/>
          <w:sz w:val="22"/>
        </w:rPr>
        <w:t>观察窗要求</w:t>
      </w:r>
      <w:r>
        <w:rPr>
          <w:rFonts w:ascii="Arial" w:hAnsi="Arial" w:eastAsia="等线" w:cs="Arial"/>
          <w:sz w:val="22"/>
        </w:rPr>
        <w:t>：观察窗尺寸标准为400mm×600mm（允许误差±3mm），采用厚度15mm、防护铅当量≥3.0mmPb的高清晰度铅玻璃；铅玻璃无气泡、杂质、黄斑、裂纹等缺陷，透光率不低于90%，视野清晰，不影响诊疗观察；观察窗安装于铅房指定位置，与墙体防护层紧密衔接，周边采用铅板包裹密封，包裹宽度不小于30mm，杜绝射线从边缘泄漏。</w:t>
      </w:r>
    </w:p>
    <w:p w14:paraId="5FDCFF14">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6.</w:t>
      </w:r>
      <w:r>
        <w:rPr>
          <w:rFonts w:ascii="Arial" w:hAnsi="Arial" w:eastAsia="等线" w:cs="Arial"/>
          <w:b/>
          <w:sz w:val="22"/>
        </w:rPr>
        <w:t>门灯联锁装置要求</w:t>
      </w:r>
      <w:r>
        <w:rPr>
          <w:rFonts w:ascii="Arial" w:hAnsi="Arial" w:eastAsia="等线" w:cs="Arial"/>
          <w:sz w:val="22"/>
        </w:rPr>
        <w:t>：配备完善的门灯联锁装置，实现铅门与警示灯同步联动：铅门关闭并锁紧后，门顶上方“当心电离辐射”红色警示灯自动点亮，提示机房内正在进行射线作业；铅门开启时，警示灯自动熄灭，联锁装置反应灵敏（响应时间≤0.5s），无失灵、误动作情况；可与CT设备控制系统联动（或配备独立控制箱），确保CT设备仅在铅门关闭锁紧、警示灯点亮后才能启动射线发射，从源头保障辐射安全。</w:t>
      </w:r>
    </w:p>
    <w:p w14:paraId="1C1C4039">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7.</w:t>
      </w:r>
      <w:r>
        <w:rPr>
          <w:rFonts w:ascii="Arial" w:hAnsi="Arial" w:eastAsia="等线" w:cs="Arial"/>
          <w:b/>
          <w:sz w:val="22"/>
        </w:rPr>
        <w:t>电气系统要求</w:t>
      </w:r>
      <w:r>
        <w:rPr>
          <w:rFonts w:ascii="Arial" w:hAnsi="Arial" w:eastAsia="等线" w:cs="Arial"/>
          <w:sz w:val="22"/>
        </w:rPr>
        <w:t>：铅房内配备符合医疗场所标准的防水防尘照明系统，安装LED防水防尘照明灯，照度不低于300lx，满足诊疗操作需求；配备足量电源插座（含三孔、五孔插座，数量不少于6个），插座额定电压220V，额定电流16A，满足CT设备、显示器及其他辅助设备供电需求；所有电气线路穿阻燃PVC管防护，布线规范，符合《建筑电气工程施工质量验收规范》（GB50303-2015），接地可靠（接地电阻≤4Ω），杜绝漏电、短路隐患，所有电气设备需具备3C认证。</w:t>
      </w:r>
    </w:p>
    <w:p w14:paraId="491283BB">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8.</w:t>
      </w:r>
      <w:r>
        <w:rPr>
          <w:rFonts w:ascii="Arial" w:hAnsi="Arial" w:eastAsia="等线" w:cs="Arial"/>
          <w:b/>
          <w:sz w:val="22"/>
        </w:rPr>
        <w:t>数据穿线孔要求</w:t>
      </w:r>
      <w:r>
        <w:rPr>
          <w:rFonts w:ascii="Arial" w:hAnsi="Arial" w:eastAsia="等线" w:cs="Arial"/>
          <w:sz w:val="22"/>
        </w:rPr>
        <w:t>：铅房预留专用数据穿线孔，位置、数量结合院方CT设备及辅助设备布局确定（不少于3个），孔径适配数字化传感器、牙片宝等设备线缆尺寸；穿线孔配备可拆卸铅制防护盖板（或铅塞），盖板防护铅当量与墙体一致（≥3.0mmPb），线缆穿引后可密封固定，防止射线泄漏，盖板拆卸方便，便于后期线缆维护。</w:t>
      </w:r>
    </w:p>
    <w:p w14:paraId="3B2B961D">
      <w:pPr>
        <w:spacing w:before="320" w:after="120" w:line="288" w:lineRule="auto"/>
        <w:ind w:left="0" w:firstLine="560" w:firstLineChars="200"/>
        <w:jc w:val="left"/>
        <w:outlineLvl w:val="1"/>
        <w:rPr>
          <w:sz w:val="20"/>
          <w:szCs w:val="21"/>
        </w:rPr>
      </w:pPr>
      <w:bookmarkStart w:id="3" w:name="heading_3"/>
      <w:r>
        <w:rPr>
          <w:rFonts w:ascii="Arial" w:hAnsi="Arial" w:eastAsia="等线" w:cs="Arial"/>
          <w:b/>
          <w:sz w:val="28"/>
          <w:szCs w:val="21"/>
        </w:rPr>
        <w:t>四、标准与认证</w:t>
      </w:r>
      <w:bookmarkEnd w:id="3"/>
    </w:p>
    <w:p w14:paraId="51293B6C">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1.</w:t>
      </w:r>
      <w:r>
        <w:rPr>
          <w:rFonts w:ascii="Arial" w:hAnsi="Arial" w:eastAsia="等线" w:cs="Arial"/>
          <w:sz w:val="22"/>
        </w:rPr>
        <w:t>铅房的设计、制造、安装、调试全过程，必须严格符合《放射诊断放射防护要求》（GBZ130-2020）、《医用X射线诊断放射防护要求》（GBZ138-2022）及国家、行业相关现行标准，确保满足放射性职业病危害预评价审核、控制效果评价竣工验收要求。</w:t>
      </w:r>
    </w:p>
    <w:p w14:paraId="4281980C">
      <w:pPr>
        <w:spacing w:before="120" w:after="120" w:line="288" w:lineRule="auto"/>
        <w:ind w:left="0" w:firstLine="440" w:firstLineChars="200"/>
        <w:jc w:val="left"/>
      </w:pPr>
      <w:r>
        <w:rPr>
          <w:rFonts w:hint="eastAsia" w:ascii="Arial" w:hAnsi="Arial" w:eastAsia="等线" w:cs="Arial"/>
          <w:sz w:val="22"/>
          <w:lang w:val="en-US" w:eastAsia="zh-CN"/>
        </w:rPr>
        <w:t>2.</w:t>
      </w:r>
      <w:r>
        <w:rPr>
          <w:rFonts w:ascii="Arial" w:hAnsi="Arial" w:eastAsia="等线" w:cs="Arial"/>
          <w:sz w:val="22"/>
        </w:rPr>
        <w:t>供应商需提供国家认可的第三方检测机构出具的防护材料检测报告、铅房成品辐射防护检测报告，报告需明确检测项目、检测数据、检测结论，确保防护性能达标；检测报告需在有效期内，复印件加盖供应商公章，原件备查。</w:t>
      </w:r>
    </w:p>
    <w:p w14:paraId="2E99D213">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3.</w:t>
      </w:r>
      <w:r>
        <w:rPr>
          <w:rFonts w:ascii="Arial" w:hAnsi="Arial" w:eastAsia="等线" w:cs="Arial"/>
          <w:sz w:val="22"/>
        </w:rPr>
        <w:t>供应商需全程协助采购人完成铅房辐射安全验收工作，配合卫生、环保、辐射防护等相关部门的检测、审核，确保铅房顺利通过验收，取得相关合格证明文件（如辐射安全验收合格报告），相关费用由供应商承担。</w:t>
      </w:r>
    </w:p>
    <w:p w14:paraId="2FC01D69">
      <w:pPr>
        <w:spacing w:before="320" w:after="120" w:line="288" w:lineRule="auto"/>
        <w:ind w:left="0" w:firstLine="560" w:firstLineChars="200"/>
        <w:jc w:val="left"/>
        <w:outlineLvl w:val="1"/>
        <w:rPr>
          <w:sz w:val="20"/>
          <w:szCs w:val="21"/>
        </w:rPr>
      </w:pPr>
      <w:bookmarkStart w:id="4" w:name="heading_4"/>
      <w:r>
        <w:rPr>
          <w:rFonts w:ascii="Arial" w:hAnsi="Arial" w:eastAsia="等线" w:cs="Arial"/>
          <w:b/>
          <w:sz w:val="28"/>
          <w:szCs w:val="21"/>
        </w:rPr>
        <w:t>五、服务与质保要求</w:t>
      </w:r>
      <w:bookmarkEnd w:id="4"/>
    </w:p>
    <w:p w14:paraId="1D7C4891">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1.</w:t>
      </w:r>
      <w:r>
        <w:rPr>
          <w:rFonts w:ascii="Arial" w:hAnsi="Arial" w:eastAsia="等线" w:cs="Arial"/>
          <w:b/>
          <w:sz w:val="22"/>
        </w:rPr>
        <w:t>全程服务要求</w:t>
      </w:r>
      <w:r>
        <w:rPr>
          <w:rFonts w:ascii="Arial" w:hAnsi="Arial" w:eastAsia="等线" w:cs="Arial"/>
          <w:sz w:val="22"/>
        </w:rPr>
        <w:t>：供应商负责铅房的设计、制造、运输、现场安装、调试，安装过程中需做好现场保护（保护院方现有设施、地面、墙面），避免对周边环境及诊疗工作造成破坏；安装完成后，负责清理现场，做到工完场清。</w:t>
      </w:r>
    </w:p>
    <w:p w14:paraId="53DAC48A">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2.</w:t>
      </w:r>
      <w:r>
        <w:rPr>
          <w:rFonts w:ascii="Arial" w:hAnsi="Arial" w:eastAsia="等线" w:cs="Arial"/>
          <w:b/>
          <w:sz w:val="22"/>
        </w:rPr>
        <w:t>质保要求</w:t>
      </w:r>
      <w:r>
        <w:rPr>
          <w:rFonts w:ascii="Arial" w:hAnsi="Arial" w:eastAsia="等线" w:cs="Arial"/>
          <w:sz w:val="22"/>
        </w:rPr>
        <w:t>：铅房整体质保期不少于2年，自铅房验收合格并签署验收报告之日起计算；质保期内，因产品质量、安装质量导致的故障、损坏，供应商需免费提供维修、更换服务（包括零部件、人工、运输等全部费用），不得推诿扯皮。</w:t>
      </w:r>
    </w:p>
    <w:p w14:paraId="42D74DE4">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3.</w:t>
      </w:r>
      <w:r>
        <w:rPr>
          <w:rFonts w:ascii="Arial" w:hAnsi="Arial" w:eastAsia="等线" w:cs="Arial"/>
          <w:b/>
          <w:sz w:val="22"/>
        </w:rPr>
        <w:t>售后服务要求</w:t>
      </w:r>
      <w:r>
        <w:rPr>
          <w:rFonts w:ascii="Arial" w:hAnsi="Arial" w:eastAsia="等线" w:cs="Arial"/>
          <w:sz w:val="22"/>
        </w:rPr>
        <w:t>：供应商提供7×24小时技术支持服务，接到报修通知后，12小时内响应，24小时内到场处理（紧急故障4小时内到场）；质保期内，每6个月提供1次免费巡检服务，排查设备隐患，确保铅房正常运行；质保期结束后，供应商需提供终身技术咨询及零部件供应服务，零部件价格按成本价收取。</w:t>
      </w:r>
    </w:p>
    <w:p w14:paraId="6AAB1E1D">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4.</w:t>
      </w:r>
      <w:r>
        <w:rPr>
          <w:rFonts w:ascii="Arial" w:hAnsi="Arial" w:eastAsia="等线" w:cs="Arial"/>
          <w:b/>
          <w:sz w:val="22"/>
        </w:rPr>
        <w:t>培训要求</w:t>
      </w:r>
      <w:r>
        <w:rPr>
          <w:rFonts w:ascii="Arial" w:hAnsi="Arial" w:eastAsia="等线" w:cs="Arial"/>
          <w:sz w:val="22"/>
        </w:rPr>
        <w:t>：供应商免费为采购人相关操作人员、维护人员提供不少于2次专业培训，培训内容包括铅房使用操作、日常维护、故障排查、辐射防护注意事项等，确保相关人员能够独立上岗操作、完成日常维护。</w:t>
      </w:r>
    </w:p>
    <w:p w14:paraId="63772CF4">
      <w:pPr>
        <w:spacing w:before="320" w:after="120" w:line="288" w:lineRule="auto"/>
        <w:ind w:left="0" w:firstLine="560" w:firstLineChars="200"/>
        <w:jc w:val="left"/>
        <w:outlineLvl w:val="1"/>
        <w:rPr>
          <w:sz w:val="20"/>
          <w:szCs w:val="21"/>
        </w:rPr>
      </w:pPr>
      <w:bookmarkStart w:id="5" w:name="heading_6"/>
      <w:r>
        <w:rPr>
          <w:rFonts w:hint="eastAsia" w:ascii="Arial" w:hAnsi="Arial" w:eastAsia="等线" w:cs="Arial"/>
          <w:b/>
          <w:sz w:val="28"/>
          <w:szCs w:val="21"/>
          <w:lang w:val="en-US" w:eastAsia="zh-CN"/>
        </w:rPr>
        <w:t>八</w:t>
      </w:r>
      <w:r>
        <w:rPr>
          <w:rFonts w:ascii="Arial" w:hAnsi="Arial" w:eastAsia="等线" w:cs="Arial"/>
          <w:b/>
          <w:sz w:val="28"/>
          <w:szCs w:val="21"/>
        </w:rPr>
        <w:t>、验收标准</w:t>
      </w:r>
      <w:bookmarkEnd w:id="5"/>
    </w:p>
    <w:p w14:paraId="60ECB0B8">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1.</w:t>
      </w:r>
      <w:r>
        <w:rPr>
          <w:rFonts w:ascii="Arial" w:hAnsi="Arial" w:eastAsia="等线" w:cs="Arial"/>
          <w:b/>
          <w:sz w:val="22"/>
        </w:rPr>
        <w:t>外观与尺寸验收</w:t>
      </w:r>
      <w:r>
        <w:rPr>
          <w:rFonts w:ascii="Arial" w:hAnsi="Arial" w:eastAsia="等线" w:cs="Arial"/>
          <w:sz w:val="22"/>
        </w:rPr>
        <w:t>：铅房外观平整光洁，无凹凸、划痕、色差、破损等缺陷；整体尺寸、内空尺寸、观察窗尺寸、穿线孔位置及数量符合本采购需求要求，误差在允许范围内；防护门、排气扇、照明、插座等安装规范，布局合理。</w:t>
      </w:r>
    </w:p>
    <w:p w14:paraId="6295F620">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2.</w:t>
      </w:r>
      <w:r>
        <w:rPr>
          <w:rFonts w:ascii="Arial" w:hAnsi="Arial" w:eastAsia="等线" w:cs="Arial"/>
          <w:b/>
          <w:sz w:val="22"/>
        </w:rPr>
        <w:t>辐射防护性能验收</w:t>
      </w:r>
      <w:r>
        <w:rPr>
          <w:rFonts w:ascii="Arial" w:hAnsi="Arial" w:eastAsia="等线" w:cs="Arial"/>
          <w:sz w:val="22"/>
        </w:rPr>
        <w:t>：铅房安装完成后，由国家认可的第三方检测机构进行辐射防护性能检测，检测点覆盖墙体、门窗、观察窗、接缝处、穿线孔、排风口等所有关键部位，检测结果需符合GBZ130-2020标准限值（机房外周围剂量当量率≤2.5μSv/h），检测报告需作为验收核心依据。</w:t>
      </w:r>
    </w:p>
    <w:p w14:paraId="1FEAD37B">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3.</w:t>
      </w:r>
      <w:r>
        <w:rPr>
          <w:rFonts w:ascii="Arial" w:hAnsi="Arial" w:eastAsia="等线" w:cs="Arial"/>
          <w:b/>
          <w:sz w:val="22"/>
        </w:rPr>
        <w:t>功能验收</w:t>
      </w:r>
      <w:r>
        <w:rPr>
          <w:rFonts w:ascii="Arial" w:hAnsi="Arial" w:eastAsia="等线" w:cs="Arial"/>
          <w:sz w:val="22"/>
        </w:rPr>
        <w:t>：防护门开关灵活、密封严密，应急手动装置有效；排气扇运行正常，排风量达标，噪音符合要求；门灯联锁装置灵敏可靠，与CT设备联动正常（或独立控制有效）；照明、插座等电气设备运行正常，无漏电、短路现象；穿线孔防护盖板密封有效。</w:t>
      </w:r>
    </w:p>
    <w:p w14:paraId="7573F416">
      <w:pPr>
        <w:numPr>
          <w:ilvl w:val="0"/>
          <w:numId w:val="0"/>
        </w:numPr>
        <w:spacing w:before="120" w:after="120" w:line="288" w:lineRule="auto"/>
        <w:ind w:firstLine="440" w:firstLineChars="200"/>
        <w:jc w:val="left"/>
      </w:pPr>
      <w:r>
        <w:rPr>
          <w:rFonts w:hint="eastAsia" w:ascii="Arial" w:hAnsi="Arial" w:eastAsia="等线" w:cs="Arial"/>
          <w:b/>
          <w:sz w:val="22"/>
          <w:lang w:val="en-US" w:eastAsia="zh-CN"/>
        </w:rPr>
        <w:t>4.</w:t>
      </w:r>
      <w:r>
        <w:rPr>
          <w:rFonts w:ascii="Arial" w:hAnsi="Arial" w:eastAsia="等线" w:cs="Arial"/>
          <w:b/>
          <w:sz w:val="22"/>
        </w:rPr>
        <w:t>资料与合规验收</w:t>
      </w:r>
      <w:r>
        <w:rPr>
          <w:rFonts w:ascii="Arial" w:hAnsi="Arial" w:eastAsia="等线" w:cs="Arial"/>
          <w:sz w:val="22"/>
        </w:rPr>
        <w:t>：供应商需提供完整的验收资料，包括但不限于产品合格证、检测报告、安装调试记录、技术资料（设计图、布线图等）、验收合格证明等；本项目需完成放射性职业病危害放射防护预评价审核合格、控制效果评价竣工验收合格，各项防护指标均符合国家现行放射卫生相关标准，未提供相关合格证明或验收不合格的，不予支付款项，供应商需限期整改，整改费用自行承担，逾期未整改合格的，采购人有权解除合同并追究违约责任。</w:t>
      </w:r>
    </w:p>
    <w:p w14:paraId="28325B18">
      <w:pPr>
        <w:spacing w:before="320" w:after="120" w:line="288" w:lineRule="auto"/>
        <w:ind w:left="0" w:firstLine="560" w:firstLineChars="200"/>
        <w:jc w:val="left"/>
        <w:outlineLvl w:val="1"/>
        <w:rPr>
          <w:sz w:val="20"/>
          <w:szCs w:val="21"/>
        </w:rPr>
      </w:pPr>
      <w:bookmarkStart w:id="6" w:name="heading_7"/>
      <w:r>
        <w:rPr>
          <w:rFonts w:ascii="Arial" w:hAnsi="Arial" w:eastAsia="等线" w:cs="Arial"/>
          <w:b/>
          <w:sz w:val="28"/>
          <w:szCs w:val="21"/>
        </w:rPr>
        <w:t>八、其他要求</w:t>
      </w:r>
      <w:bookmarkEnd w:id="6"/>
    </w:p>
    <w:p w14:paraId="67FEC895">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1.</w:t>
      </w:r>
      <w:r>
        <w:rPr>
          <w:rFonts w:ascii="Arial" w:hAnsi="Arial" w:eastAsia="等线" w:cs="Arial"/>
          <w:sz w:val="22"/>
        </w:rPr>
        <w:t>投标人需在投标前自行前往富顺县中医医院富达路院区口腔科现场勘查，确认施工条件（场地尺寸、水电接入、周边环境等），提交的设计方案、技术参数需符合现场实际情况，后期不得因现场条件问题要求变更设计、增加费用，若因投标人未勘查现场导致方案不符，一切责任由投标人承担。</w:t>
      </w:r>
    </w:p>
    <w:p w14:paraId="6DF6F2A8">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2.</w:t>
      </w:r>
      <w:r>
        <w:rPr>
          <w:rFonts w:ascii="Arial" w:hAnsi="Arial" w:eastAsia="等线" w:cs="Arial"/>
          <w:sz w:val="22"/>
        </w:rPr>
        <w:t>投标人需提供铅房的结构设计图、电气布线图、通风系统图等完整技术资料（纸质版一式3份、电子版1份），作为验收及后期维护依据，资料需规范、准确，符合国家相关设计标准。</w:t>
      </w:r>
      <w:bookmarkStart w:id="7" w:name="_GoBack"/>
      <w:bookmarkEnd w:id="7"/>
    </w:p>
    <w:p w14:paraId="7A61C79D">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3.</w:t>
      </w:r>
      <w:r>
        <w:rPr>
          <w:rFonts w:ascii="Arial" w:hAnsi="Arial" w:eastAsia="等线" w:cs="Arial"/>
          <w:sz w:val="22"/>
        </w:rPr>
        <w:t>本采购需求未尽事宜，按国家现行相关标准、规范及采购人合理要求执行；若国家相关标准更新，按最新标准执行。</w:t>
      </w:r>
    </w:p>
    <w:p w14:paraId="32A03775">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4.</w:t>
      </w:r>
      <w:r>
        <w:rPr>
          <w:rFonts w:ascii="Arial" w:hAnsi="Arial" w:eastAsia="等线" w:cs="Arial"/>
          <w:sz w:val="22"/>
        </w:rPr>
        <w:t>中标人需无条件配合院方《富顺县中医医院富达路院区口腔科改造工程项目》的整体施工安排，包括分时间段施工、夜间施工（夜间施工需提前报备院方，做好噪音控制）等，不得拒绝配合，否则视为违约，采购人有权追究相关责任。</w:t>
      </w:r>
    </w:p>
    <w:p w14:paraId="58C435A7">
      <w:pPr>
        <w:numPr>
          <w:ilvl w:val="0"/>
          <w:numId w:val="0"/>
        </w:numPr>
        <w:spacing w:before="120" w:after="120" w:line="288" w:lineRule="auto"/>
        <w:ind w:firstLine="440" w:firstLineChars="200"/>
        <w:jc w:val="left"/>
      </w:pPr>
      <w:r>
        <w:rPr>
          <w:rFonts w:hint="eastAsia" w:ascii="Arial" w:hAnsi="Arial" w:eastAsia="等线" w:cs="Arial"/>
          <w:sz w:val="22"/>
          <w:lang w:val="en-US" w:eastAsia="zh-CN"/>
        </w:rPr>
        <w:t>5.</w:t>
      </w:r>
      <w:r>
        <w:rPr>
          <w:rFonts w:ascii="Arial" w:hAnsi="Arial" w:eastAsia="等线" w:cs="Arial"/>
          <w:sz w:val="22"/>
        </w:rPr>
        <w:t>履约过程中，供应商需严格遵守院方的各项管理制度，施工人员需持证上岗，做好安全防护措施，杜绝安全事故发生，若因供应商原因造成安全事故、财产损失或人员伤亡，由供应商承担全部责任及损失。</w:t>
      </w:r>
    </w:p>
    <w:p w14:paraId="2F9815CD">
      <w:pPr>
        <w:numPr>
          <w:ilvl w:val="0"/>
          <w:numId w:val="0"/>
        </w:numPr>
        <w:spacing w:before="120" w:after="120" w:line="288" w:lineRule="auto"/>
        <w:ind w:firstLine="440" w:firstLineChars="200"/>
        <w:jc w:val="left"/>
        <w:rPr>
          <w:rFonts w:hint="eastAsia" w:ascii="Arial" w:hAnsi="Arial" w:eastAsia="等线" w:cs="Arial"/>
          <w:color w:val="FF0000"/>
          <w:sz w:val="22"/>
          <w:lang w:val="en-US" w:eastAsia="zh-CN"/>
        </w:rPr>
      </w:pPr>
    </w:p>
    <w:p w14:paraId="51675F3F">
      <w:pPr>
        <w:numPr>
          <w:ilvl w:val="0"/>
          <w:numId w:val="0"/>
        </w:numPr>
        <w:spacing w:before="120" w:after="120" w:line="288" w:lineRule="auto"/>
        <w:ind w:firstLine="440" w:firstLineChars="200"/>
        <w:jc w:val="left"/>
        <w:rPr>
          <w:rFonts w:hint="eastAsia" w:ascii="Arial" w:hAnsi="Arial" w:eastAsia="等线" w:cs="Arial"/>
          <w:color w:val="FF0000"/>
          <w:sz w:val="22"/>
          <w:lang w:val="en-US" w:eastAsia="zh-CN"/>
        </w:rPr>
      </w:pPr>
      <w:r>
        <w:rPr>
          <w:rFonts w:hint="eastAsia" w:ascii="Arial" w:hAnsi="Arial" w:eastAsia="等线" w:cs="Arial"/>
          <w:color w:val="FF0000"/>
          <w:sz w:val="22"/>
          <w:lang w:val="en-US" w:eastAsia="zh-CN"/>
        </w:rPr>
        <w:t>注：本采购需求基于前期初步市场调研，非最终招标采购需求，如认为存在异议或排他性内容，请以书面方式向院方提出。</w:t>
      </w:r>
    </w:p>
    <w:p w14:paraId="75835982">
      <w:pPr>
        <w:numPr>
          <w:ilvl w:val="0"/>
          <w:numId w:val="0"/>
        </w:numPr>
        <w:spacing w:before="120" w:after="120" w:line="288" w:lineRule="auto"/>
        <w:ind w:firstLine="440" w:firstLineChars="200"/>
        <w:jc w:val="left"/>
        <w:rPr>
          <w:rFonts w:hint="eastAsia" w:ascii="Arial" w:hAnsi="Arial" w:eastAsia="等线" w:cs="Arial"/>
          <w:sz w:val="22"/>
          <w:lang w:val="en-US" w:eastAsia="zh-CN"/>
        </w:rPr>
      </w:pPr>
    </w:p>
    <w:p w14:paraId="1604CA30">
      <w:pPr>
        <w:numPr>
          <w:ilvl w:val="0"/>
          <w:numId w:val="0"/>
        </w:numPr>
        <w:spacing w:before="120" w:after="120" w:line="288" w:lineRule="auto"/>
        <w:ind w:firstLine="440" w:firstLineChars="200"/>
        <w:jc w:val="left"/>
        <w:rPr>
          <w:rFonts w:hint="default" w:ascii="Arial" w:hAnsi="Arial" w:eastAsia="等线" w:cs="Arial"/>
          <w:sz w:val="22"/>
          <w:lang w:val="en-US" w:eastAsia="zh-CN"/>
        </w:rPr>
      </w:pP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D79F">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D4A4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D4A4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94214"/>
    <w:rsid w:val="1D9571D8"/>
    <w:rsid w:val="1FAA6947"/>
    <w:rsid w:val="430A21B1"/>
    <w:rsid w:val="4F066F60"/>
    <w:rsid w:val="76E813FB"/>
    <w:rsid w:val="7E670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3483</Words>
  <Characters>3688</Characters>
  <TotalTime>0</TotalTime>
  <ScaleCrop>false</ScaleCrop>
  <LinksUpToDate>false</LinksUpToDate>
  <CharactersWithSpaces>3688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2026-04-01T01:19:00Z</dcterms:created>
  <dc:creator>Apache POI</dc:creator>
  <cp:lastModifiedBy>罗春英</cp:lastModifiedBy>
  <dcterms:modified xsi:type="dcterms:W3CDTF">2026-04-02T01:04:51Z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7CE07828A0434FAE8EDCB3F9A2EA54C8_13</vt:lpwstr>
  </property>
  <property fmtid="{D5CDD505-2E9C-101B-9397-08002B2CF9AE}" pid="4" name="KSOTemplateDocerSaveRecord">
    <vt:lpwstr>eyJoZGlkIjoiNzU4MDk3MTk2MDZhYjQ1Yjg4YzY2NzA5ZWM1NWM5ZTEiLCJ1c2VySWQiOiI0MzQxNTU2ODAifQ==</vt:lpwstr>
  </property>
</Properties>
</file>